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right="240" w:hanging="652"/>
        <w:spacing w:after="0" w:line="254"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December 31, 2014</w:t>
      </w:r>
    </w:p>
    <w:p>
      <w:pPr>
        <w:spacing w:after="0" w:line="122" w:lineRule="exact"/>
        <w:rPr>
          <w:sz w:val="24"/>
          <w:szCs w:val="24"/>
          <w:color w:val="auto"/>
        </w:rPr>
      </w:pPr>
    </w:p>
    <w:p>
      <w:pPr>
        <w:ind w:left="660" w:right="220" w:hanging="652"/>
        <w:spacing w:after="0" w:line="269"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92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720"/>
            <w:col w:w="4720" w:space="720"/>
            <w:col w:w="2140" w:space="720"/>
            <w:col w:w="740"/>
          </w:cols>
          <w:pgMar w:left="240" w:top="922"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90" w:lineRule="exact"/>
        <w:rPr>
          <w:sz w:val="24"/>
          <w:szCs w:val="24"/>
          <w:color w:val="auto"/>
        </w:rPr>
      </w:pPr>
    </w:p>
    <w:p>
      <w:pPr>
        <w:sectPr>
          <w:pgSz w:w="11900" w:h="16838" w:orient="portrait"/>
          <w:cols w:equalWidth="0" w:num="5">
            <w:col w:w="1660" w:space="720"/>
            <w:col w:w="160" w:space="80"/>
            <w:col w:w="4480" w:space="720"/>
            <w:col w:w="2140" w:space="720"/>
            <w:col w:w="740"/>
          </w:cols>
          <w:pgMar w:left="240" w:top="922"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4"/>
          <w:szCs w:val="24"/>
          <w:color w:val="auto"/>
        </w:rPr>
      </w:pPr>
    </w:p>
    <w:p>
      <w:pPr>
        <w:sectPr>
          <w:pgSz w:w="11900" w:h="16838" w:orient="portrait"/>
          <w:cols w:equalWidth="0" w:num="4">
            <w:col w:w="8180" w:space="220"/>
            <w:col w:w="260" w:space="100"/>
            <w:col w:w="160" w:space="180"/>
            <w:col w:w="2320"/>
          </w:cols>
          <w:pgMar w:left="240" w:top="922"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the number of shares outstanding of each of the issuer’s classes of common stock, as of the latest practicable date.</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42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5320" w:type="dxa"/>
            <w:vAlign w:val="bottom"/>
          </w:tcPr>
          <w:p>
            <w:pPr>
              <w:spacing w:after="0"/>
              <w:rPr>
                <w:sz w:val="16"/>
                <w:szCs w:val="16"/>
                <w:color w:val="auto"/>
              </w:rPr>
            </w:pPr>
          </w:p>
        </w:tc>
        <w:tc>
          <w:tcPr>
            <w:tcW w:w="4240" w:type="dxa"/>
            <w:vAlign w:val="bottom"/>
          </w:tcPr>
          <w:p>
            <w:pPr>
              <w:jc w:val="right"/>
              <w:ind w:right="316"/>
              <w:spacing w:after="0"/>
              <w:rPr>
                <w:sz w:val="20"/>
                <w:szCs w:val="20"/>
                <w:color w:val="auto"/>
              </w:rPr>
            </w:pPr>
            <w:r>
              <w:rPr>
                <w:rFonts w:ascii="Arial" w:cs="Arial" w:eastAsia="Arial" w:hAnsi="Arial"/>
                <w:sz w:val="14"/>
                <w:szCs w:val="14"/>
                <w:b w:val="1"/>
                <w:bCs w:val="1"/>
                <w:color w:val="auto"/>
              </w:rPr>
              <w:t>as of January 23, 2015</w:t>
            </w: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147,908,527</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4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4240" w:type="dxa"/>
            <w:vAlign w:val="bottom"/>
          </w:tcPr>
          <w:p>
            <w:pPr>
              <w:jc w:val="right"/>
              <w:spacing w:after="0"/>
              <w:rPr>
                <w:sz w:val="20"/>
                <w:szCs w:val="20"/>
                <w:color w:val="auto"/>
              </w:rPr>
            </w:pPr>
            <w:r>
              <w:rPr>
                <w:rFonts w:ascii="Arial" w:cs="Arial" w:eastAsia="Arial" w:hAnsi="Arial"/>
                <w:sz w:val="18"/>
                <w:szCs w:val="18"/>
                <w:color w:val="auto"/>
              </w:rPr>
              <w:t>1,851,590</w:t>
            </w:r>
          </w:p>
        </w:tc>
      </w:tr>
    </w:tbl>
    <w:p>
      <w:pPr>
        <w:sectPr>
          <w:pgSz w:w="11900" w:h="16838" w:orient="portrait"/>
          <w:cols w:equalWidth="0" w:num="1">
            <w:col w:w="11420"/>
          </w:cols>
          <w:pgMar w:left="240" w:top="922"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13"/>
          </w:tcPr>
          <w:p>
            <w:pPr>
              <w:spacing w:after="0"/>
              <w:rPr>
                <w:sz w:val="20"/>
                <w:szCs w:val="20"/>
                <w:color w:val="auto"/>
              </w:rPr>
            </w:pPr>
            <w:r>
              <w:rPr>
                <w:rFonts w:ascii="Arial" w:cs="Arial" w:eastAsia="Arial" w:hAnsi="Arial"/>
                <w:sz w:val="18"/>
                <w:szCs w:val="18"/>
                <w:b w:val="1"/>
                <w:bCs w:val="1"/>
                <w:color w:val="auto"/>
              </w:rPr>
              <w:t>TABLE OF CONTENTS</w:t>
            </w:r>
          </w:p>
        </w:tc>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8480" w:type="dxa"/>
            <w:vAlign w:val="bottom"/>
            <w:gridSpan w:val="13"/>
          </w:tcPr>
          <w:p>
            <w:pPr>
              <w:ind w:left="4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5220" w:type="dxa"/>
            <w:vAlign w:val="bottom"/>
            <w:gridSpan w:val="5"/>
          </w:tcPr>
          <w:p>
            <w:pPr>
              <w:spacing w:after="0"/>
              <w:rPr>
                <w:sz w:val="24"/>
                <w:szCs w:val="24"/>
                <w:color w:val="auto"/>
              </w:rPr>
            </w:pPr>
          </w:p>
        </w:tc>
        <w:tc>
          <w:tcPr>
            <w:tcW w:w="28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1"/>
          </w:tcPr>
          <w:p>
            <w:pPr>
              <w:spacing w:after="0"/>
              <w:rPr>
                <w:rFonts w:ascii="Arial" w:cs="Arial" w:eastAsia="Arial" w:hAnsi="Arial"/>
                <w:sz w:val="18"/>
                <w:szCs w:val="18"/>
                <w:b w:val="1"/>
                <w:bCs w:val="1"/>
                <w:color w:val="0000EE"/>
                <w:w w:val="89"/>
              </w:rPr>
            </w:pPr>
            <w:hyperlink w:anchor="page17">
              <w:r>
                <w:rPr>
                  <w:rFonts w:ascii="Arial" w:cs="Arial" w:eastAsia="Arial" w:hAnsi="Arial"/>
                  <w:sz w:val="18"/>
                  <w:szCs w:val="18"/>
                  <w:b w:val="1"/>
                  <w:bCs w:val="1"/>
                  <w:color w:val="0000EE"/>
                  <w:w w:val="89"/>
                </w:rPr>
                <w:t>Management's Discussion and Analysis of Financial Condition and Results of Operations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16</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6840" w:type="dxa"/>
            <w:vAlign w:val="bottom"/>
            <w:gridSpan w:val="11"/>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Quantitative and Qualitative Disclosures About Market Risk</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Borders>
              <w:left w:val="single" w:sz="8" w:color="0000EE"/>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gridSpan w:val="8"/>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Controls and Procedures</w:t>
              </w:r>
            </w:hyperlink>
          </w:p>
        </w:tc>
        <w:tc>
          <w:tcPr>
            <w:tcW w:w="2700" w:type="dxa"/>
            <w:vAlign w:val="bottom"/>
            <w:gridSpan w:val="2"/>
          </w:tcPr>
          <w:p>
            <w:pPr>
              <w:spacing w:after="0"/>
              <w:rPr>
                <w:sz w:val="24"/>
                <w:szCs w:val="24"/>
                <w:color w:val="auto"/>
              </w:rPr>
            </w:pPr>
          </w:p>
        </w:tc>
        <w:tc>
          <w:tcPr>
            <w:tcW w:w="2220" w:type="dxa"/>
            <w:vAlign w:val="bottom"/>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31</w:t>
              </w:r>
            </w:hyperlink>
          </w:p>
        </w:tc>
      </w:tr>
      <w:tr>
        <w:trPr>
          <w:trHeight w:val="20"/>
        </w:trPr>
        <w:tc>
          <w:tcPr>
            <w:tcW w:w="164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8480" w:type="dxa"/>
            <w:vAlign w:val="bottom"/>
            <w:gridSpan w:val="13"/>
          </w:tcPr>
          <w:p>
            <w:pPr>
              <w:ind w:left="4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684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Legal Proceedings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3"/>
          </w:tcPr>
          <w:p>
            <w:pPr>
              <w:spacing w:after="0"/>
              <w:rPr>
                <w:rFonts w:ascii="Arial" w:cs="Arial" w:eastAsia="Arial" w:hAnsi="Arial"/>
                <w:sz w:val="18"/>
                <w:szCs w:val="18"/>
                <w:b w:val="1"/>
                <w:bCs w:val="1"/>
                <w:color w:val="0000EE"/>
                <w:w w:val="88"/>
              </w:rPr>
            </w:pPr>
            <w:hyperlink w:anchor="page34">
              <w:r>
                <w:rPr>
                  <w:rFonts w:ascii="Arial" w:cs="Arial" w:eastAsia="Arial" w:hAnsi="Arial"/>
                  <w:sz w:val="18"/>
                  <w:szCs w:val="18"/>
                  <w:b w:val="1"/>
                  <w:bCs w:val="1"/>
                  <w:color w:val="0000EE"/>
                  <w:w w:val="88"/>
                </w:rPr>
                <w:t>Risk Factors</w:t>
              </w:r>
            </w:hyperlink>
          </w:p>
        </w:tc>
        <w:tc>
          <w:tcPr>
            <w:tcW w:w="420" w:type="dxa"/>
            <w:vAlign w:val="bottom"/>
          </w:tcPr>
          <w:p>
            <w:pPr>
              <w:spacing w:after="0"/>
              <w:rPr>
                <w:sz w:val="24"/>
                <w:szCs w:val="24"/>
                <w:color w:val="auto"/>
              </w:rPr>
            </w:pPr>
          </w:p>
        </w:tc>
        <w:tc>
          <w:tcPr>
            <w:tcW w:w="5440" w:type="dxa"/>
            <w:vAlign w:val="bottom"/>
            <w:gridSpan w:val="7"/>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gridSpan w:val="11"/>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Unregistered Sales of Equity Securities and Use Of Proceeds</w:t>
              </w:r>
            </w:hyperlink>
          </w:p>
        </w:tc>
        <w:tc>
          <w:tcPr>
            <w:tcW w:w="2920" w:type="dxa"/>
            <w:vAlign w:val="bottom"/>
            <w:gridSpan w:val="3"/>
          </w:tcPr>
          <w:p>
            <w:pPr>
              <w:jc w:val="right"/>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32</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gridSpan w:val="10"/>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Defaults Upon Senior Securities</w:t>
              </w:r>
            </w:hyperlink>
          </w:p>
        </w:tc>
        <w:tc>
          <w:tcPr>
            <w:tcW w:w="2220" w:type="dxa"/>
            <w:vAlign w:val="bottom"/>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gridSpan w:val="7"/>
          </w:tcPr>
          <w:p>
            <w:pPr>
              <w:spacing w:after="0"/>
              <w:rPr>
                <w:rFonts w:ascii="Arial" w:cs="Arial" w:eastAsia="Arial" w:hAnsi="Arial"/>
                <w:sz w:val="18"/>
                <w:szCs w:val="18"/>
                <w:b w:val="1"/>
                <w:bCs w:val="1"/>
                <w:color w:val="0000EE"/>
                <w:w w:val="87"/>
              </w:rPr>
            </w:pPr>
            <w:hyperlink w:anchor="page35">
              <w:r>
                <w:rPr>
                  <w:rFonts w:ascii="Arial" w:cs="Arial" w:eastAsia="Arial" w:hAnsi="Arial"/>
                  <w:sz w:val="18"/>
                  <w:szCs w:val="18"/>
                  <w:b w:val="1"/>
                  <w:bCs w:val="1"/>
                  <w:color w:val="0000EE"/>
                  <w:w w:val="87"/>
                </w:rPr>
                <w:t>Mine Safety Disclosures</w:t>
              </w:r>
            </w:hyperlink>
          </w:p>
        </w:tc>
        <w:tc>
          <w:tcPr>
            <w:tcW w:w="600" w:type="dxa"/>
            <w:vAlign w:val="bottom"/>
            <w:gridSpan w:val="2"/>
          </w:tcPr>
          <w:p>
            <w:pPr>
              <w:spacing w:after="0"/>
              <w:rPr>
                <w:sz w:val="24"/>
                <w:szCs w:val="24"/>
                <w:color w:val="auto"/>
              </w:rPr>
            </w:pPr>
          </w:p>
        </w:tc>
        <w:tc>
          <w:tcPr>
            <w:tcW w:w="4400" w:type="dxa"/>
            <w:vAlign w:val="bottom"/>
            <w:gridSpan w:val="2"/>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5000" w:type="dxa"/>
            <w:vAlign w:val="bottom"/>
            <w:gridSpan w:val="4"/>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1840" w:type="dxa"/>
            <w:vAlign w:val="bottom"/>
            <w:gridSpan w:val="7"/>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Other Information</w:t>
              </w:r>
            </w:hyperlink>
          </w:p>
        </w:tc>
        <w:tc>
          <w:tcPr>
            <w:tcW w:w="5000" w:type="dxa"/>
            <w:vAlign w:val="bottom"/>
            <w:gridSpan w:val="4"/>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4"/>
            <w:shd w:val="clear" w:color="auto" w:fill="0000EE"/>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gridSpan w:val="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Exhibits</w:t>
              </w:r>
            </w:hyperlink>
          </w:p>
        </w:tc>
        <w:tc>
          <w:tcPr>
            <w:tcW w:w="5400" w:type="dxa"/>
            <w:vAlign w:val="bottom"/>
            <w:gridSpan w:val="6"/>
          </w:tcPr>
          <w:p>
            <w:pPr>
              <w:spacing w:after="0"/>
              <w:rPr>
                <w:sz w:val="24"/>
                <w:szCs w:val="24"/>
                <w:color w:val="auto"/>
              </w:rPr>
            </w:pPr>
          </w:p>
        </w:tc>
        <w:tc>
          <w:tcPr>
            <w:tcW w:w="2920" w:type="dxa"/>
            <w:vAlign w:val="bottom"/>
            <w:gridSpan w:val="3"/>
          </w:tcPr>
          <w:p>
            <w:pPr>
              <w:jc w:val="right"/>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34</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769"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center"/>
              <w:ind w:right="51"/>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2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259,994</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844,745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916,737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79,246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1,154,546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1,255,977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105,537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129,427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222,373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220,887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1,299,370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1,273,789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50,244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60,738</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2,832,070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2,940,818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51,875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488,807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292,184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331,440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26,774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808,855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917,104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1,584,069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1,585,231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243,897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266,847</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2,636,821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2,769,182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149,895,153 shares at</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7"/>
              </w:rPr>
              <w:t>December 31, 2014 and 143,962,073 shares at March 31, 2014; outstanding, 147,908,527 shares at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December 31, 2014 and 143,352,448 shares at March 31, 2014</w:t>
            </w:r>
          </w:p>
        </w:tc>
        <w:tc>
          <w:tcPr>
            <w:tcW w:w="16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Non-voting common stock, Class B — $0.01 par value — authorized, 16,000,000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0 shares at December 31, 2014 and 582,080 shares at March 31, 2014</w:t>
            </w:r>
          </w:p>
        </w:tc>
        <w:tc>
          <w:tcPr>
            <w:tcW w:w="1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Restricted common stock, Class C — $0.01 par value — authorized, 5,000,000 shares; issued and</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outstanding, 0 shares at December 31, 2014 and 935,871 shares at March 31, 2014</w:t>
            </w: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5"/>
              </w:rPr>
              <w:t>Special voting common stock, Class E — $0.003 par value — authorized, 25,000,000 shares; issued and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0" w:type="dxa"/>
            <w:vAlign w:val="bottom"/>
            <w:tcBorders>
              <w:bottom w:val="single" w:sz="8" w:color="CCEEFF"/>
            </w:tcBorders>
            <w:shd w:val="clear" w:color="auto" w:fill="CCEEFF"/>
          </w:tcPr>
          <w:p>
            <w:pPr>
              <w:spacing w:after="0"/>
              <w:rPr>
                <w:sz w:val="20"/>
                <w:szCs w:val="20"/>
                <w:color w:val="auto"/>
              </w:rPr>
            </w:pPr>
          </w:p>
        </w:tc>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1,851,589 shares at December 31, 2014 and 4,424,814 shares at March 31, 2014</w:t>
            </w:r>
          </w:p>
        </w:tc>
        <w:tc>
          <w:tcPr>
            <w:tcW w:w="1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3"/>
              </w:rPr>
              <w:t>Treasury stock, at cost — 1,986,626 shares at December 31, 2014 and 609,625 shares at March 31, 2014</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(43,522)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144,269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80,264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195,249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171,636</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2,832,070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2,940,818</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52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526" w:right="23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center"/>
              <w:ind w:left="474"/>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2013</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70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1,304,686</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1,273,150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3,931,824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4,078,861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641,541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1,928,967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2,048,663</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366,371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320,370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1,064,994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w w:val="94"/>
              </w:rPr>
              <w:t>1,083,890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176,327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175,748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524,368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520,557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47,233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54,377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1,199,430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1,176,116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3,565,562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3,707,487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105,256</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97,034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366,262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371,374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86,616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310,638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309,994</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33,809</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31,014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121,432</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124,701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52,807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189,206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185,293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0.11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769" w:right="239" w:bottom="1440" w:gutter="0" w:footer="0" w:header="0"/>
        </w:sectPr>
      </w:pPr>
    </w:p>
    <w:bookmarkStart w:id="4" w:name="page5"/>
    <w:bookmarkEnd w:id="4"/>
    <w:p>
      <w:pPr>
        <w:jc w:val="center"/>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center"/>
              <w:ind w:left="460"/>
              <w:spacing w:after="0" w:line="151" w:lineRule="exact"/>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center"/>
              <w:ind w:left="480"/>
              <w:spacing w:after="0" w:line="151" w:lineRule="exact"/>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3"/>
                <w:szCs w:val="13"/>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60"/>
              <w:spacing w:after="0"/>
              <w:rPr>
                <w:sz w:val="20"/>
                <w:szCs w:val="20"/>
                <w:color w:val="auto"/>
              </w:rPr>
            </w:pPr>
            <w:r>
              <w:rPr>
                <w:rFonts w:ascii="Arial" w:cs="Arial" w:eastAsia="Arial" w:hAnsi="Arial"/>
                <w:sz w:val="14"/>
                <w:szCs w:val="14"/>
                <w:b w:val="1"/>
                <w:bCs w:val="1"/>
                <w:color w:val="auto"/>
                <w:w w:val="92"/>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2013</w:t>
            </w:r>
          </w:p>
        </w:tc>
      </w:tr>
      <w:tr>
        <w:trPr>
          <w:trHeight w:val="250"/>
        </w:trPr>
        <w:tc>
          <w:tcPr>
            <w:tcW w:w="5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21"/>
                <w:szCs w:val="21"/>
                <w:color w:val="auto"/>
              </w:rPr>
            </w:pPr>
          </w:p>
        </w:tc>
        <w:tc>
          <w:tcPr>
            <w:tcW w:w="270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0"/>
              </w:rPr>
              <w:t>(Amounts in thousands)</w:t>
            </w: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52,807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189,206</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185,293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140" w:type="dxa"/>
            <w:vAlign w:val="bottom"/>
          </w:tcPr>
          <w:p>
            <w:pPr>
              <w:jc w:val="right"/>
              <w:ind w:right="4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1,952</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52,893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189,463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187,245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98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189,206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185,293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47,233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54,377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14,119</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73,088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140,785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(25,824)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(48,610)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(3,352)</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228,058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292,334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(17,466)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Escrow receipts</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12,773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the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36,844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(186,828)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(6,223)</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(219,188)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(289,406)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198,438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(249,236)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(234,055)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52,780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259,994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350,384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197,443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403,164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36,552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46,927</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140,893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769" w:right="239"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December 31, 2014</w:t>
      </w:r>
    </w:p>
    <w:p>
      <w:pPr>
        <w:spacing w:after="0" w:line="176" w:lineRule="exact"/>
        <w:rPr>
          <w:sz w:val="20"/>
          <w:szCs w:val="20"/>
          <w:color w:val="auto"/>
        </w:rPr>
      </w:pPr>
    </w:p>
    <w:p>
      <w:pPr>
        <w:ind w:left="260" w:right="9300" w:hanging="252"/>
        <w:spacing w:after="0" w:line="367" w:lineRule="auto"/>
        <w:tabs>
          <w:tab w:leader="none" w:pos="19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ind w:right="20" w:firstLine="40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consulting, technology, and engineering services to the U.S. government in the defense, intelligence, and civil markets. Additionally, the Company provides its management and technology consulting services to major corporations, institutions, and not-for-profit organizations. The Company reports operating results and financial data in one operating segment. The Company is headquartered in McLean, Virginia, with approximately 22,300 employees as of December 31,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94" w:lineRule="exact"/>
        <w:rPr>
          <w:sz w:val="20"/>
          <w:szCs w:val="20"/>
          <w:color w:val="auto"/>
        </w:rPr>
      </w:pPr>
    </w:p>
    <w:p>
      <w:pPr>
        <w:ind w:right="16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2014 filed with the Securities and Exchange Commission on May 22, 2014, or Annual Report, and policies stated within this Quarterly Report. The Company’s fiscal year ends on March 31 and unless otherwise noted, references to fiscal year or fiscal are for fiscal years ended March 31.</w:t>
      </w:r>
    </w:p>
    <w:p>
      <w:pPr>
        <w:spacing w:after="0" w:line="12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nine months ended December 31, 2014 are not necessarily indicative of results to be expected for the full fiscal year.</w:t>
      </w:r>
    </w:p>
    <w:p>
      <w:pPr>
        <w:spacing w:after="0" w:line="12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allowance for doubtful accounts,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May 2014, the Financial Accounting Standards Board issued a new standard that will replace existing revenue recognition standards and significantly expand the disclosure requirements for revenue arrangements. The new standard will be effective for the Company beginning on April 1, 2017 (i.e., beginning with the first quarter fiscal 2018 interim financial statements). The new standard may be adopted retrospectively for all periods presented, or adopted using a modified retrospective approach. Under the retrospective approach, the fiscal 2017 and 2016 financial statements would be adjusted to reflect the effects of applying the new standard on those periods. Under the modified retrospective approach, the new standard would only be applied for the period beginning April 1, 2017 to new contracts and those contracts that are not yet complete at April 1, 2017, with a cumulative catch-up adjustment recorded to beginning retained earnings for existing contracts that still require performance. Management is still in the process of determining which transition method to utilize in order to apply the new standard and still assessing what effect the application of this standard may have on the timing of our revenue recognition and our financial statements.</w:t>
      </w:r>
    </w:p>
    <w:p>
      <w:pPr>
        <w:spacing w:after="0" w:line="89" w:lineRule="exact"/>
        <w:rPr>
          <w:sz w:val="20"/>
          <w:szCs w:val="20"/>
          <w:color w:val="auto"/>
        </w:rPr>
      </w:pPr>
    </w:p>
    <w:p>
      <w:pPr>
        <w:ind w:right="240" w:firstLine="405"/>
        <w:spacing w:after="0" w:line="342" w:lineRule="auto"/>
        <w:rPr>
          <w:sz w:val="20"/>
          <w:szCs w:val="20"/>
          <w:color w:val="auto"/>
        </w:rPr>
      </w:pPr>
      <w:r>
        <w:rPr>
          <w:rFonts w:ascii="Arial" w:cs="Arial" w:eastAsia="Arial" w:hAnsi="Arial"/>
          <w:sz w:val="16"/>
          <w:szCs w:val="16"/>
          <w:color w:val="auto"/>
        </w:rPr>
        <w:t>Other recent accounting pronouncements issued by the FASB during the nine months ended December 31, 2014 and through the filing date did not or are not believed by management to have a material impact on the Company's present or historical condensed consolidated financial statements.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2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94"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1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The Company currently has outstanding shares of Class A Common Stock and Class E Special Voting Common Stock. During the three months ended September 30, 2014, the Company converted all issued and outstanding shares of Class B Non-Voting Common Stock and Class C Restricted Common Stock into shares of Class A Common Stock on a one-for-one basis.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shares participated in the Company's dividends declared and paid in the first, second, and third quarters of fiscal 2015 and 2014.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80" w:type="dxa"/>
            <w:vAlign w:val="bottom"/>
          </w:tcPr>
          <w:p>
            <w:pPr>
              <w:spacing w:after="0"/>
              <w:rPr>
                <w:sz w:val="14"/>
                <w:szCs w:val="14"/>
                <w:color w:val="auto"/>
              </w:rPr>
            </w:pPr>
          </w:p>
        </w:tc>
        <w:tc>
          <w:tcPr>
            <w:tcW w:w="2540" w:type="dxa"/>
            <w:vAlign w:val="bottom"/>
            <w:gridSpan w:val="4"/>
          </w:tcPr>
          <w:p>
            <w:pPr>
              <w:jc w:val="right"/>
              <w:ind w:right="652"/>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6"/>
                <w:szCs w:val="16"/>
                <w:color w:val="auto"/>
              </w:rPr>
            </w:pPr>
          </w:p>
        </w:tc>
        <w:tc>
          <w:tcPr>
            <w:tcW w:w="254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December 31,</w:t>
            </w:r>
          </w:p>
        </w:tc>
      </w:tr>
      <w:tr>
        <w:trPr>
          <w:trHeight w:val="264"/>
        </w:trPr>
        <w:tc>
          <w:tcPr>
            <w:tcW w:w="596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186,275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183,605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w w:val="95"/>
              </w:rPr>
              <w:t>146,664,977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w w:val="93"/>
              </w:rPr>
              <w:t>140,948,396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w w:val="93"/>
              </w:rPr>
              <w:t>144,482,223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w w:val="99"/>
              </w:rPr>
              <w:t>138,540,878</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1,087,755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968,405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504,112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1,042,537</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Total weighted-average common shares outstanding for basic computations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5"/>
              </w:rPr>
              <w:t>146,664,977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142,864,060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145,279,406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140,671,170</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Earnings for diluted computations (1)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52,025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45,689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186,275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183,605</w:t>
            </w:r>
          </w:p>
        </w:tc>
      </w:tr>
      <w:tr>
        <w:trPr>
          <w:trHeight w:val="27"/>
        </w:trPr>
        <w:tc>
          <w:tcPr>
            <w:tcW w:w="5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4,014,108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5,971,223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4,960,430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7,494,020</w:t>
            </w:r>
          </w:p>
        </w:tc>
      </w:tr>
      <w:tr>
        <w:trPr>
          <w:trHeight w:val="237"/>
        </w:trPr>
        <w:tc>
          <w:tcPr>
            <w:tcW w:w="5960" w:type="dxa"/>
            <w:vAlign w:val="bottom"/>
          </w:tcPr>
          <w:p>
            <w:pPr>
              <w:ind w:left="380"/>
              <w:spacing w:after="0"/>
              <w:rPr>
                <w:sz w:val="20"/>
                <w:szCs w:val="20"/>
                <w:color w:val="auto"/>
              </w:rPr>
            </w:pPr>
            <w:r>
              <w:rPr>
                <w:rFonts w:ascii="Arial" w:cs="Arial" w:eastAsia="Arial" w:hAnsi="Arial"/>
                <w:sz w:val="18"/>
                <w:szCs w:val="18"/>
                <w:color w:val="auto"/>
                <w:w w:val="95"/>
              </w:rPr>
              <w:t>Average number of common shares outstanding for diluted computations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5"/>
              </w:rPr>
              <w:t>150,679,085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3"/>
              </w:rPr>
              <w:t>148,835,283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3"/>
              </w:rPr>
              <w:t>150,239,836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9"/>
              </w:rPr>
              <w:t>148,165,190</w:t>
            </w:r>
          </w:p>
        </w:tc>
      </w:tr>
      <w:tr>
        <w:trPr>
          <w:trHeight w:val="27"/>
        </w:trPr>
        <w:tc>
          <w:tcPr>
            <w:tcW w:w="5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1.31</w:t>
            </w:r>
          </w:p>
        </w:tc>
      </w:tr>
      <w:tr>
        <w:trPr>
          <w:trHeight w:val="67"/>
        </w:trPr>
        <w:tc>
          <w:tcPr>
            <w:tcW w:w="59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56"/>
        </w:trPr>
        <w:tc>
          <w:tcPr>
            <w:tcW w:w="59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8"/>
        <w:spacing w:after="0" w:line="291"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three months ended December 31, 2014 and 2013, approximately 2.2 million and 1.3 million participating securities were paid dividends totaling $250,000 and $1.5 million, respectively. During the nine months ended December 31, 2014 and 2013, approximately 2.2 million and 1.3 million participating securities were paid dividends totaling $2.9 million and $1.7 million, respectively. For the three months ended December 31, 2014 there were undistributed earnings of $550,000 and $540,000 allocated to the participating class of securities in basic and diluted earnings per share, respectively. The allocated undistributed earnings and the dividends paid comprise the difference between net income presented on the condensed consolidated statements of operations for the three months ended December 31, 2014 and earnings for basic computations, while only the dividends paid comprise the difference in net income for the three months ended December 31, 2013, and nine months ended December 31, 2014 and 2013 as there were no undistributed earnings.</w:t>
      </w:r>
    </w:p>
    <w:p>
      <w:pPr>
        <w:spacing w:after="0" w:line="329"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The EPS calculation for the three and nine months ended December 31, 2014 excludes 100,000 and 302,000 options, respectively, as their impact was anti-dilutive. The EPS calculation for the three and nine months ended December 31, 2013 excludes 101,000 and 104,000 options, respectively, as their impact was anti-dilutive.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2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ACCOUNTS RECEIVABLE,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6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378,691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395,509</w:t>
            </w: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466,450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522,685</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7"/>
        </w:trPr>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844,745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916,737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22,877</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863,029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939,614</w:t>
            </w:r>
          </w:p>
        </w:tc>
      </w:tr>
      <w:tr>
        <w:trPr>
          <w:trHeight w:val="27"/>
        </w:trPr>
        <w:tc>
          <w:tcPr>
            <w:tcW w:w="6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Unbilled amounts represent sales for which billings have not been presented to customers at quarter-end or year-end.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as accounts receivable in the accompanying condensed consolidated balance sheets. The Company recognized a provision (benefit) for doubtful accounts (including certain unbilled reserves) of $(8,000) and $(302,000) for the three months ended December 31, 2014 and 2013, respectively, and $(987,000) and $1.2 million for the nine months ended December 31, 2014 and 2013, respectively. Because the Company's accounts receivable are primarily with the U.S. Government and its agencies, the Company does not have material exposure to accounts receivable credit risk.</w:t>
      </w:r>
    </w:p>
    <w:p>
      <w:pPr>
        <w:spacing w:after="0" w:line="174" w:lineRule="exact"/>
        <w:rPr>
          <w:sz w:val="20"/>
          <w:szCs w:val="20"/>
          <w:color w:val="auto"/>
        </w:rPr>
      </w:pPr>
    </w:p>
    <w:p>
      <w:pPr>
        <w:ind w:left="440" w:right="5560" w:hanging="432"/>
        <w:spacing w:after="0" w:line="660" w:lineRule="auto"/>
        <w:tabs>
          <w:tab w:leader="none" w:pos="18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5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2014</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265,079</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236,584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223,728</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488,807</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3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2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75,423</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71,702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43,405</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2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99,533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117,626</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13)</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31,738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39,922</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25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27,547</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Other</w:t>
            </w:r>
          </w:p>
        </w:tc>
        <w:tc>
          <w:tcPr>
            <w:tcW w:w="2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28,076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27,517</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2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292,184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331,440</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06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526"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7. DEBT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835"/>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2014</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806,193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660,317</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Term Loan B</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829,751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998,602</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1,635,944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1,658,919</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(51,875)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(73,688)</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1,584,069</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1,585,231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May 7, 2014, the Company entered into the Second Amendment to the Credit Agreement, dated as of July 31, 2012 (as previously amended by the First Amendment to the Credit Agreement, dated as of August 16, 2013). As of December 31, 2014, the Credit Agreement, as amended, provided the Company with an $830.0 million Term Loan A and an $841.2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 The rates for Term Loan A and Term Loan B, as amended, remain unchanged. The Second Amendment also extended the maturity date of Term Loan A and the revolving credit facility to May 31, 2019. The maturity date for Term Loan B remained unchanged. The Company also amended its existing debt covenants to provide for greater operational and financial flexibility.</w:t>
      </w:r>
    </w:p>
    <w:p>
      <w:pPr>
        <w:spacing w:after="0" w:line="192"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 As of December 31, 2014 and March 31, 2014, there were no amounts outstanding on the revolving credit facility.</w:t>
      </w:r>
    </w:p>
    <w:p>
      <w:pPr>
        <w:spacing w:after="0" w:line="158"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133"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total outstanding debt balance is recorded in the accompanying condensed consolidated balance sheets, net of unamortized discount of $14.5 million and $12.3 million as of December 31, 2014 and March 31, 2014,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2014 and March 31, 2014, the Company was in compliance with all of the Credit Agreement's debt covenants.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4" w:lineRule="exact"/>
        <w:rPr>
          <w:sz w:val="20"/>
          <w:szCs w:val="20"/>
          <w:color w:val="auto"/>
        </w:rPr>
      </w:pPr>
    </w:p>
    <w:p>
      <w:pPr>
        <w:jc w:val="both"/>
        <w:ind w:right="40" w:firstLine="405"/>
        <w:spacing w:after="0" w:line="312" w:lineRule="auto"/>
        <w:rPr>
          <w:sz w:val="20"/>
          <w:szCs w:val="20"/>
          <w:color w:val="auto"/>
        </w:rPr>
      </w:pPr>
      <w:r>
        <w:rPr>
          <w:rFonts w:ascii="Arial" w:cs="Arial" w:eastAsia="Arial" w:hAnsi="Arial"/>
          <w:sz w:val="16"/>
          <w:szCs w:val="16"/>
          <w:color w:val="auto"/>
        </w:rPr>
        <w:t>The Company’s effective income tax rate was 39.0% and 39.7% for the three months ended December 31, 2014 and 2013, respectively, and 39.1% and 40.2% for the nine months ended December 31, 2014 and 2013, respectively. The three and nine months effective tax rates of 39.0% and 39.1% differ from the statutory rate of 35.0% due to state income taxes and the effect of permanent rate differences, which primarily relate to meals and entertainment.</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20"/>
          </w:cols>
          <w:pgMar w:left="240" w:top="52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76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57,949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57,406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24,416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28,527</w:t>
            </w:r>
          </w:p>
        </w:tc>
      </w:tr>
      <w:tr>
        <w:trPr>
          <w:trHeight w:val="27"/>
        </w:trPr>
        <w:tc>
          <w:tcPr>
            <w:tcW w:w="7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liability (Note 13)</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25,966</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Deferred payment obligation</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59,679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60,444</w:t>
            </w:r>
          </w:p>
        </w:tc>
      </w:tr>
      <w:tr>
        <w:trPr>
          <w:trHeight w:val="27"/>
        </w:trPr>
        <w:tc>
          <w:tcPr>
            <w:tcW w:w="7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benefit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80,527</w:t>
            </w: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16,936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13,977</w:t>
            </w:r>
          </w:p>
        </w:tc>
      </w:tr>
      <w:tr>
        <w:trPr>
          <w:trHeight w:val="27"/>
        </w:trPr>
        <w:tc>
          <w:tcPr>
            <w:tcW w:w="76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7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243,897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266,847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As of December 31, 2014 and March 31, 2014, the Company recorded a stock-based compensation liability of $31.7 million and $65.9 million, respectively, including $31.7 million and $39.9 million, respectively, expected to be paid within one year, related to special dividends paid in July and December 2009, June and August 2012, November 2013, and February and August 2014. Rollover options vested and not yet exercised that would have had an exercise price below zero as a result of the dividends were reduced to one cent, with the remaining reduction to be paid in cash upon exercise of the options. Payments of the special dividends to the Company's Amended and Restated Equity Incentive Plan, or EIP, option holders is linked to vesting. Refer to Note 13 for further discussion of the special dividends.</w:t>
      </w:r>
    </w:p>
    <w:p>
      <w:pPr>
        <w:spacing w:after="0" w:line="189" w:lineRule="exact"/>
        <w:rPr>
          <w:sz w:val="20"/>
          <w:szCs w:val="20"/>
          <w:color w:val="auto"/>
        </w:rPr>
      </w:pPr>
    </w:p>
    <w:p>
      <w:pPr>
        <w:ind w:left="340" w:right="8640" w:hanging="332"/>
        <w:spacing w:after="0" w:line="346" w:lineRule="auto"/>
        <w:tabs>
          <w:tab w:leader="none" w:pos="286"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spacing w:after="0" w:line="1" w:lineRule="exact"/>
        <w:rPr>
          <w:sz w:val="20"/>
          <w:szCs w:val="20"/>
          <w:color w:val="auto"/>
        </w:rPr>
      </w:pPr>
    </w:p>
    <w:p>
      <w:pPr>
        <w:ind w:right="100" w:firstLine="405"/>
        <w:spacing w:after="0" w:line="291"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was $26.2 million and $36.4 million for the three months ended December 31, 2014 and 2013, respectively, and $81.4 million and $118.7 million for the nine months ended December 31, 2014 and 2013, respectively. The Company-paid contributions were $14.9 million and $19.3 million for the three months ended December 31, 2014 and 2013, respectively, and $53.1 million and $83.7 million for the nine months ended December 31, 2014 and 2013,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3,559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2,751</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2,068</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8,378</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80" w:firstLine="405"/>
        <w:spacing w:after="0" w:line="308" w:lineRule="auto"/>
        <w:rPr>
          <w:sz w:val="20"/>
          <w:szCs w:val="20"/>
          <w:color w:val="auto"/>
        </w:rPr>
      </w:pPr>
      <w:r>
        <w:rPr>
          <w:rFonts w:ascii="Arial" w:cs="Arial" w:eastAsia="Arial" w:hAnsi="Arial"/>
          <w:sz w:val="17"/>
          <w:szCs w:val="17"/>
          <w:color w:val="auto"/>
        </w:rPr>
        <w:t>As of December 31, 2014 and March 31, 2014, the unfunded status of the post-retirement medical plan was $80.2 million and $75.9 million, respectively, which is included in other long-term liabilities in the accompanying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26"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 The following table represents a rollforward of amounts recognized in accumulated other comprehensive loss,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(12,254)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r>
      <w:tr>
        <w:trPr>
          <w:trHeight w:val="243"/>
        </w:trPr>
        <w:tc>
          <w:tcPr>
            <w:tcW w:w="6520" w:type="dxa"/>
            <w:vAlign w:val="bottom"/>
          </w:tcPr>
          <w:p>
            <w:pPr>
              <w:ind w:left="220"/>
              <w:spacing w:after="0"/>
              <w:rPr>
                <w:sz w:val="20"/>
                <w:szCs w:val="20"/>
                <w:color w:val="auto"/>
              </w:rPr>
            </w:pPr>
            <w:r>
              <w:rPr>
                <w:rFonts w:ascii="Arial" w:cs="Arial" w:eastAsia="Arial" w:hAnsi="Arial"/>
                <w:sz w:val="18"/>
                <w:szCs w:val="18"/>
                <w:color w:val="auto"/>
              </w:rPr>
              <w:t>Other comprehensive income (loss) before reclassifications</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747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1,205</w:t>
            </w:r>
          </w:p>
        </w:tc>
      </w:tr>
      <w:tr>
        <w:trPr>
          <w:trHeight w:val="237"/>
        </w:trPr>
        <w:tc>
          <w:tcPr>
            <w:tcW w:w="6520" w:type="dxa"/>
            <w:vAlign w:val="bottom"/>
          </w:tcPr>
          <w:p>
            <w:pPr>
              <w:ind w:left="360"/>
              <w:spacing w:after="0"/>
              <w:rPr>
                <w:sz w:val="20"/>
                <w:szCs w:val="20"/>
                <w:color w:val="auto"/>
              </w:rPr>
            </w:pPr>
            <w:r>
              <w:rPr>
                <w:rFonts w:ascii="Arial" w:cs="Arial" w:eastAsia="Arial" w:hAnsi="Arial"/>
                <w:sz w:val="18"/>
                <w:szCs w:val="18"/>
                <w:color w:val="auto"/>
              </w:rPr>
              <w:t>Net current-period other comprehensive loss</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1,952</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(11,835)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(11,835)</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520" w:type="dxa"/>
            <w:vAlign w:val="bottom"/>
            <w:gridSpan w:val="6"/>
          </w:tcPr>
          <w:p>
            <w:pPr>
              <w:ind w:left="5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65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3"/>
        </w:trPr>
        <w:tc>
          <w:tcPr>
            <w:tcW w:w="65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w w:val="95"/>
              </w:rPr>
              <w:t>Amortization of net actuarial loss included in net periodic benefit cost (See Note 10)</w:t>
            </w: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3"/>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2,068</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(863)</w:t>
            </w:r>
          </w:p>
        </w:tc>
      </w:tr>
      <w:tr>
        <w:trPr>
          <w:trHeight w:val="27"/>
        </w:trPr>
        <w:tc>
          <w:tcPr>
            <w:tcW w:w="65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1,205</w:t>
            </w:r>
          </w:p>
        </w:tc>
      </w:tr>
      <w:tr>
        <w:trPr>
          <w:trHeight w:val="20"/>
        </w:trPr>
        <w:tc>
          <w:tcPr>
            <w:tcW w:w="6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right="8820" w:hanging="332"/>
        <w:spacing w:after="0" w:line="346" w:lineRule="auto"/>
        <w:tabs>
          <w:tab w:leader="none" w:pos="286"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spacing w:after="0" w:line="1"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C</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Non-Voting</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2013</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136,457,444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1,451,600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7,478,522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405,843</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1,047,160</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5,299,501</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(3,053,708)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Share exchange</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1,157,968</w:t>
            </w:r>
          </w:p>
        </w:tc>
        <w:tc>
          <w:tcPr>
            <w:tcW w:w="12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(869,520)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(288,448)</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of common stock (1)</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203,782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143,962,073</w:t>
            </w:r>
          </w:p>
        </w:tc>
        <w:tc>
          <w:tcPr>
            <w:tcW w:w="120" w:type="dxa"/>
            <w:vAlign w:val="bottom"/>
          </w:tcPr>
          <w:p>
            <w:pPr>
              <w:spacing w:after="0"/>
              <w:rPr>
                <w:sz w:val="20"/>
                <w:szCs w:val="20"/>
                <w:color w:val="auto"/>
              </w:rPr>
            </w:pPr>
          </w:p>
        </w:tc>
        <w:tc>
          <w:tcPr>
            <w:tcW w:w="15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4,424,814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609,625</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1,315,400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3,099,729</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(2,573,225)</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exchange (3)</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1,517,951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(582,080)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(935,871)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1,377,001</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2014</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149,895,153</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1,851,589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1,986,626</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40" w:hanging="652"/>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shares repurchased on June 30, 2013 to cover the minimum statutory withholding taxes on restricted stock awards that vested on June 30, 2013 and shares repurchased on multiple dates to cover the minimum statutory withholding taxes on accelerated restricted stock vesting for departing officers.</w:t>
      </w:r>
    </w:p>
    <w:p>
      <w:pPr>
        <w:spacing w:after="0" w:line="181" w:lineRule="exact"/>
        <w:rPr>
          <w:rFonts w:ascii="Arial" w:cs="Arial" w:eastAsia="Arial" w:hAnsi="Arial"/>
          <w:sz w:val="18"/>
          <w:szCs w:val="18"/>
          <w:color w:val="auto"/>
        </w:rPr>
      </w:pPr>
    </w:p>
    <w:p>
      <w:pPr>
        <w:ind w:left="660" w:right="68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November 5, 2014, the Company entered into an agreement with an affiliate of The Carlyle Group to repurchase 1,000,000 shares of the Company's Class A Common Stock. The shares were repurchased at a price of $25.10 per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6" w:right="239" w:bottom="1440" w:gutter="0" w:footer="0" w:header="0"/>
        </w:sectPr>
      </w:pPr>
    </w:p>
    <w:bookmarkStart w:id="12" w:name="page13"/>
    <w:bookmarkEnd w:id="12"/>
    <w:p>
      <w:pPr>
        <w:ind w:left="660"/>
        <w:spacing w:after="0" w:line="329" w:lineRule="auto"/>
        <w:rPr>
          <w:sz w:val="20"/>
          <w:szCs w:val="20"/>
          <w:color w:val="auto"/>
        </w:rPr>
      </w:pPr>
      <w:r>
        <w:rPr>
          <w:rFonts w:ascii="Arial" w:cs="Arial" w:eastAsia="Arial" w:hAnsi="Arial"/>
          <w:sz w:val="17"/>
          <w:szCs w:val="17"/>
          <w:color w:val="auto"/>
        </w:rPr>
        <w:t>share in a private non-underwritten transaction. The repurchase of common stock above also reflects shares repurchased on June 30, 2014 to cover the minimum statutory withholding taxes on restricted stock awards that vested on June 30, 2014, shares repurchased on September 12, 2014 to cover the minimum statutory withholding taxes on rollover stock options exercised on September 12, 2014 and shares repurchased on multiple dates to cover the minimum statutory withholding taxes on accelerated restricted stock vesting for departing officers.</w:t>
      </w:r>
    </w:p>
    <w:p>
      <w:pPr>
        <w:spacing w:after="0" w:line="144" w:lineRule="exact"/>
        <w:rPr>
          <w:sz w:val="20"/>
          <w:szCs w:val="20"/>
          <w:color w:val="auto"/>
        </w:rPr>
      </w:pPr>
    </w:p>
    <w:p>
      <w:pPr>
        <w:ind w:left="660" w:right="60" w:hanging="652"/>
        <w:spacing w:after="0" w:line="29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w:t>
      </w:r>
    </w:p>
    <w:p>
      <w:pPr>
        <w:spacing w:after="0" w:line="104" w:lineRule="exact"/>
        <w:rPr>
          <w:sz w:val="20"/>
          <w:szCs w:val="20"/>
          <w:color w:val="auto"/>
        </w:rPr>
      </w:pPr>
    </w:p>
    <w:p>
      <w:pPr>
        <w:ind w:right="300" w:firstLine="405"/>
        <w:spacing w:after="0" w:line="342" w:lineRule="auto"/>
        <w:rPr>
          <w:sz w:val="20"/>
          <w:szCs w:val="20"/>
          <w:color w:val="auto"/>
        </w:rPr>
      </w:pPr>
      <w:r>
        <w:rPr>
          <w:rFonts w:ascii="Arial" w:cs="Arial" w:eastAsia="Arial" w:hAnsi="Arial"/>
          <w:sz w:val="16"/>
          <w:szCs w:val="16"/>
          <w:color w:val="auto"/>
        </w:rPr>
        <w:t>For the quarterly offering period that closed on December 31, 2014, 48,029 Class A Common Stock shares were purchased by employees under the Company's Employee Stock Purchase Plan, or ESPP. Since the program's inception, 1,460,880 shares have been purchased by employees.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31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35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2"/>
        </w:trPr>
        <w:tc>
          <w:tcPr>
            <w:tcW w:w="3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264"/>
        </w:trPr>
        <w:tc>
          <w:tcPr>
            <w:tcW w:w="35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2013</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6,601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3,982</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Pr>
          <w:p>
            <w:pPr>
              <w:spacing w:after="0"/>
              <w:rPr>
                <w:sz w:val="21"/>
                <w:szCs w:val="21"/>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4,764</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3,456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13,353</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10,137</w:t>
            </w:r>
          </w:p>
        </w:tc>
      </w:tr>
      <w:tr>
        <w:trPr>
          <w:trHeight w:val="27"/>
        </w:trPr>
        <w:tc>
          <w:tcPr>
            <w:tcW w:w="3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3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7,067</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4,778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19,954</w:t>
            </w: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14,119</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4420" w:hanging="392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8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w w:val="92"/>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92"/>
        </w:trPr>
        <w:tc>
          <w:tcPr>
            <w:tcW w:w="35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35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w w:val="83"/>
              </w:rPr>
              <w:t>2013</w:t>
            </w: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Equity Incentive Plan Options</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4,022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4,741</w:t>
            </w:r>
          </w:p>
        </w:tc>
      </w:tr>
      <w:tr>
        <w:trPr>
          <w:trHeight w:val="243"/>
        </w:trPr>
        <w:tc>
          <w:tcPr>
            <w:tcW w:w="3500" w:type="dxa"/>
            <w:vAlign w:val="bottom"/>
          </w:tcPr>
          <w:p>
            <w:pPr>
              <w:ind w:left="160"/>
              <w:spacing w:after="0"/>
              <w:rPr>
                <w:sz w:val="20"/>
                <w:szCs w:val="20"/>
                <w:color w:val="auto"/>
              </w:rPr>
            </w:pPr>
            <w:r>
              <w:rPr>
                <w:rFonts w:ascii="Arial" w:cs="Arial" w:eastAsia="Arial" w:hAnsi="Arial"/>
                <w:sz w:val="18"/>
                <w:szCs w:val="18"/>
                <w:color w:val="auto"/>
              </w:rPr>
              <w:t>Class A Restricted Common Stock</w:t>
            </w:r>
          </w:p>
        </w:tc>
        <w:tc>
          <w:tcPr>
            <w:tcW w:w="940" w:type="dxa"/>
            <w:vAlign w:val="bottom"/>
          </w:tcPr>
          <w:p>
            <w:pPr>
              <w:spacing w:after="0"/>
              <w:rPr>
                <w:sz w:val="21"/>
                <w:szCs w:val="21"/>
                <w:color w:val="auto"/>
              </w:rPr>
            </w:pPr>
          </w:p>
        </w:tc>
        <w:tc>
          <w:tcPr>
            <w:tcW w:w="520" w:type="dxa"/>
            <w:vAlign w:val="bottom"/>
          </w:tcPr>
          <w:p>
            <w:pPr>
              <w:jc w:val="right"/>
              <w:ind w:right="15"/>
              <w:spacing w:after="0"/>
              <w:rPr>
                <w:sz w:val="20"/>
                <w:szCs w:val="20"/>
                <w:color w:val="auto"/>
              </w:rPr>
            </w:pPr>
            <w:r>
              <w:rPr>
                <w:rFonts w:ascii="Arial" w:cs="Arial" w:eastAsia="Arial" w:hAnsi="Arial"/>
                <w:sz w:val="18"/>
                <w:szCs w:val="18"/>
                <w:color w:val="auto"/>
                <w:w w:val="88"/>
              </w:rPr>
              <w:t>5,826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2,988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15,932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8,741</w:t>
            </w:r>
          </w:p>
        </w:tc>
      </w:tr>
      <w:tr>
        <w:trPr>
          <w:trHeight w:val="27"/>
        </w:trPr>
        <w:tc>
          <w:tcPr>
            <w:tcW w:w="35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Rollover Options</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578</w:t>
            </w:r>
          </w:p>
        </w:tc>
      </w:tr>
      <w:tr>
        <w:trPr>
          <w:trHeight w:val="243"/>
        </w:trPr>
        <w:tc>
          <w:tcPr>
            <w:tcW w:w="3500" w:type="dxa"/>
            <w:vAlign w:val="bottom"/>
          </w:tcPr>
          <w:p>
            <w:pPr>
              <w:ind w:left="160"/>
              <w:spacing w:after="0"/>
              <w:rPr>
                <w:sz w:val="20"/>
                <w:szCs w:val="20"/>
                <w:color w:val="auto"/>
              </w:rPr>
            </w:pPr>
            <w:r>
              <w:rPr>
                <w:rFonts w:ascii="Arial" w:cs="Arial" w:eastAsia="Arial" w:hAnsi="Arial"/>
                <w:sz w:val="18"/>
                <w:szCs w:val="18"/>
                <w:color w:val="auto"/>
              </w:rPr>
              <w:t>Class C Restricted Stock</w:t>
            </w:r>
          </w:p>
        </w:tc>
        <w:tc>
          <w:tcPr>
            <w:tcW w:w="9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59</w:t>
            </w:r>
          </w:p>
        </w:tc>
      </w:tr>
      <w:tr>
        <w:trPr>
          <w:trHeight w:val="27"/>
        </w:trPr>
        <w:tc>
          <w:tcPr>
            <w:tcW w:w="35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3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88"/>
              </w:rPr>
              <w:t>7,067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4"/>
              </w:rPr>
              <w:t>4,778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19,954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14,119</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As of December 31, 2014, there was $34.6 million of total unrecognized compensation cost related to unvested stock-based compensation agreements. The unrecognized compensation cost as of December 31, 2014 is expected to be amortized over 4.25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192" w:lineRule="exact"/>
        <w:rPr>
          <w:sz w:val="20"/>
          <w:szCs w:val="20"/>
          <w:color w:val="auto"/>
        </w:rPr>
      </w:pPr>
    </w:p>
    <w:tbl>
      <w:tblPr>
        <w:tblLayout w:type="fixed"/>
        <w:tblInd w:w="32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39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Weighted Average Remaining</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to be Recognized</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3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5,862</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3.02</w:t>
            </w:r>
          </w:p>
        </w:tc>
        <w:tc>
          <w:tcPr>
            <w:tcW w:w="0" w:type="dxa"/>
            <w:vAlign w:val="bottom"/>
          </w:tcPr>
          <w:p>
            <w:pPr>
              <w:spacing w:after="0"/>
              <w:rPr>
                <w:sz w:val="1"/>
                <w:szCs w:val="1"/>
                <w:color w:val="auto"/>
              </w:rPr>
            </w:pPr>
          </w:p>
        </w:tc>
      </w:tr>
      <w:tr>
        <w:trPr>
          <w:trHeight w:val="243"/>
        </w:trPr>
        <w:tc>
          <w:tcPr>
            <w:tcW w:w="39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2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jc w:val="right"/>
              <w:ind w:right="39"/>
              <w:spacing w:after="0"/>
              <w:rPr>
                <w:sz w:val="20"/>
                <w:szCs w:val="20"/>
                <w:color w:val="auto"/>
              </w:rPr>
            </w:pPr>
            <w:r>
              <w:rPr>
                <w:rFonts w:ascii="Arial" w:cs="Arial" w:eastAsia="Arial" w:hAnsi="Arial"/>
                <w:sz w:val="18"/>
                <w:szCs w:val="18"/>
                <w:color w:val="auto"/>
              </w:rPr>
              <w:t>28,723</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2.90</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34,585</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230"/>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557" w:right="319" w:bottom="1440" w:gutter="0" w:footer="0" w:header="0"/>
        </w:sectPr>
      </w:pPr>
    </w:p>
    <w:bookmarkStart w:id="13" w:name="page14"/>
    <w:bookmarkEnd w:id="13"/>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9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October 29, 2014, 34,766 options were granted under the EIP. The estimated fair value of the grant was $6.04, resulting in a total fair value of $0.2 million. The fair value of our Class A Common Stock on October 29, 2014 at the time of the option grant was $25.19.</w:t>
      </w:r>
    </w:p>
    <w:p>
      <w:pPr>
        <w:spacing w:after="0" w:line="3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On November 3, 2014, 65,310 options were granted under the EIP. The estimated fair value of the grant was $6.43, resulting in a total fair value of $0.4 million. The fair value of our Class A Common Stock on November 3, 2014 at the time of the option grant was $26.50.</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2014, there were 6,679,333 EIP options outstanding, of which 2,432,594 were unvested.</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Grants of Class A Restricted Common Stock and Restricted Stock Units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grants of Class A Restricted Stock or Restricted Stock Units during the three months ended December 31,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90"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Board of Directors, as the Administrator of the Officers' Rollover Stock Plan and the EIP, has discretion in how to effect the required adjustment to keep option holders whole in the event of a distribution of dividends that triggers certain anti-dilution clauses within the respective plans. In the event the Board of Directors elects to grant option holders a cash payment equal to the amount of the special dividend, the Company accrues a stock-based compensation liability as the respective option's stock compensation expense is recorded in the condensed consolidated statement of operations. This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60"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Total compensation expense recorded in conjunction with the payment of the dividend equivalents to EIP options holders for the three months ended December 31, 2014 was $0.1 million. Future compensation expense related to the payment of the dividend equivalents to holders of EIP options not yet recognized in the statement of operations is $0.6 million and is expected to be recognized over 2.50 years.</w:t>
      </w:r>
    </w:p>
    <w:p>
      <w:pPr>
        <w:spacing w:after="0" w:line="262" w:lineRule="exact"/>
        <w:rPr>
          <w:sz w:val="20"/>
          <w:szCs w:val="20"/>
          <w:color w:val="auto"/>
        </w:rPr>
      </w:pPr>
    </w:p>
    <w:p>
      <w:pPr>
        <w:ind w:right="280" w:firstLine="405"/>
        <w:spacing w:after="0" w:line="264" w:lineRule="auto"/>
        <w:rPr>
          <w:sz w:val="20"/>
          <w:szCs w:val="20"/>
          <w:color w:val="auto"/>
        </w:rPr>
      </w:pPr>
      <w:r>
        <w:rPr>
          <w:rFonts w:ascii="Arial" w:cs="Arial" w:eastAsia="Arial" w:hAnsi="Arial"/>
          <w:sz w:val="18"/>
          <w:szCs w:val="18"/>
          <w:color w:val="auto"/>
        </w:rPr>
        <w:t>As of December 31, 2014 and March 31, 2014, the Company calculated a total recorded and unrecorded stock-based compensation liability of $36.3 million and $73.1 million, respectively, related to the special dividends paid in July and December 2009, June and August 2012, November 2013 and February and August 2014. The recorded stock-based compensation liability is as follows:</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90"/>
              </w:rPr>
              <w:t>December 31, 2014</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Arial" w:cs="Arial" w:eastAsia="Arial" w:hAnsi="Arial"/>
                <w:sz w:val="18"/>
                <w:szCs w:val="18"/>
                <w:b w:val="1"/>
                <w:bCs w:val="1"/>
                <w:color w:val="auto"/>
                <w:w w:val="96"/>
              </w:rPr>
              <w:t>EIP Options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liability (1)</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39,922</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Long-term portion of liability (2)</w:t>
            </w:r>
          </w:p>
        </w:tc>
        <w:tc>
          <w:tcPr>
            <w:tcW w:w="3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25,966</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accrued compensation and benefits (Note 6).</w:t>
      </w:r>
    </w:p>
    <w:p>
      <w:pPr>
        <w:spacing w:after="0" w:line="90" w:lineRule="exact"/>
        <w:rPr>
          <w:rFonts w:ascii="Arial" w:cs="Arial" w:eastAsia="Arial" w:hAnsi="Arial"/>
          <w:sz w:val="18"/>
          <w:szCs w:val="18"/>
          <w:color w:val="auto"/>
        </w:rPr>
      </w:pPr>
    </w:p>
    <w:p>
      <w:pPr>
        <w:ind w:left="440" w:hanging="432"/>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Included in other long-term liabilities (Note 9).</w:t>
      </w:r>
    </w:p>
    <w:p>
      <w:pPr>
        <w:spacing w:after="0" w:line="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2014, $4.6 million related to EIP options will be recorded as liabilities as the options vest over the next 4.25 years. As of March 31, 2014, there was an unrecorded liability of $7.2 million related to EIP options. There is no unrecorded liability related to Rollover options as of December 31, 2014 or March 31, 2014, as the Rollover options are fully vested.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773" w:right="279" w:bottom="1440" w:gutter="0" w:footer="0" w:header="0"/>
        </w:sectPr>
      </w:pPr>
    </w:p>
    <w:bookmarkStart w:id="14" w:name="page15"/>
    <w:bookmarkEnd w:id="14"/>
    <w:p>
      <w:pPr>
        <w:ind w:right="20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following tables set forth by level represent the fair value of the Company's cash and cash equivalents as of December 31,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4900" w:type="dxa"/>
            <w:vAlign w:val="bottom"/>
            <w:gridSpan w:val="8"/>
          </w:tcPr>
          <w:p>
            <w:pPr>
              <w:jc w:val="center"/>
              <w:spacing w:after="0"/>
              <w:rPr>
                <w:sz w:val="20"/>
                <w:szCs w:val="20"/>
                <w:color w:val="auto"/>
              </w:rPr>
            </w:pPr>
            <w:r>
              <w:rPr>
                <w:rFonts w:ascii="Arial" w:cs="Arial" w:eastAsia="Arial" w:hAnsi="Arial"/>
                <w:sz w:val="18"/>
                <w:szCs w:val="18"/>
                <w:b w:val="1"/>
                <w:bCs w:val="1"/>
                <w:color w:val="auto"/>
                <w:w w:val="89"/>
              </w:rPr>
              <w:t>Fair Value of Cash and Cash Equivalents as of December 31,</w:t>
            </w:r>
          </w:p>
        </w:tc>
      </w:tr>
      <w:tr>
        <w:trPr>
          <w:trHeight w:val="234"/>
        </w:trPr>
        <w:tc>
          <w:tcPr>
            <w:tcW w:w="6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4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94"/>
              </w:rPr>
              <w:t>2014</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Level 3</w:t>
            </w:r>
          </w:p>
        </w:tc>
        <w:tc>
          <w:tcPr>
            <w:tcW w:w="1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$48,005</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center"/>
              <w:ind w:left="13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$48,005</w:t>
            </w:r>
          </w:p>
        </w:tc>
      </w:tr>
      <w:tr>
        <w:trPr>
          <w:trHeight w:val="27"/>
        </w:trPr>
        <w:tc>
          <w:tcPr>
            <w:tcW w:w="6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(1)</w:t>
            </w:r>
          </w:p>
        </w:tc>
        <w:tc>
          <w:tcPr>
            <w:tcW w:w="1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center"/>
              <w:ind w:left="110"/>
              <w:spacing w:after="0"/>
              <w:rPr>
                <w:sz w:val="20"/>
                <w:szCs w:val="20"/>
                <w:color w:val="auto"/>
              </w:rPr>
            </w:pPr>
            <w:r>
              <w:rPr>
                <w:rFonts w:ascii="Arial" w:cs="Arial" w:eastAsia="Arial" w:hAnsi="Arial"/>
                <w:sz w:val="18"/>
                <w:szCs w:val="18"/>
                <w:color w:val="auto"/>
                <w:w w:val="90"/>
              </w:rPr>
              <w:t>$149,438</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$149,438</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$48,005</w:t>
            </w:r>
          </w:p>
        </w:tc>
        <w:tc>
          <w:tcPr>
            <w:tcW w:w="12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center"/>
              <w:ind w:left="110"/>
              <w:spacing w:after="0"/>
              <w:rPr>
                <w:sz w:val="20"/>
                <w:szCs w:val="20"/>
                <w:color w:val="auto"/>
              </w:rPr>
            </w:pPr>
            <w:r>
              <w:rPr>
                <w:rFonts w:ascii="Arial" w:cs="Arial" w:eastAsia="Arial" w:hAnsi="Arial"/>
                <w:sz w:val="18"/>
                <w:szCs w:val="18"/>
                <w:color w:val="auto"/>
                <w:w w:val="90"/>
              </w:rPr>
              <w:t>$149,438</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$197,443</w:t>
            </w:r>
          </w:p>
        </w:tc>
      </w:tr>
      <w:tr>
        <w:trPr>
          <w:trHeight w:val="20"/>
        </w:trPr>
        <w:tc>
          <w:tcPr>
            <w:tcW w:w="6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 forth by levels represents the fair value of the Company's cash and cash equivalents as of March 31,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40" w:type="dxa"/>
            <w:vAlign w:val="bottom"/>
            <w:gridSpan w:val="7"/>
          </w:tcPr>
          <w:p>
            <w:pPr>
              <w:jc w:val="center"/>
              <w:ind w:right="770"/>
              <w:spacing w:after="0"/>
              <w:rPr>
                <w:sz w:val="20"/>
                <w:szCs w:val="20"/>
                <w:color w:val="auto"/>
              </w:rPr>
            </w:pPr>
            <w:r>
              <w:rPr>
                <w:rFonts w:ascii="Arial" w:cs="Arial" w:eastAsia="Arial" w:hAnsi="Arial"/>
                <w:sz w:val="18"/>
                <w:szCs w:val="18"/>
                <w:b w:val="1"/>
                <w:bCs w:val="1"/>
                <w:color w:val="auto"/>
                <w:w w:val="91"/>
              </w:rPr>
              <w:t>Fair Value of Cash and Cash Equivalents</w:t>
            </w:r>
          </w:p>
        </w:tc>
      </w:tr>
      <w:tr>
        <w:trPr>
          <w:trHeight w:val="234"/>
        </w:trPr>
        <w:tc>
          <w:tcPr>
            <w:tcW w:w="6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0"/>
              </w:rPr>
              <w:t>as of March 31, 2014</w:t>
            </w:r>
          </w:p>
        </w:tc>
        <w:tc>
          <w:tcPr>
            <w:tcW w:w="114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w w:val="88"/>
              </w:rPr>
              <w:t>Level 1</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Level 2</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Level 3</w:t>
            </w:r>
          </w:p>
        </w:tc>
        <w:tc>
          <w:tcPr>
            <w:tcW w:w="1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top w:val="single" w:sz="8" w:color="auto"/>
            </w:tcBorders>
          </w:tcPr>
          <w:p>
            <w:pPr>
              <w:jc w:val="center"/>
              <w:ind w:left="190"/>
              <w:spacing w:after="0"/>
              <w:rPr>
                <w:sz w:val="20"/>
                <w:szCs w:val="20"/>
                <w:color w:val="auto"/>
              </w:rPr>
            </w:pPr>
            <w:r>
              <w:rPr>
                <w:rFonts w:ascii="Arial" w:cs="Arial" w:eastAsia="Arial" w:hAnsi="Arial"/>
                <w:sz w:val="18"/>
                <w:szCs w:val="18"/>
                <w:color w:val="auto"/>
                <w:w w:val="89"/>
              </w:rPr>
              <w:t>$37,886</w:t>
            </w:r>
          </w:p>
        </w:tc>
        <w:tc>
          <w:tcPr>
            <w:tcW w:w="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$37,886</w:t>
            </w:r>
          </w:p>
        </w:tc>
      </w:tr>
      <w:tr>
        <w:trPr>
          <w:trHeight w:val="27"/>
        </w:trPr>
        <w:tc>
          <w:tcPr>
            <w:tcW w:w="6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 (1)</w:t>
            </w:r>
          </w:p>
        </w:tc>
        <w:tc>
          <w:tcPr>
            <w:tcW w:w="860" w:type="dxa"/>
            <w:vAlign w:val="bottom"/>
            <w:tcBorders>
              <w:bottom w:val="single" w:sz="8" w:color="CCEEFF"/>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gridSpan w:val="3"/>
            <w:shd w:val="clear" w:color="auto" w:fill="CCEEFF"/>
          </w:tcPr>
          <w:p>
            <w:pPr>
              <w:jc w:val="center"/>
              <w:ind w:left="310"/>
              <w:spacing w:after="0"/>
              <w:rPr>
                <w:sz w:val="20"/>
                <w:szCs w:val="20"/>
                <w:color w:val="auto"/>
              </w:rPr>
            </w:pPr>
            <w:r>
              <w:rPr>
                <w:rFonts w:ascii="Arial" w:cs="Arial" w:eastAsia="Arial" w:hAnsi="Arial"/>
                <w:sz w:val="18"/>
                <w:szCs w:val="18"/>
                <w:color w:val="auto"/>
                <w:w w:val="90"/>
              </w:rPr>
              <w:t>$222,108</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$222,108</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cash and cash equivalents</w:t>
            </w:r>
          </w:p>
        </w:tc>
        <w:tc>
          <w:tcPr>
            <w:tcW w:w="860" w:type="dxa"/>
            <w:vAlign w:val="bottom"/>
            <w:tcBorders>
              <w:top w:val="single" w:sz="8" w:color="auto"/>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$37,886</w:t>
            </w:r>
          </w:p>
        </w:tc>
        <w:tc>
          <w:tcPr>
            <w:tcW w:w="2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$222,108</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$259,994</w:t>
            </w:r>
          </w:p>
        </w:tc>
      </w:tr>
      <w:tr>
        <w:trPr>
          <w:trHeight w:val="20"/>
        </w:trPr>
        <w:tc>
          <w:tcPr>
            <w:tcW w:w="6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6"/>
          <w:szCs w:val="16"/>
          <w:color w:val="auto"/>
        </w:rPr>
        <w:t>Level two cash and cash equivalents are invested in money market funds that are intended to maintain a stable net asset value of $1.00 per share by</w:t>
      </w:r>
    </w:p>
    <w:p>
      <w:pPr>
        <w:spacing w:after="0" w:line="49" w:lineRule="exact"/>
        <w:rPr>
          <w:rFonts w:ascii="Arial" w:cs="Arial" w:eastAsia="Arial" w:hAnsi="Arial"/>
          <w:sz w:val="18"/>
          <w:szCs w:val="18"/>
          <w:color w:val="auto"/>
        </w:rPr>
      </w:pPr>
    </w:p>
    <w:p>
      <w:pPr>
        <w:ind w:right="120"/>
        <w:spacing w:after="0" w:line="293" w:lineRule="auto"/>
        <w:rPr>
          <w:rFonts w:ascii="Arial" w:cs="Arial" w:eastAsia="Arial" w:hAnsi="Arial"/>
          <w:sz w:val="18"/>
          <w:szCs w:val="18"/>
          <w:color w:val="auto"/>
        </w:rPr>
      </w:pPr>
      <w:r>
        <w:rPr>
          <w:rFonts w:ascii="Arial" w:cs="Arial" w:eastAsia="Arial" w:hAnsi="Arial"/>
          <w:sz w:val="18"/>
          <w:szCs w:val="18"/>
          <w:color w:val="auto"/>
        </w:rPr>
        <w:t>investing in liquid, high quality U.S. dollar-denominated money market instruments. Depending on our short-term liquidity needs, we make regular transfers between money market funds and other cash equivalents.</w:t>
      </w:r>
    </w:p>
    <w:p>
      <w:pPr>
        <w:spacing w:after="0" w:line="4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fair value of the Company's trade accounts receivable and accounts payable approximates its carrying value at December 31, 2014 and March 31, 2014 because of the short-term nature of these instruments. The fair value of the Company's debt instruments approximates its carrying value at December 31, 2014 and March 31, 2014. The fair value of debt is determined based on interest rates available for debt with terms and maturities similar to the Company's existing debt arrangements (Level 2 inputs).</w:t>
      </w:r>
    </w:p>
    <w:p>
      <w:pPr>
        <w:spacing w:after="0" w:line="79" w:lineRule="exact"/>
        <w:rPr>
          <w:sz w:val="20"/>
          <w:szCs w:val="20"/>
          <w:color w:val="auto"/>
        </w:rPr>
      </w:pPr>
    </w:p>
    <w:p>
      <w:pPr>
        <w:ind w:right="260" w:firstLine="405"/>
        <w:spacing w:after="0" w:line="271" w:lineRule="auto"/>
        <w:rPr>
          <w:sz w:val="20"/>
          <w:szCs w:val="20"/>
          <w:color w:val="auto"/>
        </w:rPr>
      </w:pPr>
      <w:r>
        <w:rPr>
          <w:rFonts w:ascii="Arial" w:cs="Arial" w:eastAsia="Arial" w:hAnsi="Arial"/>
          <w:sz w:val="17"/>
          <w:szCs w:val="17"/>
          <w:color w:val="auto"/>
        </w:rPr>
        <w:t>On October 9, 2014, the Company entered into a contingent consideration arrangement in connection with a business acquisition. Under the arrangement, the Company agreed to pay up to a maximum of $9 million in cash to the seller if certain financial performance thresholds are achieved in calendar years 2016 and 2017. The fair value of the contingent consideration liability as of December 31, 2014 was $4.5 million and is a Level 3 fair value measurement recorded within other long-term liabilities. It was valued using a Monte Carlo simulation and the key input besides projected cash flows was volatility, estimated as 30% based on the asset volatility of comparable publicly-traded companies. An increase (decrease) in volatility in isolation would result in a lower (higher) fair value measurement. After the initial recording of this liability as a part of the purchase accounting, there were no subsequent changes in fair value recorded during the third quarter of fiscal 2015. Any future changes in the fair value of this contingent consideration liability will be recognized in earnings during the applicable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337"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Carlyle Group is the largest shareholder of the Company. On November 5, 2014, the Company entered into an agreement with an affiliate of The Carlyle Group to repurchase 1,000,000 shares of our Class A common stock pursuant to the repurchase program described in Note 12 above. The shares were repurchased at a price of $25.10 per share as part of a private non-underwritten transaction. From time to time, and in the ordinary course of business:</w:t>
      </w:r>
    </w:p>
    <w:p>
      <w:pPr>
        <w:ind w:right="60" w:firstLine="8"/>
        <w:spacing w:after="0" w:line="253"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Carlyle portfolio companies engage the Company as a subcontractor or service provider, and (2) the Company engages other Carlyle portfolio companies as subcontractors or service providers. Revenue and cost associated with these related parties for the three months ended December 31, 2014 were $312,000 and $233,000, respectively, and $961,000 and $719,000 for the nine months ended December 31, 2014, respectively. Revenue and cost associated with these related parties for the three months ended December 31, 2013 were $70,000 and $61,000, respectively, and $237,000 and $201,000 for the nine months ended December 31, 2013, respectively.</w:t>
      </w:r>
    </w:p>
    <w:p>
      <w:pPr>
        <w:spacing w:after="0" w:line="353" w:lineRule="exact"/>
        <w:rPr>
          <w:sz w:val="20"/>
          <w:szCs w:val="20"/>
          <w:color w:val="auto"/>
        </w:rPr>
      </w:pPr>
    </w:p>
    <w:p>
      <w:pPr>
        <w:jc w:val="both"/>
        <w:ind w:right="140" w:firstLine="405"/>
        <w:spacing w:after="0" w:line="264"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amounts of $47.0 million and $55.5 million at December 31, 2014 and March 31, 2014, respectively. The participation by such investment vehicles in the syndication of the Company's debt was done on an arm’s length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638" w:right="239" w:bottom="1440" w:gutter="0" w:footer="0" w:header="0"/>
        </w:sectPr>
      </w:pPr>
    </w:p>
    <w:bookmarkStart w:id="15" w:name="page16"/>
    <w:bookmarkEnd w:id="15"/>
    <w:p>
      <w:pPr>
        <w:ind w:firstLine="405"/>
        <w:spacing w:after="0" w:line="273" w:lineRule="auto"/>
        <w:rPr>
          <w:sz w:val="20"/>
          <w:szCs w:val="20"/>
          <w:color w:val="auto"/>
        </w:rPr>
      </w:pPr>
      <w:r>
        <w:rPr>
          <w:rFonts w:ascii="Arial" w:cs="Arial" w:eastAsia="Arial" w:hAnsi="Arial"/>
          <w:sz w:val="17"/>
          <w:szCs w:val="17"/>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December 31, 2014 and 2013, the Company incurred $250,000 in advisory fees. For the nine months ended December 31, 2014 and 2013, the Company incurred $750,000 in advisory fees in each period.</w:t>
      </w:r>
    </w:p>
    <w:p>
      <w:pPr>
        <w:spacing w:after="0" w:line="174" w:lineRule="exact"/>
        <w:rPr>
          <w:sz w:val="20"/>
          <w:szCs w:val="20"/>
          <w:color w:val="auto"/>
        </w:rPr>
      </w:pPr>
    </w:p>
    <w:p>
      <w:pPr>
        <w:ind w:left="260" w:right="7680" w:hanging="252"/>
        <w:spacing w:after="0" w:line="346" w:lineRule="auto"/>
        <w:tabs>
          <w:tab w:leader="none" w:pos="28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As a result of the July 2008 acquisition, as described in the Company’s Annual Report, the Company assigned a total of nine leases to Booz &amp; Co, which has subsequently changed its name to Strategy&amp;. The Company remains liable for two leases for facilities located in Chicago and London under the terms of the original leases should Strategy&amp; default on its obligations. All other leases assigned to Strategy&amp; have expired. There were no events of default under these leases as of December 31, 2014 or March 31, 2014. The maximum potential amount of undiscounted future payments is $10.6 million, and the leases expire in November 2015 and March 2017. Based on the Company’s assessment of the likelihood of future payment, no amounts have been recorded related to the Company’s contingent liability on such leases.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90"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For the three and nine months ended December 31, 2014, approximately 97% and 98%, respectively, of the Company’s revenue was generated from contracts with U.S. government agencies or other U.S. government contractors, and approximately 98% for the three and nine months ended December 31, 2013.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2007. Audits of subsequent years may result in cost reductions and/or penalties. Management believes it has adequately reserved for any losses that may be experienced from any such reductions and/or penalties. As of December 31, 2014 and March 31, 2014, the Company has recorded a liability of approximately $200.0 million and $189.8 million, respectively, for its current best estimate of amounts to be refunded to customers for potential adjustments from such audits or reviews of contract costs incurred subsequent to fiscal year 2007.</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40"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December 31, 2014, there are no material amounts accrued in the condensed consolidated financial statements related to these proceedings.</w:t>
      </w:r>
    </w:p>
    <w:p>
      <w:pPr>
        <w:spacing w:after="0" w:line="111"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Six former officers and stockholders who had departed the firm prior to July 31, 2008, the date on which we became majority owned by Carlyle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the Company and certain of the Company’s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16" w:name="page17"/>
    <w:bookmarkEnd w:id="16"/>
    <w:p>
      <w:pPr>
        <w:spacing w:after="0" w:line="273" w:lineRule="auto"/>
        <w:rPr>
          <w:sz w:val="20"/>
          <w:szCs w:val="20"/>
          <w:color w:val="auto"/>
        </w:rPr>
      </w:pPr>
      <w:r>
        <w:rPr>
          <w:rFonts w:ascii="Arial" w:cs="Arial" w:eastAsia="Arial" w:hAnsi="Arial"/>
          <w:sz w:val="17"/>
          <w:szCs w:val="17"/>
          <w:color w:val="auto"/>
        </w:rPr>
        <w:t>with all appeals exhausted. One of the remaining suits has been dismissed by the United States District Court for the Southern District of California and is on appeal before the United States Court of Appeals for the Ninth Circuit. The other five remaining suits are pending in the United States District Court for the Southern District of New York. As of December 31, 2014 and March 31, 2014, the aggregate alleged damages sought in the six remaining suits was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27, 2015, the Board of Directors approved an increase to our share repurchase authorization from $30.0 million to up to $180.0 million.</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692" w:right="27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2014 filed with the Securities and Exchange Commission on May 22, 2014,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are a leading provider of management consulting, technology, and engineering services to the U.S. government in the defense, intelligence, and civil markets. Additionally, we provide our management and technology consulting services to major corporations, institutions, and not-for-profit organizations. We are a well-known, trusted and long-term partner to our clients, who seek our expertise and objective advice to address their most important and complex problems. Leveraging our 100-year consulting heritage and a talent base of approximately 22,300 people, we deploy our deep domain knowledge, functional expertise, and experience to help our clients achieve their objectives. We have a collaborative culture, supported by our operating model, which helps our professionals identify and respond to emerging trends across the markets we serve and deliver enduring results for our clients. Today, we serve substantially all of the cabinet-level departments of the U.S. government. Our major clients include the Department of Defense, all branches of the U.S. military, the U.S. Intelligence Community, and civil agencies such as the Department of Homeland Security, the Department of Energy, the Department of Health and Human Services, the Department of the Treasury, and the Environmental Protection Agency. We support these clients in addressing complex and pressing challenges such as combating global terrorism, improving cyber capabilities, transforming the healthcare system, improving efficiency and managing change within the government, and protecting the environment. In the commercial sector, we serve U.S. clients primarily in the financial services, healthcare, and energy markets, and international clients, primarily in the Middle East.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During the third quarter of fiscal 2015 we saw improvements in revenue and profitability compared to the prior year period that was impacted by a federal government shutdown, along with solid award activity and an increase in funded and unfunded backlog. The Company continued to effectively manage indirect costs during the nine months ended December 31, 2014, including a continuing focus on management of our capacity to balance the supply of consulting staff with market demand. This effective management of indirect costs supports the Company's continued investment in growth areas including the expansion of our commercial and international markets.</w:t>
      </w:r>
    </w:p>
    <w:p>
      <w:pPr>
        <w:spacing w:after="0" w:line="8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Revenue increased 2.5% from the three months ended December 31, 2013 to the three months ended December 31, 2014, driven by an improved federal government spending environment as compared to the prior year period, which was primarily impacted by a 16-day government shutdown. Revenue decreased 3.6% from the nine months ended December 31, 2013 to the nine months ended December 31, 2014 as a result of lower demand primarily driven by continuing macro challenges in the federal government spending environment and the residual impact of the slower award pace in the months immediately following last October's government shutdown, which resulted in reductions in consulting staff headcount over the prior year period. The decline in consulting staff headcount led to fewer billable hours in total. While our headcount has decreased, the Company maintained a high level of productivity of consulting staff. The revenue decline period over period was also attributable to a reduction in billable expenses due to a decline in our use of subcontractors and other direct expenses incurred to perform on contracts.</w:t>
      </w:r>
    </w:p>
    <w:p>
      <w:pPr>
        <w:spacing w:after="0" w:line="71"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Operating income increased 8.5% to $105.3 million in the three months ended December 31, 2014 from $97.0 million in the three months ended December 31, 2013, which reflects a 50 basis point increase in operating margin to 8.1% from 7.6% in the comparable period. The increase was attributable to an overall increase in revenue from fixed price contracts in the quarter, to overall revenue improvements, volume based reductions in compensation costs and related fringe benefits, and to a lesser extent a decrease in depreciation and amortization expense. Operating income decreased 1.4% to $366.3 million in the nine months ended December 31, 2014 from $371.4 million in the nine months ended December 31, 2013. Although operating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526" w:right="259" w:bottom="1440" w:gutter="0" w:footer="0" w:header="0"/>
        </w:sectPr>
      </w:pPr>
    </w:p>
    <w:bookmarkStart w:id="18" w:name="page19"/>
    <w:bookmarkEnd w:id="18"/>
    <w:p>
      <w:pPr>
        <w:ind w:right="20"/>
        <w:spacing w:after="0" w:line="253" w:lineRule="auto"/>
        <w:rPr>
          <w:sz w:val="20"/>
          <w:szCs w:val="20"/>
          <w:color w:val="auto"/>
        </w:rPr>
      </w:pPr>
      <w:r>
        <w:rPr>
          <w:rFonts w:ascii="Arial" w:cs="Arial" w:eastAsia="Arial" w:hAnsi="Arial"/>
          <w:sz w:val="18"/>
          <w:szCs w:val="18"/>
          <w:color w:val="auto"/>
        </w:rPr>
        <w:t>income decreased, there was a 20 basis point increase in operating margin to 9.3% from 9.1% in the comparable period, which is consistent with the Company's focus on continued margin improvement. The decline in operating income period over period was primarily due to lower demand and reductions in headcount which led to reduced revenue over the year to date period. The impact of revenue declines on operating income were mitigated by a decline in certain provisions for the potential recovery of allowable expenses recorded during the nine months ended December 31, 2014 in comparison to the prior year period, as well as an increase in the revenue from fixed price contracts during the third quarter of fiscal 2015. In addition, to a lesser extent, decreases in salaries and salary related benefits, including employer retirement plan contributions, and depreciation and amortization expense contributed to the change in operating income. While the Company continues to focus on disciplined cost management of indirect spending, there was an increase in the level of bid and proposal activity and continued investments in our growth platforms as compared to the prior year period which supported our pursuit of new contract opportunities.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ind w:right="80" w:firstLine="405"/>
        <w:spacing w:after="0" w:line="283"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w:t>
      </w:r>
    </w:p>
    <w:p>
      <w:pPr>
        <w:spacing w:after="0" w:line="4" w:lineRule="exact"/>
        <w:rPr>
          <w:sz w:val="20"/>
          <w:szCs w:val="20"/>
          <w:color w:val="auto"/>
        </w:rPr>
      </w:pPr>
    </w:p>
    <w:p>
      <w:pPr>
        <w:ind w:right="200" w:firstLine="8"/>
        <w:spacing w:after="0" w:line="292"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 each adjustment in our reconciliation of operating and net income to Adjusted Operating Income, Adjusted EBITDA and Adjusted Net Income, and net cash provided by operating activities to Free Cash Flows, and the explanatory footnotes regarding those adjustments, (ii) use Adjusted Operating Income, Adjusted EBITDA, Adjusted Net Income, and Adjusted Diluted EPS in addition to, and not as an alternative to, operating income, net income or diluted EPS, as a measure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54" w:lineRule="exact"/>
        <w:rPr>
          <w:rFonts w:ascii="Arial" w:cs="Arial" w:eastAsia="Arial" w:hAnsi="Arial"/>
          <w:sz w:val="16"/>
          <w:szCs w:val="16"/>
          <w:color w:val="auto"/>
        </w:rPr>
      </w:pPr>
    </w:p>
    <w:p>
      <w:pPr>
        <w:ind w:left="1300" w:right="20" w:hanging="644"/>
        <w:spacing w:after="0" w:line="30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"Adjusted Operating Income" represents operating income before (i) certain stock option-based and other equity-based compensation expenses, (ii) adjustments related to the amortization of intangible assets, and (iii) any extraordinary, unusual, or non-recurring items.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46" w:lineRule="exact"/>
        <w:rPr>
          <w:rFonts w:ascii="Arial" w:cs="Arial" w:eastAsia="Arial" w:hAnsi="Arial"/>
          <w:sz w:val="16"/>
          <w:szCs w:val="16"/>
          <w:color w:val="auto"/>
        </w:rPr>
      </w:pPr>
    </w:p>
    <w:p>
      <w:pPr>
        <w:ind w:left="1300" w:hanging="644"/>
        <w:spacing w:after="0" w:line="297"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(i) certain stock option-based and other equity-based compensation expenses, (ii) transaction costs, fees, losses, and expenses, including fees associated with debt prepayments, and (iii) any extraordinary, unusual, or non-recurring items.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50" w:lineRule="exact"/>
        <w:rPr>
          <w:rFonts w:ascii="Arial" w:cs="Arial" w:eastAsia="Arial" w:hAnsi="Arial"/>
          <w:sz w:val="16"/>
          <w:szCs w:val="16"/>
          <w:color w:val="auto"/>
        </w:rPr>
      </w:pPr>
    </w:p>
    <w:p>
      <w:pPr>
        <w:ind w:left="1300" w:right="120" w:hanging="644"/>
        <w:spacing w:after="0" w:line="293"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38" w:right="259" w:bottom="1440" w:gutter="0" w:footer="0" w:header="0"/>
        </w:sectPr>
      </w:pPr>
    </w:p>
    <w:bookmarkStart w:id="19" w:name="page20"/>
    <w:bookmarkEnd w:id="19"/>
    <w:p>
      <w:pPr>
        <w:ind w:left="1300" w:right="2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345"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260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6"/>
                <w:szCs w:val="16"/>
                <w:color w:val="auto"/>
              </w:rPr>
            </w:pPr>
          </w:p>
        </w:tc>
        <w:tc>
          <w:tcPr>
            <w:tcW w:w="2600" w:type="dxa"/>
            <w:vAlign w:val="bottom"/>
            <w:gridSpan w:val="4"/>
          </w:tcPr>
          <w:p>
            <w:pPr>
              <w:jc w:val="center"/>
              <w:ind w:right="111"/>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2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w w:val="95"/>
              </w:rPr>
              <w:t>(Unaudited)</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gridSpan w:val="3"/>
          </w:tcPr>
          <w:p>
            <w:pPr>
              <w:jc w:val="center"/>
              <w:ind w:left="712"/>
              <w:spacing w:after="0"/>
              <w:rPr>
                <w:sz w:val="20"/>
                <w:szCs w:val="20"/>
                <w:color w:val="auto"/>
              </w:rPr>
            </w:pPr>
            <w:r>
              <w:rPr>
                <w:rFonts w:ascii="Arial" w:cs="Arial" w:eastAsia="Arial" w:hAnsi="Arial"/>
                <w:sz w:val="14"/>
                <w:szCs w:val="14"/>
                <w:b w:val="1"/>
                <w:bCs w:val="1"/>
                <w:color w:val="auto"/>
                <w:w w:val="95"/>
              </w:rPr>
              <w:t>(Unaudited)</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105,256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97,034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366,262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371,374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Amortization of intangible assets (b)</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(c)</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106,313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99,146</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371,470</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378,805</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52,807</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47,167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189,206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185,293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121,432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124,701</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and other, net</w:t>
            </w:r>
          </w:p>
        </w:tc>
        <w:tc>
          <w:tcPr>
            <w:tcW w:w="2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18,640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18,853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55,624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61,380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15,191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47,233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54,377</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EBITDA</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120,447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114,979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413,495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425,751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120,447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114,979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415,534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426,845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52,807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189,206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185,293</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Certain stock-based compensation expense (a)</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(b)</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6,337</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Transaction expenses (c)</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or write-off of debt issuance costs and write-off of</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original issue discount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5,060</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Adjustments for tax effect (d)</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Net Income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49,457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195,491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192,787</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150,679,085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9"/>
              </w:rPr>
              <w:t>148,835,283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150,239,836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148,165,190</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Adjusted Net Income Per Diluted Share (e)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27,529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152,725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228,058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292,334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(12,344)</w:t>
            </w:r>
          </w:p>
        </w:tc>
        <w:tc>
          <w:tcPr>
            <w:tcW w:w="0" w:type="dxa"/>
            <w:vAlign w:val="bottom"/>
          </w:tcPr>
          <w:p>
            <w:pPr>
              <w:spacing w:after="0"/>
              <w:rPr>
                <w:sz w:val="1"/>
                <w:szCs w:val="1"/>
                <w:color w:val="auto"/>
              </w:rPr>
            </w:pP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color w:val="auto"/>
              </w:rPr>
              <w:t>Free Cash Flow</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18,994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147,099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210,592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279,990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71"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EIP Class A Common Stock options issued in connection with the Acquisition under the EIP.</w:t>
      </w: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May 7, 2014.</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260" w:hanging="652"/>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Excludes an adjustment of approximately $790,000 and $2.9 million of net earnings for the three and nine months ended December 31, 2014, and excludes an adjustment of approximately $1.5 million and $1.7 million of net earnings</w:t>
      </w:r>
    </w:p>
    <w:p>
      <w:pPr>
        <w:sectPr>
          <w:pgSz w:w="11900" w:h="16838" w:orient="portrait"/>
          <w:cols w:equalWidth="0" w:num="1">
            <w:col w:w="11420"/>
          </w:cols>
          <w:pgMar w:left="240" w:top="63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638" w:right="239" w:bottom="1440" w:gutter="0" w:footer="0" w:header="0"/>
          <w:type w:val="continuous"/>
        </w:sectPr>
      </w:pPr>
    </w:p>
    <w:bookmarkStart w:id="20" w:name="page21"/>
    <w:bookmarkEnd w:id="20"/>
    <w:p>
      <w:pPr>
        <w:ind w:left="660" w:right="100"/>
        <w:spacing w:after="0" w:line="324" w:lineRule="auto"/>
        <w:rPr>
          <w:sz w:val="20"/>
          <w:szCs w:val="20"/>
          <w:color w:val="auto"/>
        </w:rPr>
      </w:pPr>
      <w:r>
        <w:rPr>
          <w:rFonts w:ascii="Arial" w:cs="Arial" w:eastAsia="Arial" w:hAnsi="Arial"/>
          <w:sz w:val="18"/>
          <w:szCs w:val="18"/>
          <w:color w:val="auto"/>
        </w:rPr>
        <w:t>for the three and nine months ended December 31, 2013 respectively, associated with the application of the two-class method for computing diluted earnings per share.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recent development occurred after December 31, 2014, which may cause our future results of operations to differ from our historical results of operations discussed under “— Results of Operations.”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January 27, 2015, the Board of Directors approved an increase to our share repurchase authorization from $30.0 million to up to $180.0 million.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94"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9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6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40" w:hanging="644"/>
        <w:spacing w:after="0" w:line="270"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cost cutting and efficiency initiatives, current and future budget reductions, continued implementation of Congressionally mandated automatic spending cuts, and other efforts to reduce U.S. government spending, which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27" w:lineRule="exact"/>
        <w:rPr>
          <w:rFonts w:ascii="Arial" w:cs="Arial" w:eastAsia="Arial" w:hAnsi="Arial"/>
          <w:sz w:val="17"/>
          <w:szCs w:val="17"/>
          <w:color w:val="auto"/>
        </w:rPr>
      </w:pPr>
    </w:p>
    <w:p>
      <w:pPr>
        <w:ind w:left="1300" w:hanging="644"/>
        <w:spacing w:after="0" w:line="25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nature and effect of Congressional and other U.S. government action to address budgetary constraints, the outcome of Congressional efforts to craft a long-term agreement on the U.S. government’s ability to incur indebtedness in excess of its current limits and the U.S. deficit, including, the required reductions under the Budget Control Act of 2011 (as amended by the American Taxpayer Relief Act of 2012 and the Consolidated Appropriations Act, 2014), which provides for automatic spending cuts totaling approximately $1.2 trillion between 2013 and 2021, and the extension of the Temporary Debt Limit Extension Act, which is currently scheduled to expire on March 15, 2015;</w:t>
      </w:r>
    </w:p>
    <w:p>
      <w:pPr>
        <w:spacing w:after="0" w:line="139"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including the passage of the Consolidated and Further Continuing Appropriations Act, 2015, which have in the past and could in the future delay procurement of the products, services, and solutions we provide;</w:t>
      </w:r>
    </w:p>
    <w:p>
      <w:pPr>
        <w:spacing w:after="0" w:line="12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557" w:right="259" w:bottom="1440" w:gutter="0" w:footer="0" w:header="0"/>
        </w:sectPr>
      </w:pPr>
    </w:p>
    <w:bookmarkStart w:id="21" w:name="page22"/>
    <w:bookmarkEnd w:id="21"/>
    <w:p>
      <w:pPr>
        <w:ind w:left="1300" w:right="1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implementation by U.S. government agencies of approximately $90 billion in mandated 2015 sequestration spending cuts, respectively, including an estimated $45 billion in cuts to the Department of Defense;</w:t>
      </w:r>
    </w:p>
    <w:p>
      <w:pPr>
        <w:spacing w:after="0" w:line="116"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27"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16" w:lineRule="exact"/>
        <w:rPr>
          <w:rFonts w:ascii="Arial" w:cs="Arial" w:eastAsia="Arial" w:hAnsi="Arial"/>
          <w:sz w:val="18"/>
          <w:szCs w:val="18"/>
          <w:color w:val="auto"/>
        </w:rPr>
      </w:pPr>
    </w:p>
    <w:p>
      <w:pPr>
        <w:ind w:left="1300" w:right="220" w:hanging="644"/>
        <w:spacing w:after="0" w:line="31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92" w:lineRule="exact"/>
        <w:rPr>
          <w:rFonts w:ascii="Arial" w:cs="Arial" w:eastAsia="Arial" w:hAnsi="Arial"/>
          <w:sz w:val="16"/>
          <w:szCs w:val="16"/>
          <w:color w:val="auto"/>
        </w:rPr>
      </w:pPr>
    </w:p>
    <w:p>
      <w:pPr>
        <w:ind w:left="1300" w:right="38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a result of the U.S. government's efforts to reduce outlays for contractor costs, we may see a continuing shift toward placement of our consulting staff at client site locations instead of our facilities, which generally results in lower billing rates and could have a negative impact on our revenue;</w:t>
      </w:r>
    </w:p>
    <w:p>
      <w:pPr>
        <w:spacing w:after="0" w:line="127"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w:t>
      </w:r>
    </w:p>
    <w:p>
      <w:pPr>
        <w:spacing w:after="0" w:line="116"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 and</w:t>
      </w:r>
    </w:p>
    <w:p>
      <w:pPr>
        <w:spacing w:after="0" w:line="132"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90"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Consolidated Appropriations Act, 2014), provides for automatic spending cuts totaling approximately $1.2 trillion between 2013 and 2021, and requires an estimated $500 billion in federal defense spending cuts over this time period. Under the Budget Control Act, as amended, approximately $64 billion and $90 billion in spending cuts are mandated for fiscal 2014 and 2015, respectively, and the Department of Defense has estimated its share of these cuts at $30 billion and $45 billion, respectively.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2" w:name="page23"/>
    <w:bookmarkEnd w:id="22"/>
    <w:p>
      <w:pPr>
        <w:ind w:left="260"/>
        <w:spacing w:after="0"/>
        <w:rPr>
          <w:sz w:val="20"/>
          <w:szCs w:val="20"/>
          <w:color w:val="auto"/>
        </w:rPr>
      </w:pPr>
      <w:r>
        <w:rPr>
          <w:rFonts w:ascii="Arial" w:cs="Arial" w:eastAsia="Arial" w:hAnsi="Arial"/>
          <w:sz w:val="18"/>
          <w:szCs w:val="18"/>
          <w:i w:val="1"/>
          <w:iCs w:val="1"/>
          <w:color w:val="auto"/>
        </w:rPr>
        <w:t>Contract Types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40" w:hanging="655"/>
        <w:spacing w:after="0" w:line="270" w:lineRule="auto"/>
        <w:tabs>
          <w:tab w:leader="none" w:pos="19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20" w:hanging="655"/>
        <w:spacing w:after="0" w:line="257" w:lineRule="auto"/>
        <w:tabs>
          <w:tab w:leader="none" w:pos="19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0" w:lineRule="exact"/>
        <w:rPr>
          <w:rFonts w:ascii="Arial" w:cs="Arial" w:eastAsia="Arial" w:hAnsi="Arial"/>
          <w:sz w:val="18"/>
          <w:szCs w:val="18"/>
          <w:i w:val="1"/>
          <w:iCs w:val="1"/>
          <w:color w:val="auto"/>
        </w:rPr>
      </w:pPr>
    </w:p>
    <w:p>
      <w:pPr>
        <w:ind w:left="1960" w:right="140" w:hanging="655"/>
        <w:spacing w:after="0" w:line="255" w:lineRule="auto"/>
        <w:tabs>
          <w:tab w:leader="none" w:pos="19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93"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The table below presents the percentage of total revenue for each type of contract:</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2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2160" w:type="dxa"/>
            <w:vAlign w:val="bottom"/>
            <w:gridSpan w:val="3"/>
          </w:tcPr>
          <w:p>
            <w:pPr>
              <w:jc w:val="center"/>
              <w:ind w:right="828"/>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0" w:type="dxa"/>
            <w:vAlign w:val="bottom"/>
            <w:gridSpan w:val="4"/>
          </w:tcPr>
          <w:p>
            <w:pPr>
              <w:jc w:val="center"/>
              <w:ind w:right="1120"/>
              <w:spacing w:after="0"/>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spacing w:after="0"/>
              <w:rPr>
                <w:sz w:val="16"/>
                <w:szCs w:val="16"/>
                <w:color w:val="auto"/>
              </w:rPr>
            </w:pPr>
          </w:p>
        </w:tc>
        <w:tc>
          <w:tcPr>
            <w:tcW w:w="2160" w:type="dxa"/>
            <w:vAlign w:val="bottom"/>
            <w:gridSpan w:val="3"/>
          </w:tcPr>
          <w:p>
            <w:pPr>
              <w:jc w:val="center"/>
              <w:ind w:right="848"/>
              <w:spacing w:after="0"/>
              <w:rPr>
                <w:sz w:val="20"/>
                <w:szCs w:val="20"/>
                <w:color w:val="auto"/>
              </w:rPr>
            </w:pPr>
            <w:r>
              <w:rPr>
                <w:rFonts w:ascii="Arial" w:cs="Arial" w:eastAsia="Arial" w:hAnsi="Arial"/>
                <w:sz w:val="14"/>
                <w:szCs w:val="14"/>
                <w:b w:val="1"/>
                <w:bCs w:val="1"/>
                <w:color w:val="auto"/>
                <w:w w:val="92"/>
              </w:rPr>
              <w:t>December 31,</w:t>
            </w:r>
          </w:p>
        </w:tc>
      </w:tr>
      <w:tr>
        <w:trPr>
          <w:trHeight w:val="264"/>
        </w:trPr>
        <w:tc>
          <w:tcPr>
            <w:tcW w:w="51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96"/>
              </w:rPr>
              <w:t>2014</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900" w:type="dxa"/>
            <w:vAlign w:val="bottom"/>
            <w:tcBorders>
              <w:top w:val="single" w:sz="8" w:color="auto"/>
              <w:bottom w:val="single" w:sz="8" w:color="auto"/>
            </w:tcBorders>
          </w:tcPr>
          <w:p>
            <w:pPr>
              <w:jc w:val="center"/>
              <w:ind w:left="494"/>
              <w:spacing w:after="0"/>
              <w:rPr>
                <w:sz w:val="20"/>
                <w:szCs w:val="20"/>
                <w:color w:val="auto"/>
              </w:rPr>
            </w:pPr>
            <w:r>
              <w:rPr>
                <w:rFonts w:ascii="Arial" w:cs="Arial" w:eastAsia="Arial" w:hAnsi="Arial"/>
                <w:sz w:val="14"/>
                <w:szCs w:val="14"/>
                <w:b w:val="1"/>
                <w:bCs w:val="1"/>
                <w:color w:val="auto"/>
                <w:w w:val="89"/>
              </w:rPr>
              <w:t>2014</w:t>
            </w:r>
          </w:p>
        </w:tc>
        <w:tc>
          <w:tcPr>
            <w:tcW w:w="5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000" w:type="dxa"/>
            <w:vAlign w:val="bottom"/>
            <w:tcBorders>
              <w:bottom w:val="single" w:sz="8" w:color="CCEEFF"/>
            </w:tcBorders>
            <w:shd w:val="clear" w:color="auto" w:fill="CCEEFF"/>
          </w:tcPr>
          <w:p>
            <w:pPr>
              <w:jc w:val="center"/>
              <w:ind w:left="377"/>
              <w:spacing w:after="0"/>
              <w:rPr>
                <w:sz w:val="20"/>
                <w:szCs w:val="20"/>
                <w:color w:val="auto"/>
              </w:rPr>
            </w:pPr>
            <w:r>
              <w:rPr>
                <w:rFonts w:ascii="Arial" w:cs="Arial" w:eastAsia="Arial" w:hAnsi="Arial"/>
                <w:sz w:val="18"/>
                <w:szCs w:val="18"/>
                <w:color w:val="auto"/>
                <w:w w:val="94"/>
              </w:rPr>
              <w:t>53%</w:t>
            </w:r>
          </w:p>
        </w:tc>
        <w:tc>
          <w:tcPr>
            <w:tcW w:w="2080" w:type="dxa"/>
            <w:vAlign w:val="bottom"/>
            <w:tcBorders>
              <w:bottom w:val="single" w:sz="8" w:color="CCEEFF"/>
            </w:tcBorders>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88"/>
              </w:rPr>
              <w:t>55%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88"/>
              </w:rPr>
              <w:t>55%</w:t>
            </w:r>
          </w:p>
        </w:tc>
        <w:tc>
          <w:tcPr>
            <w:tcW w:w="2160" w:type="dxa"/>
            <w:vAlign w:val="bottom"/>
            <w:tcBorders>
              <w:bottom w:val="single" w:sz="8" w:color="CCEEFF"/>
            </w:tcBorders>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55%</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77"/>
              <w:spacing w:after="0"/>
              <w:rPr>
                <w:sz w:val="20"/>
                <w:szCs w:val="20"/>
                <w:color w:val="auto"/>
              </w:rPr>
            </w:pPr>
            <w:r>
              <w:rPr>
                <w:rFonts w:ascii="Arial" w:cs="Arial" w:eastAsia="Arial" w:hAnsi="Arial"/>
                <w:sz w:val="18"/>
                <w:szCs w:val="18"/>
                <w:color w:val="auto"/>
                <w:w w:val="94"/>
              </w:rPr>
              <w:t>25%</w:t>
            </w:r>
          </w:p>
        </w:tc>
        <w:tc>
          <w:tcPr>
            <w:tcW w:w="2080" w:type="dxa"/>
            <w:vAlign w:val="bottom"/>
            <w:gridSpan w:val="3"/>
          </w:tcPr>
          <w:p>
            <w:pPr>
              <w:jc w:val="center"/>
              <w:ind w:left="514"/>
              <w:spacing w:after="0"/>
              <w:rPr>
                <w:sz w:val="20"/>
                <w:szCs w:val="20"/>
                <w:color w:val="auto"/>
              </w:rPr>
            </w:pPr>
            <w:r>
              <w:rPr>
                <w:rFonts w:ascii="Arial" w:cs="Arial" w:eastAsia="Arial" w:hAnsi="Arial"/>
                <w:sz w:val="18"/>
                <w:szCs w:val="18"/>
                <w:color w:val="auto"/>
                <w:w w:val="88"/>
              </w:rPr>
              <w:t>26%</w:t>
            </w:r>
          </w:p>
        </w:tc>
        <w:tc>
          <w:tcPr>
            <w:tcW w:w="120" w:type="dxa"/>
            <w:vAlign w:val="bottom"/>
          </w:tcPr>
          <w:p>
            <w:pPr>
              <w:spacing w:after="0"/>
              <w:rPr>
                <w:sz w:val="21"/>
                <w:szCs w:val="21"/>
                <w:color w:val="auto"/>
              </w:rPr>
            </w:pPr>
          </w:p>
        </w:tc>
        <w:tc>
          <w:tcPr>
            <w:tcW w:w="900" w:type="dxa"/>
            <w:vAlign w:val="bottom"/>
          </w:tcPr>
          <w:p>
            <w:pPr>
              <w:jc w:val="center"/>
              <w:ind w:left="494"/>
              <w:spacing w:after="0"/>
              <w:rPr>
                <w:sz w:val="20"/>
                <w:szCs w:val="20"/>
                <w:color w:val="auto"/>
              </w:rPr>
            </w:pPr>
            <w:r>
              <w:rPr>
                <w:rFonts w:ascii="Arial" w:cs="Arial" w:eastAsia="Arial" w:hAnsi="Arial"/>
                <w:sz w:val="18"/>
                <w:szCs w:val="18"/>
                <w:color w:val="auto"/>
                <w:w w:val="88"/>
              </w:rPr>
              <w:t>26%</w:t>
            </w:r>
          </w:p>
        </w:tc>
        <w:tc>
          <w:tcPr>
            <w:tcW w:w="2160" w:type="dxa"/>
            <w:vAlign w:val="bottom"/>
            <w:gridSpan w:val="3"/>
          </w:tcPr>
          <w:p>
            <w:pPr>
              <w:jc w:val="center"/>
              <w:ind w:left="597"/>
              <w:spacing w:after="0"/>
              <w:rPr>
                <w:sz w:val="20"/>
                <w:szCs w:val="20"/>
                <w:color w:val="auto"/>
              </w:rPr>
            </w:pPr>
            <w:r>
              <w:rPr>
                <w:rFonts w:ascii="Arial" w:cs="Arial" w:eastAsia="Arial" w:hAnsi="Arial"/>
                <w:sz w:val="18"/>
                <w:szCs w:val="18"/>
                <w:color w:val="auto"/>
                <w:w w:val="88"/>
              </w:rPr>
              <w:t>28%</w:t>
            </w:r>
          </w:p>
        </w:tc>
      </w:tr>
      <w:tr>
        <w:trPr>
          <w:trHeight w:val="27"/>
        </w:trPr>
        <w:tc>
          <w:tcPr>
            <w:tcW w:w="5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0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4"/>
              </w:rPr>
              <w:t>22%</w:t>
            </w:r>
          </w:p>
        </w:tc>
        <w:tc>
          <w:tcPr>
            <w:tcW w:w="2080" w:type="dxa"/>
            <w:vAlign w:val="bottom"/>
            <w:gridSpan w:val="3"/>
            <w:shd w:val="clear" w:color="auto" w:fill="CCEEFF"/>
          </w:tcPr>
          <w:p>
            <w:pPr>
              <w:jc w:val="center"/>
              <w:ind w:left="514"/>
              <w:spacing w:after="0"/>
              <w:rPr>
                <w:sz w:val="20"/>
                <w:szCs w:val="20"/>
                <w:color w:val="auto"/>
              </w:rPr>
            </w:pPr>
            <w:r>
              <w:rPr>
                <w:rFonts w:ascii="Arial" w:cs="Arial" w:eastAsia="Arial" w:hAnsi="Arial"/>
                <w:sz w:val="18"/>
                <w:szCs w:val="18"/>
                <w:color w:val="auto"/>
                <w:w w:val="88"/>
              </w:rPr>
              <w:t>19%</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ind w:left="494"/>
              <w:spacing w:after="0"/>
              <w:rPr>
                <w:sz w:val="20"/>
                <w:szCs w:val="20"/>
                <w:color w:val="auto"/>
              </w:rPr>
            </w:pPr>
            <w:r>
              <w:rPr>
                <w:rFonts w:ascii="Arial" w:cs="Arial" w:eastAsia="Arial" w:hAnsi="Arial"/>
                <w:sz w:val="18"/>
                <w:szCs w:val="18"/>
                <w:color w:val="auto"/>
                <w:w w:val="88"/>
              </w:rPr>
              <w:t>19%</w:t>
            </w:r>
          </w:p>
        </w:tc>
        <w:tc>
          <w:tcPr>
            <w:tcW w:w="2160" w:type="dxa"/>
            <w:vAlign w:val="bottom"/>
            <w:gridSpan w:val="3"/>
            <w:shd w:val="clear" w:color="auto" w:fill="CCEEFF"/>
          </w:tcPr>
          <w:p>
            <w:pPr>
              <w:jc w:val="center"/>
              <w:ind w:left="597"/>
              <w:spacing w:after="0"/>
              <w:rPr>
                <w:sz w:val="20"/>
                <w:szCs w:val="20"/>
                <w:color w:val="auto"/>
              </w:rPr>
            </w:pPr>
            <w:r>
              <w:rPr>
                <w:rFonts w:ascii="Arial" w:cs="Arial" w:eastAsia="Arial" w:hAnsi="Arial"/>
                <w:sz w:val="18"/>
                <w:szCs w:val="18"/>
                <w:color w:val="auto"/>
                <w:w w:val="88"/>
              </w:rPr>
              <w:t>17%</w:t>
            </w:r>
          </w:p>
        </w:tc>
      </w:tr>
      <w:tr>
        <w:trPr>
          <w:trHeight w:val="27"/>
        </w:trPr>
        <w:tc>
          <w:tcPr>
            <w:tcW w:w="5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11" w:right="239" w:bottom="1440" w:gutter="0" w:footer="0" w:header="0"/>
        </w:sectPr>
      </w:pPr>
    </w:p>
    <w:bookmarkStart w:id="23" w:name="page24"/>
    <w:bookmarkEnd w:id="23"/>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9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139"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90" w:lineRule="exact"/>
        <w:rPr>
          <w:sz w:val="20"/>
          <w:szCs w:val="20"/>
          <w:color w:val="auto"/>
        </w:rPr>
      </w:pPr>
    </w:p>
    <w:p>
      <w:pPr>
        <w:ind w:firstLine="405"/>
        <w:spacing w:after="0" w:line="297"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December 31, 2014 and 2013, we employed approximately 22,300 and 22,700 people, respectively, of which approximately 20,300 and 20,600, respectively, were consulting staff.</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333" w:lineRule="exact"/>
        <w:rPr>
          <w:sz w:val="20"/>
          <w:szCs w:val="20"/>
          <w:color w:val="auto"/>
        </w:rPr>
      </w:pPr>
    </w:p>
    <w:p>
      <w:pPr>
        <w:ind w:left="1300" w:right="7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278"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278" w:lineRule="exact"/>
        <w:rPr>
          <w:rFonts w:ascii="Arial" w:cs="Arial" w:eastAsia="Arial" w:hAnsi="Arial"/>
          <w:sz w:val="18"/>
          <w:szCs w:val="18"/>
          <w:color w:val="auto"/>
        </w:rPr>
      </w:pPr>
    </w:p>
    <w:p>
      <w:pPr>
        <w:ind w:left="1300" w:right="360" w:hanging="644"/>
        <w:spacing w:after="0" w:line="34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Priced Options. </w:t>
      </w:r>
      <w:r>
        <w:rPr>
          <w:rFonts w:ascii="Arial" w:cs="Arial" w:eastAsia="Arial" w:hAnsi="Arial"/>
          <w:sz w:val="16"/>
          <w:szCs w:val="16"/>
          <w:color w:val="auto"/>
        </w:rPr>
        <w:t>Priced contract options represent 100% of the undiscounted revenue value of all future contract option periods under</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contracts that may be exercised at our clients’ option and for which funding has not been appropriated or otherwise authorized.</w:t>
      </w:r>
    </w:p>
    <w:p>
      <w:pPr>
        <w:spacing w:after="0" w:line="7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52"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103"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2940" w:type="dxa"/>
            <w:vAlign w:val="bottom"/>
          </w:tcPr>
          <w:p>
            <w:pPr>
              <w:ind w:left="380"/>
              <w:spacing w:after="0"/>
              <w:rPr>
                <w:sz w:val="20"/>
                <w:szCs w:val="20"/>
                <w:color w:val="auto"/>
              </w:rPr>
            </w:pPr>
            <w:r>
              <w:rPr>
                <w:rFonts w:ascii="Arial" w:cs="Arial" w:eastAsia="Arial" w:hAnsi="Arial"/>
                <w:sz w:val="18"/>
                <w:szCs w:val="18"/>
                <w:color w:val="auto"/>
              </w:rPr>
              <w:t>Funded</w:t>
            </w:r>
          </w:p>
        </w:tc>
        <w:tc>
          <w:tcPr>
            <w:tcW w:w="2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24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2,636</w:t>
            </w:r>
          </w:p>
        </w:tc>
        <w:tc>
          <w:tcPr>
            <w:tcW w:w="0" w:type="dxa"/>
            <w:vAlign w:val="bottom"/>
          </w:tcPr>
          <w:p>
            <w:pPr>
              <w:spacing w:after="0"/>
              <w:rPr>
                <w:sz w:val="1"/>
                <w:szCs w:val="1"/>
                <w:color w:val="auto"/>
              </w:rPr>
            </w:pPr>
          </w:p>
        </w:tc>
      </w:tr>
      <w:tr>
        <w:trPr>
          <w:trHeight w:val="243"/>
        </w:trPr>
        <w:tc>
          <w:tcPr>
            <w:tcW w:w="294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2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5,233</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29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10,367</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vMerge w:val="restart"/>
          </w:tcPr>
          <w:p>
            <w:pPr>
              <w:jc w:val="right"/>
              <w:ind w:right="890"/>
              <w:spacing w:after="0"/>
              <w:rPr>
                <w:sz w:val="20"/>
                <w:szCs w:val="20"/>
                <w:color w:val="auto"/>
              </w:rPr>
            </w:pPr>
            <w:r>
              <w:rPr>
                <w:rFonts w:ascii="Arial" w:cs="Arial" w:eastAsia="Arial" w:hAnsi="Arial"/>
                <w:sz w:val="18"/>
                <w:szCs w:val="18"/>
                <w:color w:val="auto"/>
              </w:rPr>
              <w:t>22</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9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30" w:right="239" w:bottom="1440" w:gutter="0" w:footer="0" w:header="0"/>
        </w:sectPr>
      </w:pPr>
    </w:p>
    <w:bookmarkStart w:id="24" w:name="page25"/>
    <w:bookmarkEnd w:id="24"/>
    <w:p>
      <w:pPr>
        <w:ind w:left="1300" w:right="700" w:hanging="644"/>
        <w:spacing w:after="0" w:line="342"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one existing single award ID/IQ contract the Company has had for several years, based on an established pattern of funding under these contracts by the U.S. government.</w:t>
      </w:r>
    </w:p>
    <w:p>
      <w:pPr>
        <w:spacing w:after="0" w:line="70"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171"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decreased by 3.0% from December 31, 2013 to December 31, 2014. Additions to funded backlog during the twelve months ended December 31, 2014 totaled $5.5 billion in comparison to $5.0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7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5.7% of funded backlog as of the end of any of the four fiscal quarters preceding the fiscal quarter ended December 31, 2014.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279" w:lineRule="exact"/>
        <w:rPr>
          <w:sz w:val="20"/>
          <w:szCs w:val="20"/>
          <w:color w:val="auto"/>
        </w:rPr>
      </w:pPr>
    </w:p>
    <w:p>
      <w:pPr>
        <w:ind w:left="1300" w:right="56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224"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224"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530" w:right="259" w:bottom="1440" w:gutter="0" w:footer="0" w:header="0"/>
        </w:sectPr>
      </w:pPr>
    </w:p>
    <w:bookmarkStart w:id="25" w:name="page26"/>
    <w:bookmarkEnd w:id="25"/>
    <w:p>
      <w:pPr>
        <w:ind w:left="1300" w:right="200" w:hanging="644"/>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94"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May 2014, the Financial Accounting Standards Board issued a new standard that will replace existing revenue recognition standards and significantly expand the disclosure requirements for revenue arrangements. The new standard will be effective for the Company beginning on April 1, 2017 (i.e., beginning with the first quarter fiscal 2018 interim financial statements). The new standard may be adopted retrospectively for all periods presented, or adopted using a modified retrospective approach. Under the retrospective approach, the fiscal 2017 and 2016 financial statements would be adjusted to reflect the effects of applying the new standard on those periods. Under the modified retrospective approach, the new standard would only be applied for the period beginning April 1, 2017 to new contracts and those contracts that are not yet complete at April 1, 2017, with a cumulative catch-up adjustment recorded to beginning retained earnings for existing contracts that still require performance. We are still in the process of determining which transition method to utilize in order to apply the new standard and still assessing what effect the application of this standard may have on the timing of our revenue recognition and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4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4"/>
                <w:szCs w:val="14"/>
                <w:color w:val="auto"/>
              </w:rPr>
            </w:pPr>
          </w:p>
        </w:tc>
        <w:tc>
          <w:tcPr>
            <w:tcW w:w="2340" w:type="dxa"/>
            <w:vAlign w:val="bottom"/>
            <w:tcBorders>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4"/>
              </w:rPr>
              <w:t>Nine Months Ended</w:t>
            </w:r>
          </w:p>
        </w:tc>
        <w:tc>
          <w:tcPr>
            <w:tcW w:w="100" w:type="dxa"/>
            <w:vAlign w:val="bottom"/>
          </w:tcPr>
          <w:p>
            <w:pPr>
              <w:spacing w:after="0"/>
              <w:rPr>
                <w:sz w:val="14"/>
                <w:szCs w:val="14"/>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Borders>
              <w:right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right w:val="single" w:sz="8" w:color="auto"/>
            </w:tcBorders>
            <w:gridSpan w:val="4"/>
          </w:tcPr>
          <w:p>
            <w:pPr>
              <w:jc w:val="center"/>
              <w:ind w:right="93"/>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1,304,686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1,273,150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3,931,824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4,078,861</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641,541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662,053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1,928,967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2,048,663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312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366,371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320,370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1,064,994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1,083,890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General and 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176,327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175,748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524,368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520,557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43"/>
        </w:trPr>
        <w:tc>
          <w:tcPr>
            <w:tcW w:w="312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17,945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47,233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54,377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1"/>
              </w:rPr>
              <w:t>Total operating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1,199,430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1,176,116</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3,565,562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3,707,487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31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105,256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33"/>
              <w:spacing w:after="0"/>
              <w:rPr>
                <w:sz w:val="20"/>
                <w:szCs w:val="20"/>
                <w:color w:val="auto"/>
              </w:rPr>
            </w:pPr>
            <w:r>
              <w:rPr>
                <w:rFonts w:ascii="Arial" w:cs="Arial" w:eastAsia="Arial" w:hAnsi="Arial"/>
                <w:sz w:val="18"/>
                <w:szCs w:val="18"/>
                <w:color w:val="auto"/>
              </w:rPr>
              <w:t>97,034</w:t>
            </w:r>
          </w:p>
        </w:tc>
        <w:tc>
          <w:tcPr>
            <w:tcW w:w="100" w:type="dxa"/>
            <w:vAlign w:val="bottom"/>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366,262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371,374</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(18,874)</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(1,619)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86,616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78,181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310,638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309,994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43"/>
        </w:trPr>
        <w:tc>
          <w:tcPr>
            <w:tcW w:w="31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33,809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Borders>
              <w:right w:val="single" w:sz="8" w:color="auto"/>
            </w:tcBorders>
          </w:tcPr>
          <w:p>
            <w:pPr>
              <w:jc w:val="right"/>
              <w:ind w:right="33"/>
              <w:spacing w:after="0"/>
              <w:rPr>
                <w:sz w:val="20"/>
                <w:szCs w:val="20"/>
                <w:color w:val="auto"/>
              </w:rPr>
            </w:pPr>
            <w:r>
              <w:rPr>
                <w:rFonts w:ascii="Arial" w:cs="Arial" w:eastAsia="Arial" w:hAnsi="Arial"/>
                <w:sz w:val="18"/>
                <w:szCs w:val="18"/>
                <w:color w:val="auto"/>
              </w:rPr>
              <w:t>31,014</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121,432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124,701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52,807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right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47,167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189,206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185,293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right="3920"/>
        <w:spacing w:after="0" w:line="305" w:lineRule="auto"/>
        <w:rPr>
          <w:sz w:val="20"/>
          <w:szCs w:val="20"/>
          <w:color w:val="auto"/>
        </w:rPr>
      </w:pPr>
      <w:r>
        <w:rPr>
          <w:rFonts w:ascii="Arial" w:cs="Arial" w:eastAsia="Arial" w:hAnsi="Arial"/>
          <w:sz w:val="18"/>
          <w:szCs w:val="18"/>
          <w:b w:val="1"/>
          <w:bCs w:val="1"/>
          <w:i w:val="1"/>
          <w:iCs w:val="1"/>
          <w:color w:val="auto"/>
        </w:rPr>
        <w:t xml:space="preserve">Three Months Ended December 31, 2014 Compared to Three Months Ended December 31, 2013 </w:t>
      </w:r>
      <w:r>
        <w:rPr>
          <w:rFonts w:ascii="Arial" w:cs="Arial" w:eastAsia="Arial" w:hAnsi="Arial"/>
          <w:sz w:val="18"/>
          <w:szCs w:val="18"/>
          <w:i w:val="1"/>
          <w:iCs w:val="1"/>
          <w:color w:val="auto"/>
        </w:rPr>
        <w:t>Revenue</w:t>
      </w:r>
    </w:p>
    <w:p>
      <w:pPr>
        <w:spacing w:after="0" w:line="1"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Revenue increased to $1,304.7 million from $1,273.2 million, or a 2.5% increase driven by an improved federal government spending environment as compared to the prior year period, which was impacted by a 16-day government shutdown. The increase was also attributable to an increase in billable expenses primarily due to a decline in those factors in the prior year period due to the effects of the government shutdown. Conversions to funded backlog during the twelve months ended December 31, 2014 totaled $5.5 billion in comparison to $5.0 billion for the twelve months ended December 31, 2013. The revenue conversion was a result of the conversion of unfunded backlog to funded backlog, the award of new contracts and task orders under which funding was appropriated, and the exercise and subsequent funding of priced options.</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auto"/>
        </w:rPr>
        <w:t>Cost of revenue decreased to $641.5 million from $662.1 million, or a 3.1% decrease. This decrease was primarily due to a decrease in salaries and salary-related benefits of $11.9 million and a decrease in employer retirement plan contributions of $13.9 million. The decrease in salaries and salary-related benefits was primarily due to reduced headcount in direct consulting staff. The decrease in employer retirement plan contributions was due to a decrease in the Company's expected discretionary employer contribution percentage due to a change to the matching program effective April 1, 2014, as well as the reduced headcount noted above. Cost of revenue as a percentage of revenue was 49.2% and 52.0% for the three months ended December 31, 2014 and 2013, respectively.</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Billable expenses increased to $366.4 million from $320.4 million, or a 14.4% increase. The overall increase was primarily due to increases in subcontractor-related expenses and other direct expenses of $42.9 million incurred to perform on contracts as compared to the prior year period. In the prior year the effects of uncertain market conditions and delays in the U.S. government's budgetary process delayed funding on our contracts which directly impacted funding to our subcontractors and other purchases made to perform on contracts. Billable expenses as a percentage of revenue were 28.1% and 25.2% for the three months ended December 31, 2014 and 2013, respectively.</w:t>
      </w:r>
    </w:p>
    <w:p>
      <w:pPr>
        <w:spacing w:after="0" w:line="8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color w:val="auto"/>
        </w:rPr>
        <w:t>General and administrative expenses increased to $176.3 million from $175.7 million, or a 0.3% increase. This increase was primarily due to increases in incentive and stock-based compensation of $2.9 million, employer retirement plan contributions of $1.4 million, and salaries and salary-related benefits of $1.1 million. These increases were partially offset by a decrease in professional fees and other business expenses of $4.8 million. General and administrative expenses as a percentage of revenue were 13.5% and 13.8% for the three months ended December 31, 2014 and 2013, respectively.</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769" w:right="339" w:bottom="1440" w:gutter="0" w:footer="0" w:header="0"/>
        </w:sectPr>
      </w:pPr>
    </w:p>
    <w:bookmarkStart w:id="27" w:name="page28"/>
    <w:bookmarkEnd w:id="27"/>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Depreciation and amortization decreased to $15.2 million from $17.9 million, or a 15.3% decrease, primarily due to a reduction in amortization of intangible assets.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ind w:right="200" w:firstLine="405"/>
        <w:spacing w:after="0" w:line="273" w:lineRule="auto"/>
        <w:rPr>
          <w:sz w:val="20"/>
          <w:szCs w:val="20"/>
          <w:color w:val="auto"/>
        </w:rPr>
      </w:pPr>
      <w:r>
        <w:rPr>
          <w:rFonts w:ascii="Arial" w:cs="Arial" w:eastAsia="Arial" w:hAnsi="Arial"/>
          <w:sz w:val="17"/>
          <w:szCs w:val="17"/>
          <w:color w:val="auto"/>
        </w:rPr>
        <w:t>Interest expense decreased to $17.9 million from $18.9 million, or a 5.4% decrease, primarily as a result of the Second Amendment to the Credit Agreement consummated in May 2014. The Company increased its borrowing under Term Loan A by approximately $168.4 million, the proceeds of which were used to pay outstanding principal on the Term Loan B. As the interest rates for Term Loan A are lower than those for Term Loan B, total interest expense decreased for the three months ended December 31, 2014 as compared to December 31, 2013.</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360" w:firstLine="405"/>
        <w:spacing w:after="0" w:line="255" w:lineRule="auto"/>
        <w:rPr>
          <w:sz w:val="20"/>
          <w:szCs w:val="20"/>
          <w:color w:val="auto"/>
        </w:rPr>
      </w:pPr>
      <w:r>
        <w:rPr>
          <w:rFonts w:ascii="Arial" w:cs="Arial" w:eastAsia="Arial" w:hAnsi="Arial"/>
          <w:sz w:val="18"/>
          <w:szCs w:val="18"/>
          <w:color w:val="auto"/>
        </w:rPr>
        <w:t>Income tax expense increased to $33.8 million from $31.0 million, or a 9.0% increase, primarily due to an increase in pre-tax income offset by a decrease in the effective tax rate from 39.7% to 39.0%. The decrease in the effective tax rate primarily relates to income tax credits recognized during the three months ended December 31, 2014.</w:t>
      </w:r>
    </w:p>
    <w:p>
      <w:pPr>
        <w:spacing w:after="0" w:line="190" w:lineRule="exact"/>
        <w:rPr>
          <w:sz w:val="20"/>
          <w:szCs w:val="20"/>
          <w:color w:val="auto"/>
        </w:rPr>
      </w:pPr>
    </w:p>
    <w:p>
      <w:pPr>
        <w:ind w:left="260" w:right="4180"/>
        <w:spacing w:after="0" w:line="321" w:lineRule="auto"/>
        <w:rPr>
          <w:sz w:val="20"/>
          <w:szCs w:val="20"/>
          <w:color w:val="auto"/>
        </w:rPr>
      </w:pPr>
      <w:r>
        <w:rPr>
          <w:rFonts w:ascii="Arial" w:cs="Arial" w:eastAsia="Arial" w:hAnsi="Arial"/>
          <w:sz w:val="18"/>
          <w:szCs w:val="18"/>
          <w:b w:val="1"/>
          <w:bCs w:val="1"/>
          <w:i w:val="1"/>
          <w:iCs w:val="1"/>
          <w:color w:val="auto"/>
        </w:rPr>
        <w:t xml:space="preserve">Nine Months Ended December 31, 2014 Compared to Nine Months Ended December 31, 2013 </w:t>
      </w:r>
      <w:r>
        <w:rPr>
          <w:rFonts w:ascii="Arial" w:cs="Arial" w:eastAsia="Arial" w:hAnsi="Arial"/>
          <w:sz w:val="18"/>
          <w:szCs w:val="18"/>
          <w:i w:val="1"/>
          <w:iCs w:val="1"/>
          <w:color w:val="auto"/>
        </w:rPr>
        <w:t>Revenue</w:t>
      </w:r>
    </w:p>
    <w:p>
      <w:pPr>
        <w:spacing w:after="0" w:line="1" w:lineRule="exact"/>
        <w:rPr>
          <w:sz w:val="20"/>
          <w:szCs w:val="20"/>
          <w:color w:val="auto"/>
        </w:rPr>
      </w:pPr>
    </w:p>
    <w:p>
      <w:pPr>
        <w:ind w:right="140" w:firstLine="405"/>
        <w:spacing w:after="0" w:line="251" w:lineRule="auto"/>
        <w:rPr>
          <w:sz w:val="20"/>
          <w:szCs w:val="20"/>
          <w:color w:val="auto"/>
        </w:rPr>
      </w:pPr>
      <w:r>
        <w:rPr>
          <w:rFonts w:ascii="Arial" w:cs="Arial" w:eastAsia="Arial" w:hAnsi="Arial"/>
          <w:sz w:val="18"/>
          <w:szCs w:val="18"/>
          <w:color w:val="auto"/>
        </w:rPr>
        <w:t>Revenue decreased to $3,931.8 million from $4,078.9 million, or a 3.6% decrease as a result of lower demand primarily driven by continuing macro challenges in the federal government spending environment and the residual impact of the slower award pace in the months immediately following last October's government shutdown which resulted in reductions in consulting staff headcount compared to the prior year period. The decline in consulting staff headcount led to fewer billable hours in total. While our headcount has decreased, the Company maintained a high level of productivity of consulting staff. The revenue decline year over year was also attributable to a reduction in billable expenses due to a decline in our use of subcontractors and other direct expenses incurred to perform on contracts. Conversions to funded backlog during the twelve months ended December 31, 2014 totaled $5.5 billion in comparison to $5.0 billion for the twelve months ended December 31, 2013. The revenue conversion was a result of the conversion of unfunded backlog to funded backlog, the award of new contracts and task orders under which funding was appropriated, and the exercise and subsequent funding of priced options.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23"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auto"/>
        </w:rPr>
        <w:t>Cost of revenue decreased to $1,929.0 million from $2,048.7 million, or a 5.8% decrease. This decrease was primarily due to a decrease in salaries and salary-related benefits of $85.2 million and a decrease in employer retirement plan contributions of $40.1 million. The decrease in salaries and salary-related benefits was primarily due to reduced headcount in direct consulting staff. The decrease in employer retirement plan contributions was due to a decrease in the Company's expected discretionary employer contribution percentage due to a change to the matching program effective April 1, 2014, as well as the reduced headcount noted above. Cost of revenue as a percentage of revenue was 49.1% and 50.2% for the nine months ended December 31, 2014 and 2013, respectively.</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2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Billable expenses decreased to $1,065.0 million from $1,083.9 million, or a 1.7% decrease. The overall decrease was primarily due to decreases in subcontractor-related expenses and other direct expenses of $27.1 million incurred to perform on contracts. Direct subcontractor related expenses decreased due to lower demand. Billable expenses as a percentage of revenue were 27.1% and 26.6% for the nine months ended December 31, 2014 and 2013, respectively.</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General and administrative expenses increased to $524.4 million from $520.6 million, or a 0.7% increase. This increase was primarily due to an increase in incentive and stock-based compensation of $3.8 million and an increase in professional fees and other business expenses of $1.4 million. This was partially offset by decreases in employer retirement plan contributions of $1.1 million. The decrease in employer retirement plan contributions was due to a decrease in the Company's expected discretionary employer contribution percentage due to a change to a matching program effective April 1, 2014, as well as reduced headcount. General and administrative expenses as a percentage of revenue were 13.3% and 12.8% for the nine months ended December 31, 2014 and 2013, respectively.</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23" w:lineRule="exact"/>
        <w:rPr>
          <w:sz w:val="20"/>
          <w:szCs w:val="20"/>
          <w:color w:val="auto"/>
        </w:rPr>
      </w:pPr>
    </w:p>
    <w:p>
      <w:pPr>
        <w:ind w:right="480" w:firstLine="405"/>
        <w:spacing w:after="0" w:line="261" w:lineRule="auto"/>
        <w:rPr>
          <w:sz w:val="20"/>
          <w:szCs w:val="20"/>
          <w:color w:val="auto"/>
        </w:rPr>
      </w:pPr>
      <w:r>
        <w:rPr>
          <w:rFonts w:ascii="Arial" w:cs="Arial" w:eastAsia="Arial" w:hAnsi="Arial"/>
          <w:sz w:val="18"/>
          <w:szCs w:val="18"/>
          <w:color w:val="auto"/>
        </w:rPr>
        <w:t>Depreciation and amortization decreased to $47.2 million from $54.4 million, or a 13.1% decrease, primarily due to a reduction in amortization of intangible assets.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23"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Interest expense decreased to $54.5 million from $59.8 million, or an 8.7% decrease, primarily as a result of the Second Amendment to the Credit Agreement consummated in May 2014. The Company increased its borrowing under Term Loan A by approximately $168.4 million, the proceeds of which were used to pay outstanding principal on the Term Loan B. As the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38" w:right="239" w:bottom="1440" w:gutter="0" w:footer="0" w:header="0"/>
        </w:sectPr>
      </w:pPr>
    </w:p>
    <w:bookmarkStart w:id="28" w:name="page29"/>
    <w:bookmarkEnd w:id="28"/>
    <w:p>
      <w:pPr>
        <w:ind w:right="500"/>
        <w:spacing w:after="0" w:line="277" w:lineRule="auto"/>
        <w:rPr>
          <w:sz w:val="20"/>
          <w:szCs w:val="20"/>
          <w:color w:val="auto"/>
        </w:rPr>
      </w:pPr>
      <w:r>
        <w:rPr>
          <w:rFonts w:ascii="Arial" w:cs="Arial" w:eastAsia="Arial" w:hAnsi="Arial"/>
          <w:sz w:val="18"/>
          <w:szCs w:val="18"/>
          <w:color w:val="auto"/>
        </w:rPr>
        <w:t>interest rates for Term Loan A are lower than those for Term Loan B, total interest expense decreased for the nine months ended December 31, 2014 as compared to December 31, 2013.</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23"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Income tax expense decreased to $121.4 million from $124.7 million, or a 2.6% decrease, primarily due to a decrease in the effective tax rate from 40.2% to 39.1% . The decrease in the effective tax rate primarily relates to income tax credits recognized during the nine months ended December 31, 2014, which reduced the effective tax rate by approximately 1.3%.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$197.4 million and $260.0 million in cash and cash equivalents as of December 31, 2014 and March 31, 2014, respectively.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3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4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stockholders in the form of payment of special dividends and share repurchases. On December 12, 2011, the Board of Directors authorized the repurchase of up to $30.0 million of our shares. On January 27, 2015, the share repurchase authorization was increased to $180.0 million. Following our repurchase of 1,000,000 shares of our Class A Common Stock on November 5, 2014, the Company currently has $154.9 million remaining under the repurchase program.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200" w:lineRule="exact"/>
        <w:rPr>
          <w:sz w:val="20"/>
          <w:szCs w:val="20"/>
          <w:color w:val="auto"/>
        </w:rPr>
      </w:pP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4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6"/>
                <w:szCs w:val="16"/>
                <w:color w:val="auto"/>
              </w:rPr>
            </w:pPr>
          </w:p>
        </w:tc>
      </w:tr>
      <w:tr>
        <w:trPr>
          <w:trHeight w:val="264"/>
        </w:trPr>
        <w:tc>
          <w:tcPr>
            <w:tcW w:w="44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16,432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48,676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42,612</w:t>
            </w:r>
          </w:p>
        </w:tc>
      </w:tr>
      <w:tr>
        <w:trPr>
          <w:trHeight w:val="243"/>
        </w:trPr>
        <w:tc>
          <w:tcPr>
            <w:tcW w:w="4460" w:type="dxa"/>
            <w:vAlign w:val="bottom"/>
          </w:tcPr>
          <w:p>
            <w:pPr>
              <w:ind w:left="20"/>
              <w:spacing w:after="0"/>
              <w:rPr>
                <w:sz w:val="20"/>
                <w:szCs w:val="20"/>
                <w:color w:val="auto"/>
              </w:rPr>
            </w:pPr>
            <w:r>
              <w:rPr>
                <w:rFonts w:ascii="Arial" w:cs="Arial" w:eastAsia="Arial" w:hAnsi="Arial"/>
                <w:sz w:val="18"/>
                <w:szCs w:val="18"/>
                <w:color w:val="auto"/>
              </w:rPr>
              <w:t>Special dividends (2)</w:t>
            </w:r>
          </w:p>
        </w:tc>
        <w:tc>
          <w:tcPr>
            <w:tcW w:w="2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144,218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147,248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144,218</w:t>
            </w:r>
          </w:p>
        </w:tc>
      </w:tr>
      <w:tr>
        <w:trPr>
          <w:trHeight w:val="27"/>
        </w:trPr>
        <w:tc>
          <w:tcPr>
            <w:tcW w:w="4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equivalents (3)</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47,006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52,065</w:t>
            </w:r>
          </w:p>
        </w:tc>
      </w:tr>
      <w:tr>
        <w:trPr>
          <w:trHeight w:val="257"/>
        </w:trPr>
        <w:tc>
          <w:tcPr>
            <w:tcW w:w="446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16,641</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162,797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242,930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238,895</w:t>
            </w:r>
          </w:p>
        </w:tc>
      </w:tr>
      <w:tr>
        <w:trPr>
          <w:trHeight w:val="20"/>
        </w:trPr>
        <w:tc>
          <w:tcPr>
            <w:tcW w:w="4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Amounts represent recurring dividends of $0.11 per share and $0.10 per share that were declared and paid during fiscal 2015 and fiscal 2014, respectively.</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Amounts represent a special dividend of $1.00 per share that was declared and paid for during both fiscal 2015 and fiscal 2014.</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530"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(3) Dividend equivalents are distributions made to option holders equal to the special dividends declared and paid.</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January 28, 2015, we announced a regular quarterly cash dividend in the amount of $0.13 per share, payable on February 27, 2015 to stockholders of record on February 10, 2015.</w:t>
      </w:r>
    </w:p>
    <w:p>
      <w:pPr>
        <w:spacing w:after="0" w:line="116"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For each special dividend declared, the Board of Directors, acting as the Administrator of the Officers' Rollover Stock Plan and the Amended and Restated Equity Incentive Plan, or EIP, is required to make a determination under the respective plan's antidilution provision to adjust the outstanding options.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The stock-based compensation liability as of December 31, 2014 includes all special dividends declared through December 31, 2014. As of December 31, 2014 and March 31, 2014, the Company calculated a total recorded and unrecorded stock-based compensation liability of $36.3 million and $73.1 million, respectively, related to the special dividends paid in July and December 2009, June and August 2012, November 2013, and February and August 2014.</w:t>
      </w:r>
    </w:p>
    <w:p>
      <w:pPr>
        <w:spacing w:after="0" w:line="27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11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61 as of December 31, 2014 and 60 as of March 31, 2014.</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163"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13335</wp:posOffset>
            </wp:positionV>
            <wp:extent cx="24701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2013</w:t>
            </w:r>
          </w:p>
        </w:tc>
      </w:tr>
      <w:tr>
        <w:trPr>
          <w:trHeight w:val="244"/>
        </w:trPr>
        <w:tc>
          <w:tcPr>
            <w:tcW w:w="6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21"/>
                <w:szCs w:val="21"/>
                <w:color w:val="auto"/>
              </w:rPr>
            </w:pPr>
          </w:p>
        </w:tc>
        <w:tc>
          <w:tcPr>
            <w:tcW w:w="1400" w:type="dxa"/>
            <w:vAlign w:val="bottom"/>
          </w:tcPr>
          <w:p>
            <w:pPr>
              <w:jc w:val="right"/>
              <w:ind w:right="496"/>
              <w:spacing w:after="0"/>
              <w:rPr>
                <w:sz w:val="20"/>
                <w:szCs w:val="20"/>
                <w:color w:val="auto"/>
              </w:rPr>
            </w:pPr>
            <w:r>
              <w:rPr>
                <w:rFonts w:ascii="Arial" w:cs="Arial" w:eastAsia="Arial" w:hAnsi="Arial"/>
                <w:sz w:val="14"/>
                <w:szCs w:val="14"/>
                <w:b w:val="1"/>
                <w:bCs w:val="1"/>
                <w:color w:val="auto"/>
              </w:rPr>
              <w:t>(Unaudited)</w:t>
            </w:r>
          </w:p>
        </w:tc>
      </w:tr>
      <w:tr>
        <w:trPr>
          <w:trHeight w:val="209"/>
        </w:trPr>
        <w:tc>
          <w:tcPr>
            <w:tcW w:w="6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tcPr>
          <w:p>
            <w:pPr>
              <w:spacing w:after="0"/>
              <w:rPr>
                <w:sz w:val="18"/>
                <w:szCs w:val="18"/>
                <w:color w:val="auto"/>
              </w:rPr>
            </w:pPr>
          </w:p>
        </w:tc>
      </w:tr>
      <w:tr>
        <w:trPr>
          <w:trHeight w:val="256"/>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228,058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292,334</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(41,373)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(5,499)</w:t>
            </w:r>
          </w:p>
        </w:tc>
      </w:tr>
      <w:tr>
        <w:trPr>
          <w:trHeight w:val="27"/>
        </w:trPr>
        <w:tc>
          <w:tcPr>
            <w:tcW w:w="6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(249,236)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(234,055)</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color w:val="auto"/>
              </w:rPr>
              <w:t>Total (decrease) increase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(62,551)</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52,780</w:t>
            </w:r>
          </w:p>
        </w:tc>
      </w:tr>
      <w:tr>
        <w:trPr>
          <w:trHeight w:val="27"/>
        </w:trPr>
        <w:tc>
          <w:tcPr>
            <w:tcW w:w="6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right="20" w:firstLine="405"/>
        <w:spacing w:after="0" w:line="312" w:lineRule="auto"/>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 and our ability to manage our vendor payments. Net cash provided by operations was $228.1 million in the nine months ended December 31, 2014 compared to $292.3 million in the prior year period, or a 22.0% decrease. The decrease in net cash provided by operations was primarily due to the following:</w:t>
      </w:r>
    </w:p>
    <w:p>
      <w:pPr>
        <w:spacing w:after="0" w:line="3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Lower cash collections primarily due to lower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reduction in the volume of outstanding invoices as compared to the prior year.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30" w:right="239" w:bottom="1440" w:gutter="0" w:footer="0" w:header="0"/>
        </w:sectPr>
      </w:pPr>
    </w:p>
    <w:bookmarkStart w:id="30" w:name="page31"/>
    <w:bookmarkEnd w:id="30"/>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the change in income taxes payable due to the timing of the estimated tax payments which partially offset the decreases noted above.</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Net cash used in investing activities was $41.4 million in the nine months ended December 31, 2014 compared to $5.5 million in the prior year period, or a 652.4% increase. The increase in net cash used in investing activities was primarily due to cash paid for business acquisitions during the nine months ended December 31, 2014.</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jc w:val="both"/>
        <w:ind w:right="280" w:firstLine="405"/>
        <w:spacing w:after="0" w:line="259" w:lineRule="auto"/>
        <w:rPr>
          <w:sz w:val="20"/>
          <w:szCs w:val="20"/>
          <w:color w:val="auto"/>
        </w:rPr>
      </w:pPr>
      <w:r>
        <w:rPr>
          <w:rFonts w:ascii="Arial" w:cs="Arial" w:eastAsia="Arial" w:hAnsi="Arial"/>
          <w:sz w:val="18"/>
          <w:szCs w:val="18"/>
          <w:color w:val="auto"/>
        </w:rPr>
        <w:t>Net cash used in financing activities was $249.2 million in the nine months ended December 31, 2014 compared to $234.1 million in the prior year period, or a 6.5% increase. The increase in net cash used in financing activities was primarily due to an increase in repurchases of common stock in fiscal 2015 as compared to fiscal 2014 mainly due to a repurchase of 1,000,000 shares of our Class A Common Stock from an affiliate of The Carlyle Group in November 2014.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May 7, 2014 the Company entered into the Second Amendment to the Credit Agreement, dated as of July 31, 2012 (as previously amended by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First Amendment to the Credit Agreement, dated as of August 16, 2013). As of December 31, 2014, the Credit Agreement provided the Company with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$830.0 million Term Loan A and an $841.2 million Term Loan B, and a $500.0 million revolving credit facility, with a sublimit for letters of credit of $100.0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76"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Our debt totaled $1,635.9 million and $1,658.9 million as of December 31, 2014 and March 31, 2014, respectively. The interest rate in effect for Term Loan A was 2.66% and for Term Loan B was 3.75% as of December 31, 2014. The interest rate in effect for Term Loan A was 2.65% and for Term Loan B was 3.75% as of March 31, 2014. As of December 31, 2014 and March 31, 2014, there were no amounts outstanding under our revolving credit facility of $500.0 million. As of December 31, 2014 and March 31, 2014, the Company was in compliance with all of the Credit Agreement's debt covenants.</w:t>
      </w:r>
    </w:p>
    <w:p>
      <w:pPr>
        <w:spacing w:after="0" w:line="10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Absent any prepayment accelerations of Debt Issuance Costs, or DIC, or the effect of changes in interest rates, the following table summarizes the estimated annual amortization expense of DIC using the effective interest rate method: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DIC Amortization Expense</w:t>
            </w:r>
          </w:p>
        </w:tc>
        <w:tc>
          <w:tcPr>
            <w:tcW w:w="8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16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(in thousands)</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Term Loan 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6,448</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436</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1,622</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7"/>
        </w:trPr>
        <w:tc>
          <w:tcPr>
            <w:tcW w:w="1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w:t>
            </w:r>
          </w:p>
        </w:tc>
      </w:tr>
      <w:tr>
        <w:trPr>
          <w:trHeight w:val="243"/>
        </w:trPr>
        <w:tc>
          <w:tcPr>
            <w:tcW w:w="1620" w:type="dxa"/>
            <w:vAlign w:val="bottom"/>
          </w:tcPr>
          <w:p>
            <w:pPr>
              <w:ind w:left="40"/>
              <w:spacing w:after="0"/>
              <w:rPr>
                <w:sz w:val="20"/>
                <w:szCs w:val="20"/>
                <w:color w:val="auto"/>
              </w:rPr>
            </w:pPr>
            <w:r>
              <w:rPr>
                <w:rFonts w:ascii="Arial" w:cs="Arial" w:eastAsia="Arial" w:hAnsi="Arial"/>
                <w:sz w:val="18"/>
                <w:szCs w:val="18"/>
                <w:color w:val="auto"/>
              </w:rPr>
              <w:t>Revolver</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8,184</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1,853</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1,853</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1,853</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7"/>
        </w:trPr>
        <w:tc>
          <w:tcPr>
            <w:tcW w:w="1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1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22,517</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3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r>
      <w:tr>
        <w:trPr>
          <w:trHeight w:val="20"/>
        </w:trPr>
        <w:tc>
          <w:tcPr>
            <w:tcW w:w="1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May 7, 2014 Second Amendment, no additional principal payments are required until the remaining balance is due on Term Loan B's maturity date of July 31, 2019. The revolving credit facility matures on May 31, 2019, at which time any outstanding principal balance will be due in full.</w:t>
      </w:r>
    </w:p>
    <w:p>
      <w:pPr>
        <w:spacing w:after="0" w:line="188"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a 2.50% spread. The spread ranges from 2.00% to 2.75% based on the Company's total leverage ratio. The interest rate on borrowings under Term Loan B is LIBOR plus a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187"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638" w:right="319" w:bottom="1440" w:gutter="0" w:footer="0" w:header="0"/>
        </w:sectPr>
      </w:pPr>
    </w:p>
    <w:bookmarkStart w:id="31" w:name="page32"/>
    <w:bookmarkEnd w:id="31"/>
    <w:p>
      <w:pPr>
        <w:ind w:right="320"/>
        <w:spacing w:after="0" w:line="264" w:lineRule="auto"/>
        <w:rPr>
          <w:sz w:val="20"/>
          <w:szCs w:val="20"/>
          <w:color w:val="auto"/>
        </w:rPr>
      </w:pPr>
      <w:r>
        <w:rPr>
          <w:rFonts w:ascii="Arial" w:cs="Arial" w:eastAsia="Arial" w:hAnsi="Arial"/>
          <w:sz w:val="18"/>
          <w:szCs w:val="18"/>
          <w:color w:val="auto"/>
        </w:rPr>
        <w:t>speculative hedging and limitations on changes of names and jurisdictions. In addition, we are required to meet certain financial covenants at each quarter end, namely Consolidated Net Total Leverage and Consolidated Net Interest Coverage Ratios. As of December 31, 2014, we were compliant with these covenants.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Our stockholders’ equity amounted to $195.2 million as of December 31, 2014, an increase of $23.6 million compared to stockholders’ equity of $171.6 million as of March 31, 2014. The increase is primarily due to net income of $189.2 million in the nine months ended December 31, 2014, $48.5 million in excess tax benefits from the exercise of stock options, and stock-based compensation expense, partially offset by $195.9 million in recurring and special dividend payments and a $33.4 million increase in treasury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2014,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94"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nine months ended December 31, 2014 and 2013 were $17.5 million and $12.3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9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This Quarterly Report on Form 10-Q, or Quarterly Report, including information incorporated by reference into this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13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Consolidated Appropriations Act, 2014),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30" w:right="239" w:bottom="1440" w:gutter="0" w:footer="0" w:header="0"/>
        </w:sectPr>
      </w:pPr>
    </w:p>
    <w:bookmarkStart w:id="32" w:name="page33"/>
    <w:bookmarkEnd w:id="32"/>
    <w:p>
      <w:pPr>
        <w:spacing w:after="0" w:line="284" w:lineRule="auto"/>
        <w:rPr>
          <w:sz w:val="20"/>
          <w:szCs w:val="20"/>
          <w:color w:val="auto"/>
        </w:rPr>
      </w:pPr>
      <w:r>
        <w:rPr>
          <w:rFonts w:ascii="Arial" w:cs="Arial" w:eastAsia="Arial" w:hAnsi="Arial"/>
          <w:sz w:val="16"/>
          <w:szCs w:val="16"/>
          <w:color w:val="auto"/>
        </w:rPr>
        <w:t>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 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337"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2014 filed with the Securities and Exchange Commission on May 22, 2014.</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December 31, 2014 and March 31, 2014, there were no material amounts accrued in the condensed consolidated financial statements related to these proceedings.</w:t>
      </w:r>
    </w:p>
    <w:p>
      <w:pPr>
        <w:spacing w:after="0" w:line="126"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Six former officers and stockholders who had departed the firm prior to July 31, 2008, the date on which we became majority owned by The Carlyle Group and certain of its affiliated investment funds, as described in the Company’s Annual Report, or the Acquisition, have filed a total of nine suits in various jurisdictions, with original filing dates ranging from July 3, 2008 through December 15, 2009 (three of which were amended on July 2, 2010 and then further amended into one consolidated complaint on September 7, 2010), against us and certain of our current and former directors and officers.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One of the remaining suits has been dismissed by the United States District Court for the Southern District of California and is on appeal before the United States Court of Appeals for the Ninth Circuit. The other five remaining suits are pending in the United States District Court for the Southern District of New York. The aggregate alleged damages sought in these six remaining suits is approximately $348.7 million ($291.5 million of which is sought to be trebled pursuant to RICO), plus punitive damages, costs, and fees. 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6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2014 filed with the Securities and Exchange Commission on May 22, 2014.</w:t>
      </w:r>
    </w:p>
    <w:p>
      <w:pPr>
        <w:spacing w:after="0" w:line="12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share repurchase activity for each of the three months in the quarter ended December 31, 2014:</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Value of Shares that May</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Average Price Paid per</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8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Share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940" w:type="dxa"/>
            <w:vAlign w:val="bottom"/>
            <w:gridSpan w:val="2"/>
          </w:tcPr>
          <w:p>
            <w:pPr>
              <w:jc w:val="center"/>
              <w:ind w:left="32"/>
              <w:spacing w:after="0"/>
              <w:rPr>
                <w:sz w:val="20"/>
                <w:szCs w:val="20"/>
                <w:color w:val="auto"/>
              </w:rPr>
            </w:pPr>
            <w:r>
              <w:rPr>
                <w:rFonts w:ascii="Arial" w:cs="Arial" w:eastAsia="Arial" w:hAnsi="Arial"/>
                <w:sz w:val="16"/>
                <w:szCs w:val="16"/>
                <w:b w:val="1"/>
                <w:bCs w:val="1"/>
                <w:color w:val="auto"/>
                <w:w w:val="91"/>
              </w:rPr>
              <w:t>(2)</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2014</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$ 30,000,000</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2014</w:t>
            </w:r>
          </w:p>
        </w:tc>
        <w:tc>
          <w:tcPr>
            <w:tcW w:w="1800" w:type="dxa"/>
            <w:vAlign w:val="bottom"/>
          </w:tcPr>
          <w:p>
            <w:pPr>
              <w:jc w:val="right"/>
              <w:spacing w:after="0"/>
              <w:rPr>
                <w:sz w:val="20"/>
                <w:szCs w:val="20"/>
                <w:color w:val="auto"/>
              </w:rPr>
            </w:pPr>
            <w:r>
              <w:rPr>
                <w:rFonts w:ascii="Arial" w:cs="Arial" w:eastAsia="Arial" w:hAnsi="Arial"/>
                <w:sz w:val="18"/>
                <w:szCs w:val="18"/>
                <w:color w:val="auto"/>
              </w:rPr>
              <w:t>1,000,000</w:t>
            </w:r>
          </w:p>
        </w:tc>
        <w:tc>
          <w:tcPr>
            <w:tcW w:w="2000" w:type="dxa"/>
            <w:vAlign w:val="bottom"/>
            <w:gridSpan w:val="3"/>
          </w:tcPr>
          <w:p>
            <w:pPr>
              <w:jc w:val="right"/>
              <w:ind w:right="1174"/>
              <w:spacing w:after="0"/>
              <w:rPr>
                <w:sz w:val="20"/>
                <w:szCs w:val="20"/>
                <w:color w:val="auto"/>
              </w:rPr>
            </w:pPr>
            <w:r>
              <w:rPr>
                <w:rFonts w:ascii="Arial" w:cs="Arial" w:eastAsia="Arial" w:hAnsi="Arial"/>
                <w:sz w:val="18"/>
                <w:szCs w:val="18"/>
                <w:color w:val="auto"/>
              </w:rPr>
              <w:t>$ 25.10</w:t>
            </w:r>
          </w:p>
        </w:tc>
        <w:tc>
          <w:tcPr>
            <w:tcW w:w="10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1,000,000</w:t>
            </w:r>
          </w:p>
        </w:tc>
        <w:tc>
          <w:tcPr>
            <w:tcW w:w="1940" w:type="dxa"/>
            <w:vAlign w:val="bottom"/>
            <w:gridSpan w:val="2"/>
          </w:tcPr>
          <w:p>
            <w:pPr>
              <w:ind w:left="140"/>
              <w:spacing w:after="0"/>
              <w:rPr>
                <w:sz w:val="20"/>
                <w:szCs w:val="20"/>
                <w:color w:val="auto"/>
              </w:rPr>
            </w:pPr>
            <w:r>
              <w:rPr>
                <w:rFonts w:ascii="Arial" w:cs="Arial" w:eastAsia="Arial" w:hAnsi="Arial"/>
                <w:sz w:val="18"/>
                <w:szCs w:val="18"/>
                <w:color w:val="auto"/>
              </w:rPr>
              <w:t>$ 4,900,000</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2014</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$ 4,900,000</w:t>
            </w:r>
          </w:p>
        </w:tc>
      </w:tr>
      <w:tr>
        <w:trPr>
          <w:trHeight w:val="264"/>
        </w:trPr>
        <w:tc>
          <w:tcPr>
            <w:tcW w:w="3780" w:type="dxa"/>
            <w:vAlign w:val="bottom"/>
            <w:gridSpan w:val="2"/>
          </w:tcPr>
          <w:p>
            <w:pPr>
              <w:ind w:left="3280"/>
              <w:spacing w:after="0"/>
              <w:rPr>
                <w:sz w:val="20"/>
                <w:szCs w:val="20"/>
                <w:color w:val="auto"/>
              </w:rPr>
            </w:pPr>
            <w:r>
              <w:rPr>
                <w:rFonts w:ascii="Arial" w:cs="Arial" w:eastAsia="Arial" w:hAnsi="Arial"/>
                <w:sz w:val="18"/>
                <w:szCs w:val="18"/>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527"/>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0" w:type="dxa"/>
            <w:vAlign w:val="bottom"/>
            <w:gridSpan w:val="3"/>
          </w:tcPr>
          <w:p>
            <w:pPr>
              <w:jc w:val="right"/>
              <w:ind w:right="1694"/>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34" w:name="page35"/>
    <w:bookmarkEnd w:id="34"/>
    <w:p>
      <w:pPr>
        <w:ind w:left="660" w:right="14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November 5, 2014, the Company entered into an agreement with an affiliate of the Carlyle Group to repurchase 1,000,000 shares of the Company's Class A Common Stock pursuant to the repurchase program described in footnote 2 below. The shares were repurchased at a price of $25.10 per share in a private non-underwritten transaction.</w:t>
      </w:r>
    </w:p>
    <w:p>
      <w:pPr>
        <w:spacing w:after="0" w:line="127" w:lineRule="exact"/>
        <w:rPr>
          <w:rFonts w:ascii="Arial" w:cs="Arial" w:eastAsia="Arial" w:hAnsi="Arial"/>
          <w:sz w:val="18"/>
          <w:szCs w:val="18"/>
          <w:color w:val="auto"/>
        </w:rPr>
      </w:pPr>
    </w:p>
    <w:p>
      <w:pPr>
        <w:ind w:left="660" w:hanging="652"/>
        <w:spacing w:after="0" w:line="312"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December 12, 2011, the Board of Directors approved a $30.0 million share repurchase program.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00" w:lineRule="exact"/>
        <w:rPr>
          <w:sz w:val="20"/>
          <w:szCs w:val="20"/>
          <w:color w:val="auto"/>
        </w:rPr>
      </w:pPr>
    </w:p>
    <w:p>
      <w:pPr>
        <w:spacing w:after="0" w:line="3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611" w:right="4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0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56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7"/>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4"/>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Amended and Restated Stockholders Agreement of Booz Allen Hamilton Holding Corporation (Incorporated by reference to Exhibit 4.3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1"/>
              </w:rPr>
              <w:t>Irrevocable Proxy and Tag-Along Agreement (Incorporated by reference to Exhibit 4.4 to the Company’s Quarterly Report for the period ended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December 31, 2010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Waiver to the Amended and Restated Stockholders Agreement of Booz Allen Hamilton Holding Corporation, dated as of December 19, 2014,</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and among Booz Allen Hamilton Inc., Explorer Coinvest LLC and the Executive Stockholders party thereto*</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9"/>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8"/>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2"/>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56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486"/>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560" w:type="dxa"/>
            <w:vAlign w:val="bottom"/>
            <w:gridSpan w:val="3"/>
          </w:tcPr>
          <w:p>
            <w:pPr>
              <w:ind w:left="48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ectPr>
          <w:pgSz w:w="11900" w:h="16838" w:orient="portrait"/>
          <w:cols w:equalWidth="0" w:num="1">
            <w:col w:w="11360"/>
          </w:cols>
          <w:pgMar w:left="240" w:top="526" w:right="29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10680" w:type="dxa"/>
            <w:vAlign w:val="bottom"/>
          </w:tcPr>
          <w:p>
            <w:pPr>
              <w:ind w:left="2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Amended and Restated Booz Allen Hamilton Holding Corporation Annual Incentive Plan (Incorporated by reference to Exhibit 10.10 to the</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Company’s Quarterly Report for the period ended September 30, 2014 on Form 10-Q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Statement on Form S-1 (File No. 333-167645))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Group Variable Universal Life Insurance (Incorporated by reference to Exhibit 10.20 to the Company’s Registration Statement on Form S-1</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(File No. 333-167645))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No. 333-167645))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10.17</w:t>
            </w:r>
          </w:p>
        </w:tc>
        <w:tc>
          <w:tcPr>
            <w:tcW w:w="10680" w:type="dxa"/>
            <w:vAlign w:val="bottom"/>
          </w:tcPr>
          <w:p>
            <w:pPr>
              <w:ind w:left="26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10.23 to the Company’s Registration Statement on Form S-1 (File No. 333-167645))</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Form 10-K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Report on Form 8-K filed on June 14, 2012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10680" w:type="dxa"/>
            <w:vAlign w:val="bottom"/>
          </w:tcPr>
          <w:p>
            <w:pPr>
              <w:ind w:left="26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r>
      <w:tr>
        <w:trPr>
          <w:trHeight w:val="216"/>
        </w:trPr>
        <w:tc>
          <w:tcPr>
            <w:tcW w:w="660" w:type="dxa"/>
            <w:vAlign w:val="bottom"/>
          </w:tcPr>
          <w:p>
            <w:pPr>
              <w:spacing w:after="0"/>
              <w:rPr>
                <w:sz w:val="18"/>
                <w:szCs w:val="18"/>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r>
      <w:tr>
        <w:trPr>
          <w:trHeight w:val="230"/>
        </w:trPr>
        <w:tc>
          <w:tcPr>
            <w:tcW w:w="660" w:type="dxa"/>
            <w:vAlign w:val="bottom"/>
          </w:tcPr>
          <w:p>
            <w:pPr>
              <w:spacing w:after="0"/>
              <w:rPr>
                <w:sz w:val="20"/>
                <w:szCs w:val="20"/>
                <w:color w:val="auto"/>
              </w:rPr>
            </w:pPr>
          </w:p>
        </w:tc>
        <w:tc>
          <w:tcPr>
            <w:tcW w:w="10680" w:type="dxa"/>
            <w:vAlign w:val="bottom"/>
          </w:tcPr>
          <w:p>
            <w:pPr>
              <w:ind w:left="26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84"/>
              </w:rPr>
              <w:t>10.24</w:t>
            </w:r>
          </w:p>
        </w:tc>
        <w:tc>
          <w:tcPr>
            <w:tcW w:w="10560" w:type="dxa"/>
            <w:vAlign w:val="bottom"/>
            <w:vMerge w:val="restart"/>
          </w:tcPr>
          <w:p>
            <w:pPr>
              <w:ind w:left="260"/>
              <w:spacing w:after="0"/>
              <w:rPr>
                <w:sz w:val="20"/>
                <w:szCs w:val="20"/>
                <w:color w:val="auto"/>
              </w:rPr>
            </w:pPr>
            <w:r>
              <w:rPr>
                <w:rFonts w:ascii="Arial" w:cs="Arial" w:eastAsia="Arial" w:hAnsi="Arial"/>
                <w:sz w:val="18"/>
                <w:szCs w:val="18"/>
                <w:color w:val="auto"/>
                <w:w w:val="96"/>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10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Technology Corporation, ASE, Inc. and ,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1"/>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w w:val="94"/>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10560" w:type="dxa"/>
            <w:vAlign w:val="bottom"/>
          </w:tcPr>
          <w:p>
            <w:pPr>
              <w:ind w:left="26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689"/>
        </w:trPr>
        <w:tc>
          <w:tcPr>
            <w:tcW w:w="660" w:type="dxa"/>
            <w:vAlign w:val="bottom"/>
          </w:tcPr>
          <w:p>
            <w:pPr>
              <w:spacing w:after="0"/>
              <w:rPr>
                <w:sz w:val="24"/>
                <w:szCs w:val="24"/>
                <w:color w:val="auto"/>
              </w:rPr>
            </w:pPr>
          </w:p>
        </w:tc>
        <w:tc>
          <w:tcPr>
            <w:tcW w:w="10560" w:type="dxa"/>
            <w:vAlign w:val="bottom"/>
          </w:tcPr>
          <w:p>
            <w:pPr>
              <w:ind w:left="49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ectPr>
          <w:pgSz w:w="11900" w:h="16838" w:orient="portrait"/>
          <w:cols w:equalWidth="0" w:num="1">
            <w:col w:w="11340"/>
          </w:cols>
          <w:pgMar w:left="280" w:top="814" w:right="279" w:bottom="1440" w:gutter="0" w:footer="0" w:header="0"/>
        </w:sectPr>
      </w:pPr>
    </w:p>
    <w:bookmarkStart w:id="37" w:name="page38"/>
    <w:bookmarkEnd w:id="37"/>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2014 on Form 10-K (File No. 001-34972))</w:t>
            </w:r>
          </w:p>
        </w:tc>
      </w:tr>
      <w:tr>
        <w:trPr>
          <w:trHeight w:val="593"/>
        </w:trPr>
        <w:tc>
          <w:tcPr>
            <w:tcW w:w="660" w:type="dxa"/>
            <w:vAlign w:val="bottom"/>
          </w:tcPr>
          <w:p>
            <w:pPr>
              <w:spacing w:after="0"/>
              <w:rPr>
                <w:sz w:val="20"/>
                <w:szCs w:val="20"/>
                <w:color w:val="auto"/>
              </w:rPr>
            </w:pPr>
            <w:r>
              <w:rPr>
                <w:rFonts w:ascii="Arial" w:cs="Arial" w:eastAsia="Arial" w:hAnsi="Arial"/>
                <w:sz w:val="18"/>
                <w:szCs w:val="18"/>
                <w:color w:val="auto"/>
              </w:rPr>
              <w:t>10.26</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2"/>
              </w:rPr>
              <w:t>(Incorporated by reference to Exhibit 10.28 to the Company’s Annual Report for the year ended March 31, 2014 on Form 10-K (File No. 001-</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Form of Restricted Stock Unit Agreement under the Equity Incentive Plan of Booz Allen Hamilton Holding Corporation (Incorporated by</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9"/>
              </w:rPr>
              <w:t>reference to Exhibit 10.29 to the Company’s Annual Report for the year ended March 31, 2014 on Form 10-K (File No. 001-34972))</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10.28</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40" w:hanging="925"/>
        <w:spacing w:after="0" w:line="255"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and nine months ended December 31, 2014 formatted in XBRL (eXtensible Business Reporting Language): (i) Condensed Consolidated Balance Sheets at December 31, 2014 and March 31, 2014; (ii) Condensed Consolidated Statements of Operations for the three and nine months ended December 31, 2014 and 2013; (iii) Condensed Consolidated Statements of Comprehensive Income for the three and nine months ended December 31, 2014 and 2013; (iv) Condensed Consolidated Statements of Cash Flows for the three and nine months ended December 31, 2014 and 2013;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23" w:lineRule="exact"/>
        <w:rPr>
          <w:sz w:val="20"/>
          <w:szCs w:val="20"/>
          <w:color w:val="auto"/>
        </w:rPr>
      </w:pPr>
    </w:p>
    <w:p>
      <w:pPr>
        <w:ind w:left="660" w:right="80" w:hanging="652"/>
        <w:spacing w:after="0" w:line="277"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692" w:right="299" w:bottom="1440" w:gutter="0" w:footer="0" w:header="0"/>
        </w:sectPr>
      </w:pPr>
    </w:p>
    <w:bookmarkStart w:id="38" w:name="page39"/>
    <w:bookmarkEnd w:id="38"/>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January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240" w:top="526" w:right="59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22"/>
          <w:szCs w:val="22"/>
          <w:u w:val="single" w:color="auto"/>
          <w:color w:val="auto"/>
        </w:rPr>
        <w:t>WAIVER</w:t>
      </w:r>
    </w:p>
    <w:p>
      <w:pPr>
        <w:spacing w:after="0" w:line="200" w:lineRule="exact"/>
        <w:rPr>
          <w:sz w:val="20"/>
          <w:szCs w:val="20"/>
          <w:color w:val="auto"/>
        </w:rPr>
      </w:pPr>
    </w:p>
    <w:p>
      <w:pPr>
        <w:spacing w:after="0" w:line="236"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WAIVER (this “</w:t>
      </w:r>
      <w:r>
        <w:rPr>
          <w:rFonts w:ascii="Arial" w:cs="Arial" w:eastAsia="Arial" w:hAnsi="Arial"/>
          <w:sz w:val="21"/>
          <w:szCs w:val="21"/>
          <w:u w:val="single" w:color="auto"/>
          <w:color w:val="auto"/>
        </w:rPr>
        <w:t>Waiver</w:t>
      </w:r>
      <w:r>
        <w:rPr>
          <w:rFonts w:ascii="Arial" w:cs="Arial" w:eastAsia="Arial" w:hAnsi="Arial"/>
          <w:sz w:val="21"/>
          <w:szCs w:val="21"/>
          <w:color w:val="auto"/>
        </w:rPr>
        <w:t>”), dated as of December 19, 2014, to that certain Amended and Restated Stockholders Agreement, dated as of November 8, 2010, as amended from time to time thereafter (the “</w:t>
      </w:r>
      <w:r>
        <w:rPr>
          <w:rFonts w:ascii="Arial" w:cs="Arial" w:eastAsia="Arial" w:hAnsi="Arial"/>
          <w:sz w:val="21"/>
          <w:szCs w:val="21"/>
          <w:u w:val="single" w:color="auto"/>
          <w:color w:val="auto"/>
        </w:rPr>
        <w:t>Stockholders Agreement</w:t>
      </w:r>
      <w:r>
        <w:rPr>
          <w:rFonts w:ascii="Arial" w:cs="Arial" w:eastAsia="Arial" w:hAnsi="Arial"/>
          <w:sz w:val="21"/>
          <w:szCs w:val="21"/>
          <w:color w:val="auto"/>
        </w:rPr>
        <w:t>”), by and among Booz Allen Hamilton Holding Corporation, a Delaware corporation f/k/a Explorer Holding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Explorer Coinvest LLC, a Delaware limited liability company (the “</w:t>
      </w:r>
      <w:r>
        <w:rPr>
          <w:rFonts w:ascii="Arial" w:cs="Arial" w:eastAsia="Arial" w:hAnsi="Arial"/>
          <w:sz w:val="21"/>
          <w:szCs w:val="21"/>
          <w:u w:val="single" w:color="auto"/>
          <w:color w:val="auto"/>
        </w:rPr>
        <w:t>Initial Carlyle Stockholder</w:t>
      </w:r>
      <w:r>
        <w:rPr>
          <w:rFonts w:ascii="Arial" w:cs="Arial" w:eastAsia="Arial" w:hAnsi="Arial"/>
          <w:sz w:val="21"/>
          <w:szCs w:val="21"/>
          <w:color w:val="auto"/>
        </w:rPr>
        <w:t>”), those Persons identified as Individual Stockholders that as of the date of the Stockholders Agreement were a party to the Original Agreement, and each other Person who subsequently became a party to the Agreement pursuant to the terms thereof, is entered into by and among the Company, the Initial Carlyle Stockholder and the Executive Stockholders. Capitalized terms used in this Waiver without definition have the meanings given to them in the Stockholders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 xml:space="preserve"> :</w:t>
      </w:r>
    </w:p>
    <w:p>
      <w:pPr>
        <w:spacing w:after="0" w:line="200" w:lineRule="exact"/>
        <w:rPr>
          <w:sz w:val="20"/>
          <w:szCs w:val="20"/>
          <w:color w:val="auto"/>
        </w:rPr>
      </w:pPr>
    </w:p>
    <w:p>
      <w:pPr>
        <w:spacing w:after="0" w:line="236" w:lineRule="exact"/>
        <w:rPr>
          <w:sz w:val="20"/>
          <w:szCs w:val="20"/>
          <w:color w:val="auto"/>
        </w:rPr>
      </w:pPr>
    </w:p>
    <w:p>
      <w:pPr>
        <w:ind w:right="180" w:firstLine="648"/>
        <w:spacing w:after="0" w:line="343" w:lineRule="auto"/>
        <w:rPr>
          <w:sz w:val="20"/>
          <w:szCs w:val="20"/>
          <w:color w:val="auto"/>
        </w:rPr>
      </w:pPr>
      <w:r>
        <w:rPr>
          <w:rFonts w:ascii="Arial" w:cs="Arial" w:eastAsia="Arial" w:hAnsi="Arial"/>
          <w:sz w:val="19"/>
          <w:szCs w:val="19"/>
          <w:color w:val="auto"/>
        </w:rPr>
        <w:t>WHEREAS, Section 1(a) of the Stockholders Agreement provides that two Directors, who shall be full-time employees of the Company, shall be designated for nomination for election by the Chief Executive Officer of the Company;</w:t>
      </w:r>
    </w:p>
    <w:p>
      <w:pPr>
        <w:spacing w:after="0" w:line="321" w:lineRule="exact"/>
        <w:rPr>
          <w:sz w:val="20"/>
          <w:szCs w:val="20"/>
          <w:color w:val="auto"/>
        </w:rPr>
      </w:pPr>
    </w:p>
    <w:p>
      <w:pPr>
        <w:ind w:right="1040" w:firstLine="648"/>
        <w:spacing w:after="0" w:line="263" w:lineRule="auto"/>
        <w:rPr>
          <w:sz w:val="20"/>
          <w:szCs w:val="20"/>
          <w:color w:val="auto"/>
        </w:rPr>
      </w:pPr>
      <w:r>
        <w:rPr>
          <w:rFonts w:ascii="Arial" w:cs="Arial" w:eastAsia="Arial" w:hAnsi="Arial"/>
          <w:sz w:val="22"/>
          <w:szCs w:val="22"/>
          <w:color w:val="auto"/>
        </w:rPr>
        <w:t>WHEREAS, Section 1(d) of the Stockholders Agreement provides that any Executive Director shall be removed automatically from the Board upon such Executive Director’s Termination of Service;</w:t>
      </w:r>
    </w:p>
    <w:p>
      <w:pPr>
        <w:spacing w:after="0" w:line="391"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WHEREAS, Ralph W. Shrader, Chief Executive Officer of the Company, and Horacio D. Rozanski, President and Chief Operating Officer of the Company, currently serve as Directors;</w:t>
      </w:r>
    </w:p>
    <w:p>
      <w:pPr>
        <w:spacing w:after="0" w:line="391"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WHEREAS, effective December 31, 2014, Ralph W. Shrader will retire as Chief Executive Officer of the Company (the “</w:t>
      </w:r>
      <w:r>
        <w:rPr>
          <w:rFonts w:ascii="Arial" w:cs="Arial" w:eastAsia="Arial" w:hAnsi="Arial"/>
          <w:sz w:val="22"/>
          <w:szCs w:val="22"/>
          <w:u w:val="single" w:color="auto"/>
          <w:color w:val="auto"/>
        </w:rPr>
        <w:t>Resignation</w:t>
      </w:r>
      <w:r>
        <w:rPr>
          <w:rFonts w:ascii="Arial" w:cs="Arial" w:eastAsia="Arial" w:hAnsi="Arial"/>
          <w:sz w:val="22"/>
          <w:szCs w:val="22"/>
          <w:color w:val="auto"/>
        </w:rPr>
        <w:t>”); and</w:t>
      </w:r>
    </w:p>
    <w:p>
      <w:pPr>
        <w:spacing w:after="0" w:line="391"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WHEREAS, pursuant to Section 16(k) of the Stockholders Agreement, this waiver may be adopted with the consent of the Company, the Initial Carlyle Stockholder and the Executive Stockholders holding a majority of the Securities held by the Executive Stockholders.</w:t>
      </w:r>
    </w:p>
    <w:p>
      <w:pPr>
        <w:spacing w:after="0" w:line="200" w:lineRule="exact"/>
        <w:rPr>
          <w:sz w:val="20"/>
          <w:szCs w:val="20"/>
          <w:color w:val="auto"/>
        </w:rPr>
      </w:pPr>
    </w:p>
    <w:p>
      <w:pPr>
        <w:spacing w:after="0" w:line="202"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and sufficiency of which are hereby acknowledged, the parties hereto hereby agree as follows:</w:t>
      </w:r>
    </w:p>
    <w:p>
      <w:pPr>
        <w:spacing w:after="0" w:line="391" w:lineRule="exact"/>
        <w:rPr>
          <w:sz w:val="20"/>
          <w:szCs w:val="20"/>
          <w:color w:val="auto"/>
        </w:rPr>
      </w:pPr>
    </w:p>
    <w:p>
      <w:pPr>
        <w:ind w:firstLine="656"/>
        <w:spacing w:after="0" w:line="247" w:lineRule="auto"/>
        <w:tabs>
          <w:tab w:leader="none" w:pos="1459" w:val="left"/>
        </w:tabs>
        <w:numPr>
          <w:ilvl w:val="0"/>
          <w:numId w:val="33"/>
        </w:numPr>
        <w:rPr>
          <w:rFonts w:ascii="Arial" w:cs="Arial" w:eastAsia="Arial" w:hAnsi="Arial"/>
          <w:sz w:val="22"/>
          <w:szCs w:val="22"/>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Pursuant to Section 16(k) of the Stockholders Agreement, the Company, the Initial Carlyle Stockholder and the Executive Stockholders hereby agree, (</w:t>
      </w:r>
      <w:r>
        <w:rPr>
          <w:rFonts w:ascii="Arial" w:cs="Arial" w:eastAsia="Arial" w:hAnsi="Arial"/>
          <w:sz w:val="22"/>
          <w:szCs w:val="22"/>
          <w:u w:val="single" w:color="auto"/>
          <w:color w:val="auto"/>
        </w:rPr>
        <w:t>i</w:t>
      </w:r>
      <w:r>
        <w:rPr>
          <w:rFonts w:ascii="Arial" w:cs="Arial" w:eastAsia="Arial" w:hAnsi="Arial"/>
          <w:sz w:val="22"/>
          <w:szCs w:val="22"/>
          <w:color w:val="auto"/>
        </w:rPr>
        <w:t>) solely with respect to the Resignation, to waive the applicability of Section 1(d) of the Stockholders Agreement and (</w:t>
      </w:r>
      <w:r>
        <w:rPr>
          <w:rFonts w:ascii="Arial" w:cs="Arial" w:eastAsia="Arial" w:hAnsi="Arial"/>
          <w:sz w:val="22"/>
          <w:szCs w:val="22"/>
          <w:u w:val="single" w:color="auto"/>
          <w:color w:val="auto"/>
        </w:rPr>
        <w:t>ii</w:t>
      </w:r>
      <w:r>
        <w:rPr>
          <w:rFonts w:ascii="Arial" w:cs="Arial" w:eastAsia="Arial" w:hAnsi="Arial"/>
          <w:sz w:val="22"/>
          <w:szCs w:val="22"/>
          <w:color w:val="auto"/>
        </w:rPr>
        <w:t>) to amend Section 1(a) of the Stockholders Agreement so as to clarify that the Chief Executive Officer is under no obligation to designate for nomination for election any full-time employee of the Company to the extent that two Directors previously designated for nomination for election continue pursuant to Section 1(a) of the Stockholders Agreement to serve</w:t>
      </w:r>
    </w:p>
    <w:p>
      <w:pPr>
        <w:sectPr>
          <w:pgSz w:w="11900" w:h="16838" w:orient="portrait"/>
          <w:cols w:equalWidth="0" w:num="1">
            <w:col w:w="11420"/>
          </w:cols>
          <w:pgMar w:left="240" w:top="591" w:right="239" w:bottom="1440" w:gutter="0" w:footer="0" w:header="0"/>
        </w:sectPr>
      </w:pPr>
    </w:p>
    <w:bookmarkStart w:id="40" w:name="page41"/>
    <w:bookmarkEnd w:id="40"/>
    <w:p>
      <w:pPr>
        <w:ind w:right="380"/>
        <w:spacing w:after="0" w:line="312" w:lineRule="auto"/>
        <w:rPr>
          <w:sz w:val="20"/>
          <w:szCs w:val="20"/>
          <w:color w:val="auto"/>
        </w:rPr>
      </w:pPr>
      <w:r>
        <w:rPr>
          <w:rFonts w:ascii="Arial" w:cs="Arial" w:eastAsia="Arial" w:hAnsi="Arial"/>
          <w:sz w:val="19"/>
          <w:szCs w:val="19"/>
          <w:color w:val="auto"/>
        </w:rPr>
        <w:t>as Directors by adding the following words before the first semi-colon in the third sentence of that Section: “(but shall not be required to make any such designation if two Directors previously designated under this Section by the Chief Executive Officer continue to serve on the Board and the final proviso of Section 1(d) of this Agreement is inapplicable)”.</w:t>
      </w:r>
    </w:p>
    <w:p>
      <w:pPr>
        <w:spacing w:after="0" w:line="350" w:lineRule="exact"/>
        <w:rPr>
          <w:sz w:val="20"/>
          <w:szCs w:val="20"/>
          <w:color w:val="auto"/>
        </w:rPr>
      </w:pPr>
    </w:p>
    <w:p>
      <w:pPr>
        <w:ind w:right="80" w:firstLine="656"/>
        <w:spacing w:after="0" w:line="251" w:lineRule="auto"/>
        <w:tabs>
          <w:tab w:leader="none" w:pos="99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Continuing Effect; No Other Amendments or Consents</w:t>
      </w:r>
      <w:r>
        <w:rPr>
          <w:rFonts w:ascii="Arial" w:cs="Arial" w:eastAsia="Arial" w:hAnsi="Arial"/>
          <w:sz w:val="22"/>
          <w:szCs w:val="22"/>
          <w:color w:val="auto"/>
        </w:rPr>
        <w:t>. Except as expressly provided herein, all of the terms and provisions of the Stockholders Agreement are and shall remain in full force and effect. The waiver provided for herein is limited to the specific provisions of the Stockholders Agreement specified herein and shall not constitute a consent, waiver or amendment of, or an indication of the Stockholders’ willingness to consent to any action requiring consent under any other provisions of the Stockholders Agreement for any other date or time period.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jc w:val="both"/>
        <w:ind w:firstLine="656"/>
        <w:spacing w:after="0" w:line="260" w:lineRule="auto"/>
        <w:tabs>
          <w:tab w:leader="none" w:pos="99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Waiver shall be governed by, and construed in accordance with, the laws of the State of Delaware, without giving effect to its principles or rules of conflict of laws to the extent such principles or rules are not mandatorily applicable by statute and would require or permit the application of the laws of another jurisdiction.</w:t>
      </w:r>
    </w:p>
    <w:p>
      <w:pPr>
        <w:spacing w:after="0" w:line="393" w:lineRule="exact"/>
        <w:rPr>
          <w:rFonts w:ascii="Arial" w:cs="Arial" w:eastAsia="Arial" w:hAnsi="Arial"/>
          <w:sz w:val="22"/>
          <w:szCs w:val="22"/>
          <w:color w:val="auto"/>
        </w:rPr>
      </w:pPr>
    </w:p>
    <w:p>
      <w:pPr>
        <w:ind w:right="220" w:firstLine="656"/>
        <w:spacing w:after="0" w:line="276" w:lineRule="auto"/>
        <w:tabs>
          <w:tab w:leader="none" w:pos="99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xml:space="preserve">. The provisions of subsections (b), (d), (e), (f), (h) and (j) of Section 16 of the Stockholders Agreement are hereby incorporated by reference in this Waiver and shall apply </w:t>
      </w:r>
      <w:r>
        <w:rPr>
          <w:rFonts w:ascii="Arial" w:cs="Arial" w:eastAsia="Arial" w:hAnsi="Arial"/>
          <w:sz w:val="22"/>
          <w:szCs w:val="22"/>
          <w:i w:val="1"/>
          <w:iCs w:val="1"/>
          <w:color w:val="auto"/>
        </w:rPr>
        <w:t>mutatis mutandis.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420"/>
          </w:cols>
          <w:pgMar w:left="240" w:top="591" w:right="239" w:bottom="1440" w:gutter="0" w:footer="0" w:header="0"/>
        </w:sectPr>
      </w:pPr>
    </w:p>
    <w:bookmarkStart w:id="41" w:name="page42"/>
    <w:bookmarkEnd w:id="41"/>
    <w:p>
      <w:pPr>
        <w:spacing w:after="0"/>
        <w:rPr>
          <w:sz w:val="20"/>
          <w:szCs w:val="20"/>
          <w:color w:val="auto"/>
        </w:rPr>
      </w:pPr>
      <w:r>
        <w:rPr>
          <w:rFonts w:ascii="Arial" w:cs="Arial" w:eastAsia="Arial" w:hAnsi="Arial"/>
          <w:sz w:val="22"/>
          <w:szCs w:val="22"/>
          <w:color w:val="auto"/>
        </w:rPr>
        <w:t>IN WITNESS WHEREOF, each of the undersigned has executed this Waiver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BOOZ ALLEN HAMILTON HOLDING CORPORATION</w:t>
      </w:r>
    </w:p>
    <w:p>
      <w:pPr>
        <w:spacing w:after="0" w:line="200" w:lineRule="exact"/>
        <w:rPr>
          <w:sz w:val="20"/>
          <w:szCs w:val="20"/>
          <w:color w:val="auto"/>
        </w:rPr>
      </w:pPr>
    </w:p>
    <w:p>
      <w:pPr>
        <w:spacing w:after="0" w:line="242"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Douglas S. Manya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-17780</wp:posOffset>
            </wp:positionV>
            <wp:extent cx="1318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18895" cy="8890"/>
                    </a:xfrm>
                    <a:prstGeom prst="rect">
                      <a:avLst/>
                    </a:prstGeom>
                    <a:noFill/>
                  </pic:spPr>
                </pic:pic>
              </a:graphicData>
            </a:graphic>
          </wp:anchor>
        </w:drawing>
      </w:r>
    </w:p>
    <w:p>
      <w:pPr>
        <w:spacing w:after="0" w:line="2" w:lineRule="exact"/>
        <w:rPr>
          <w:sz w:val="20"/>
          <w:szCs w:val="20"/>
          <w:color w:val="auto"/>
        </w:rPr>
      </w:pPr>
    </w:p>
    <w:p>
      <w:pPr>
        <w:ind w:left="8100"/>
        <w:spacing w:after="0"/>
        <w:rPr>
          <w:sz w:val="20"/>
          <w:szCs w:val="20"/>
          <w:color w:val="auto"/>
        </w:rPr>
      </w:pPr>
      <w:r>
        <w:rPr>
          <w:rFonts w:ascii="Arial" w:cs="Arial" w:eastAsia="Arial" w:hAnsi="Arial"/>
          <w:sz w:val="22"/>
          <w:szCs w:val="22"/>
          <w:color w:val="auto"/>
        </w:rPr>
        <w:t>Name: Douglas S. Manya</w:t>
      </w:r>
    </w:p>
    <w:p>
      <w:pPr>
        <w:spacing w:after="0" w:line="4" w:lineRule="exact"/>
        <w:rPr>
          <w:sz w:val="20"/>
          <w:szCs w:val="20"/>
          <w:color w:val="auto"/>
        </w:rPr>
      </w:pPr>
    </w:p>
    <w:p>
      <w:pPr>
        <w:ind w:left="8100"/>
        <w:spacing w:after="0"/>
        <w:rPr>
          <w:sz w:val="20"/>
          <w:szCs w:val="20"/>
          <w:color w:val="auto"/>
        </w:rPr>
      </w:pPr>
      <w:r>
        <w:rPr>
          <w:rFonts w:ascii="Arial" w:cs="Arial" w:eastAsia="Arial" w:hAnsi="Arial"/>
          <w:sz w:val="19"/>
          <w:szCs w:val="19"/>
          <w:color w:val="auto"/>
        </w:rPr>
        <w:t>Title: Vice President, Deputy</w:t>
      </w:r>
    </w:p>
    <w:p>
      <w:pPr>
        <w:spacing w:after="0" w:line="3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General</w:t>
      </w:r>
    </w:p>
    <w:p>
      <w:pPr>
        <w:spacing w:after="0" w:line="4" w:lineRule="exact"/>
        <w:rPr>
          <w:sz w:val="20"/>
          <w:szCs w:val="20"/>
          <w:color w:val="auto"/>
        </w:rPr>
      </w:pPr>
    </w:p>
    <w:p>
      <w:pPr>
        <w:ind w:left="8100"/>
        <w:spacing w:after="0"/>
        <w:rPr>
          <w:sz w:val="20"/>
          <w:szCs w:val="20"/>
          <w:color w:val="auto"/>
        </w:rPr>
      </w:pPr>
      <w:r>
        <w:rPr>
          <w:rFonts w:ascii="Arial" w:cs="Arial" w:eastAsia="Arial" w:hAnsi="Arial"/>
          <w:sz w:val="22"/>
          <w:szCs w:val="22"/>
          <w:color w:val="auto"/>
        </w:rPr>
        <w:t>Counsel and Secretary</w:t>
      </w:r>
    </w:p>
    <w:p>
      <w:pPr>
        <w:spacing w:after="0" w:line="200" w:lineRule="exact"/>
        <w:rPr>
          <w:sz w:val="20"/>
          <w:szCs w:val="20"/>
          <w:color w:val="auto"/>
        </w:rPr>
      </w:pPr>
    </w:p>
    <w:p>
      <w:pPr>
        <w:spacing w:after="0" w:line="279"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Signature Page to Waiver</w:t>
      </w:r>
    </w:p>
    <w:p>
      <w:pPr>
        <w:sectPr>
          <w:pgSz w:w="11900" w:h="16838" w:orient="portrait"/>
          <w:cols w:equalWidth="0" w:num="1">
            <w:col w:w="10620"/>
          </w:cols>
          <w:pgMar w:left="900" w:top="591" w:right="379" w:bottom="1440" w:gutter="0" w:footer="0" w:header="0"/>
        </w:sectPr>
      </w:pPr>
    </w:p>
    <w:bookmarkStart w:id="42" w:name="page43"/>
    <w:bookmarkEnd w:id="42"/>
    <w:p>
      <w:pPr>
        <w:ind w:left="2700"/>
        <w:spacing w:after="0"/>
        <w:rPr>
          <w:sz w:val="20"/>
          <w:szCs w:val="20"/>
          <w:color w:val="auto"/>
        </w:rPr>
      </w:pPr>
      <w:r>
        <w:rPr>
          <w:rFonts w:ascii="Arial" w:cs="Arial" w:eastAsia="Arial" w:hAnsi="Arial"/>
          <w:sz w:val="22"/>
          <w:szCs w:val="22"/>
          <w:b w:val="1"/>
          <w:bCs w:val="1"/>
          <w:color w:val="auto"/>
        </w:rPr>
        <w:t>EXPLORER COINVEST LLC</w:t>
      </w:r>
    </w:p>
    <w:p>
      <w:pPr>
        <w:spacing w:after="0" w:line="26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Explorer Manager, L.L.C, its manager</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By: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-17780</wp:posOffset>
            </wp:positionV>
            <wp:extent cx="13208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40"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Name: Jeremy W. Anderson</w:t>
      </w:r>
    </w:p>
    <w:p>
      <w:pPr>
        <w:spacing w:after="0" w:line="22" w:lineRule="exact"/>
        <w:rPr>
          <w:sz w:val="20"/>
          <w:szCs w:val="20"/>
          <w:color w:val="auto"/>
        </w:rPr>
      </w:pPr>
    </w:p>
    <w:p>
      <w:pPr>
        <w:ind w:left="3180"/>
        <w:spacing w:after="0"/>
        <w:rPr>
          <w:sz w:val="20"/>
          <w:szCs w:val="20"/>
          <w:color w:val="auto"/>
        </w:rPr>
      </w:pPr>
      <w:r>
        <w:rPr>
          <w:rFonts w:ascii="Arial" w:cs="Arial" w:eastAsia="Arial" w:hAnsi="Arial"/>
          <w:sz w:val="22"/>
          <w:szCs w:val="22"/>
          <w:color w:val="auto"/>
        </w:rPr>
        <w:t>Title: Authorized Person</w:t>
      </w:r>
    </w:p>
    <w:p>
      <w:pPr>
        <w:spacing w:after="0" w:line="222" w:lineRule="exact"/>
        <w:rPr>
          <w:sz w:val="20"/>
          <w:szCs w:val="20"/>
          <w:color w:val="auto"/>
        </w:rPr>
      </w:pPr>
    </w:p>
    <w:p>
      <w:pPr>
        <w:ind w:left="3600"/>
        <w:spacing w:after="0"/>
        <w:rPr>
          <w:sz w:val="20"/>
          <w:szCs w:val="20"/>
          <w:color w:val="auto"/>
        </w:rPr>
      </w:pPr>
      <w:r>
        <w:rPr>
          <w:rFonts w:ascii="Arial" w:cs="Arial" w:eastAsia="Arial" w:hAnsi="Arial"/>
          <w:sz w:val="18"/>
          <w:szCs w:val="18"/>
          <w:i w:val="1"/>
          <w:iCs w:val="1"/>
          <w:color w:val="auto"/>
        </w:rPr>
        <w:t>Signature Page to Waiver</w:t>
      </w:r>
    </w:p>
    <w:p>
      <w:pPr>
        <w:sectPr>
          <w:pgSz w:w="11900" w:h="16838" w:orient="portrait"/>
          <w:cols w:equalWidth="0" w:num="1">
            <w:col w:w="9740"/>
          </w:cols>
          <w:pgMar w:left="1440" w:top="369" w:right="719" w:bottom="1440" w:gutter="0" w:footer="0" w:header="0"/>
        </w:sectPr>
      </w:pPr>
    </w:p>
    <w:bookmarkStart w:id="43" w:name="page44"/>
    <w:bookmarkEnd w:id="43"/>
    <w:p>
      <w:pPr>
        <w:ind w:left="2040"/>
        <w:spacing w:after="0"/>
        <w:rPr>
          <w:sz w:val="20"/>
          <w:szCs w:val="20"/>
          <w:color w:val="auto"/>
        </w:rPr>
      </w:pPr>
      <w:r>
        <w:rPr>
          <w:rFonts w:ascii="Arial" w:cs="Arial" w:eastAsia="Arial" w:hAnsi="Arial"/>
          <w:sz w:val="22"/>
          <w:szCs w:val="22"/>
          <w:b w:val="1"/>
          <w:bCs w:val="1"/>
          <w:color w:val="auto"/>
        </w:rPr>
        <w:t>EXECUTIVE STOCKHOLDERS</w:t>
      </w:r>
    </w:p>
    <w:p>
      <w:pPr>
        <w:spacing w:after="0" w:line="200" w:lineRule="exact"/>
        <w:rPr>
          <w:sz w:val="20"/>
          <w:szCs w:val="20"/>
          <w:color w:val="auto"/>
        </w:rPr>
      </w:pPr>
    </w:p>
    <w:p>
      <w:pPr>
        <w:spacing w:after="0" w:line="323"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Ralph W. Shrader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5500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0035"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Ralph W. Shrader</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593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93215"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Horacio D. Rozanski</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3950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5095"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Kevin L. Cook</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Karen M. Dahut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4712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1295"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Karen M. Dahut</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Lloyd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570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Lloyd Howell, Jr.</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Joseph Logue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3341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Joseph Logue</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Joseph Logue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3341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34135"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John D. Mayer</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Nancy J. Laben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432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32560"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Nancy J. Laben</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Elizabeth M.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768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68475"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Elizabeth M. Thompson</w:t>
      </w:r>
    </w:p>
    <w:p>
      <w:pPr>
        <w:spacing w:after="0" w:line="24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/s/ Joseph M. Mahaffee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1301115</wp:posOffset>
            </wp:positionH>
            <wp:positionV relativeFrom="paragraph">
              <wp:posOffset>-17780</wp:posOffset>
            </wp:positionV>
            <wp:extent cx="15595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9560" cy="8890"/>
                    </a:xfrm>
                    <a:prstGeom prst="rect">
                      <a:avLst/>
                    </a:prstGeom>
                    <a:noFill/>
                  </pic:spPr>
                </pic:pic>
              </a:graphicData>
            </a:graphic>
          </wp:anchor>
        </w:drawing>
      </w:r>
    </w:p>
    <w:p>
      <w:pPr>
        <w:spacing w:after="0" w:line="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Joseph M. Mahaffee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Waiver</w:t>
      </w:r>
    </w:p>
    <w:p>
      <w:pPr>
        <w:sectPr>
          <w:pgSz w:w="11900" w:h="16838" w:orient="portrait"/>
          <w:cols w:equalWidth="0" w:num="1">
            <w:col w:w="9019"/>
          </w:cols>
          <w:pgMar w:left="1440" w:top="369"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January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Kevin L. Cook, certify that:</w:t>
      </w:r>
    </w:p>
    <w:p>
      <w:pPr>
        <w:spacing w:after="0" w:line="171"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January 28,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December 31, 2014,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January 28, 2015</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report on Form 10-QK of Booz Allen Hamilton Holding Corporation (the “Company”) for the fiscal quarter ended December 31, 2014, as filed with the Securities and Exchange Commission on the date hereof (the “Report”), the undersigned Senior Vice President and Chief Financial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January 28, 2015</w:t>
      </w:r>
      <w:r>
        <w:rPr>
          <w:sz w:val="20"/>
          <w:szCs w:val="20"/>
          <w:color w:val="auto"/>
        </w:rPr>
        <w:tab/>
      </w:r>
      <w:r>
        <w:rPr>
          <w:rFonts w:ascii="Arial" w:cs="Arial" w:eastAsia="Arial" w:hAnsi="Arial"/>
          <w:sz w:val="17"/>
          <w:szCs w:val="17"/>
          <w:color w:val="auto"/>
        </w:rPr>
        <w:t>By: /s/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5"/>
    </w:lvl>
  </w:abstractNum>
  <w:abstractNum w:abstractNumId="5">
    <w:nsid w:val="79838CB2"/>
    <w:multiLevelType w:val="hybridMultilevel"/>
    <w:lvl w:ilvl="0">
      <w:lvlJc w:val="left"/>
      <w:lvlText w:val="%1."/>
      <w:numFmt w:val="decimal"/>
      <w:start w:val="10"/>
    </w:lvl>
  </w:abstractNum>
  <w:abstractNum w:abstractNumId="6">
    <w:nsid w:val="4353D0CD"/>
    <w:multiLevelType w:val="hybridMultilevel"/>
    <w:lvl w:ilvl="0">
      <w:lvlJc w:val="left"/>
      <w:lvlText w:val="%1."/>
      <w:numFmt w:val="decimal"/>
      <w:start w:val="12"/>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6"/>
    </w:lvl>
  </w:abstractNum>
  <w:abstractNum w:abstractNumId="13">
    <w:nsid w:val="2901D82"/>
    <w:multiLevelType w:val="hybridMultilevel"/>
    <w:lvl w:ilvl="0">
      <w:lvlJc w:val="left"/>
      <w:lvlText w:val="(%1)"/>
      <w:numFmt w:val="lowerRoman"/>
      <w:start w:val="1"/>
    </w:lvl>
    <w:lvl w:ilvl="1">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lowerLetter"/>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0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5"/>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decimal"/>
      <w:start w:val="5"/>
    </w:lvl>
  </w:abstractNum>
  <w:abstractNum w:abstractNumId="41">
    <w:nsid w:val="2A487CB0"/>
    <w:multiLevelType w:val="hybridMultilevel"/>
    <w:lvl w:ilvl="0">
      <w:lvlJc w:val="left"/>
      <w:lvlText w:val="(%1)"/>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2019-12-29T19:01:46Z</dcterms:created>
  <dcterms:modified xsi:type="dcterms:W3CDTF">2019-12-29T19:01:46Z</dcterms:modified>
</cp:coreProperties>
</file>