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680720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-220345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1"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March 31, 2016</w:t>
      </w:r>
    </w:p>
    <w:p>
      <w:pPr>
        <w:spacing w:after="0" w:line="12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1934</w:t>
      </w:r>
    </w:p>
    <w:p>
      <w:pPr>
        <w:ind w:left="39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001-34972</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Booz Allen Hamilton Holding Corporation</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5080" w:type="dxa"/>
            <w:vAlign w:val="bottom"/>
            <w:gridSpan w:val="2"/>
          </w:tcPr>
          <w:p>
            <w:pPr>
              <w:jc w:val="center"/>
              <w:ind w:right="38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00" w:type="dxa"/>
            <w:vAlign w:val="bottom"/>
          </w:tcPr>
          <w:p>
            <w:pPr>
              <w:jc w:val="right"/>
              <w:ind w:right="897"/>
              <w:spacing w:after="0"/>
              <w:rPr>
                <w:sz w:val="20"/>
                <w:szCs w:val="20"/>
                <w:color w:val="auto"/>
              </w:rPr>
            </w:pPr>
            <w:r>
              <w:rPr>
                <w:rFonts w:ascii="Times New Roman" w:cs="Times New Roman" w:eastAsia="Times New Roman" w:hAnsi="Times New Roman"/>
                <w:sz w:val="18"/>
                <w:szCs w:val="18"/>
                <w:b w:val="1"/>
                <w:bCs w:val="1"/>
                <w:color w:val="auto"/>
              </w:rPr>
              <w:t>26-2634160</w:t>
            </w:r>
          </w:p>
        </w:tc>
        <w:tc>
          <w:tcPr>
            <w:tcW w:w="0" w:type="dxa"/>
            <w:vAlign w:val="bottom"/>
          </w:tcPr>
          <w:p>
            <w:pPr>
              <w:spacing w:after="0"/>
              <w:rPr>
                <w:sz w:val="1"/>
                <w:szCs w:val="1"/>
                <w:color w:val="auto"/>
              </w:rPr>
            </w:pPr>
          </w:p>
        </w:tc>
      </w:tr>
      <w:tr>
        <w:trPr>
          <w:trHeight w:val="178"/>
        </w:trPr>
        <w:tc>
          <w:tcPr>
            <w:tcW w:w="7320" w:type="dxa"/>
            <w:vAlign w:val="bottom"/>
            <w:gridSpan w:val="3"/>
          </w:tcPr>
          <w:p>
            <w:pPr>
              <w:jc w:val="center"/>
              <w:ind w:right="164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0" w:type="dxa"/>
            <w:vAlign w:val="bottom"/>
          </w:tcPr>
          <w:p>
            <w:pPr>
              <w:spacing w:after="0"/>
              <w:rPr>
                <w:sz w:val="15"/>
                <w:szCs w:val="15"/>
                <w:color w:val="auto"/>
              </w:rPr>
            </w:pPr>
          </w:p>
        </w:tc>
        <w:tc>
          <w:tcPr>
            <w:tcW w:w="2420" w:type="dxa"/>
            <w:vAlign w:val="bottom"/>
            <w:gridSpan w:val="2"/>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7320" w:type="dxa"/>
            <w:vAlign w:val="bottom"/>
            <w:gridSpan w:val="3"/>
          </w:tcPr>
          <w:p>
            <w:pPr>
              <w:jc w:val="center"/>
              <w:ind w:right="16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0" w:type="dxa"/>
            <w:vAlign w:val="bottom"/>
          </w:tcPr>
          <w:p>
            <w:pPr>
              <w:spacing w:after="0"/>
              <w:rPr>
                <w:sz w:val="16"/>
                <w:szCs w:val="16"/>
                <w:color w:val="auto"/>
              </w:rPr>
            </w:pPr>
          </w:p>
        </w:tc>
        <w:tc>
          <w:tcPr>
            <w:tcW w:w="2420" w:type="dxa"/>
            <w:vAlign w:val="bottom"/>
            <w:gridSpan w:val="2"/>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75"/>
        </w:trPr>
        <w:tc>
          <w:tcPr>
            <w:tcW w:w="7320" w:type="dxa"/>
            <w:vAlign w:val="bottom"/>
            <w:gridSpan w:val="3"/>
          </w:tcPr>
          <w:p>
            <w:pPr>
              <w:jc w:val="center"/>
              <w:ind w:right="1641"/>
              <w:spacing w:after="0"/>
              <w:rPr>
                <w:sz w:val="20"/>
                <w:szCs w:val="20"/>
                <w:color w:val="auto"/>
              </w:rPr>
            </w:pPr>
            <w:r>
              <w:rPr>
                <w:rFonts w:ascii="Times New Roman" w:cs="Times New Roman" w:eastAsia="Times New Roman" w:hAnsi="Times New Roman"/>
                <w:sz w:val="18"/>
                <w:szCs w:val="18"/>
                <w:b w:val="1"/>
                <w:bCs w:val="1"/>
                <w:color w:val="auto"/>
                <w:w w:val="99"/>
              </w:rPr>
              <w:t>8283 Greensboro Drive, McLean, Virginia</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jc w:val="right"/>
              <w:ind w:right="1117"/>
              <w:spacing w:after="0"/>
              <w:rPr>
                <w:sz w:val="20"/>
                <w:szCs w:val="20"/>
                <w:color w:val="auto"/>
              </w:rPr>
            </w:pPr>
            <w:r>
              <w:rPr>
                <w:rFonts w:ascii="Times New Roman" w:cs="Times New Roman" w:eastAsia="Times New Roman" w:hAnsi="Times New Roman"/>
                <w:sz w:val="18"/>
                <w:szCs w:val="18"/>
                <w:b w:val="1"/>
                <w:bCs w:val="1"/>
                <w:color w:val="auto"/>
              </w:rPr>
              <w:t>22102</w:t>
            </w:r>
          </w:p>
        </w:tc>
        <w:tc>
          <w:tcPr>
            <w:tcW w:w="0" w:type="dxa"/>
            <w:vAlign w:val="bottom"/>
          </w:tcPr>
          <w:p>
            <w:pPr>
              <w:spacing w:after="0"/>
              <w:rPr>
                <w:sz w:val="1"/>
                <w:szCs w:val="1"/>
                <w:color w:val="auto"/>
              </w:rPr>
            </w:pPr>
          </w:p>
        </w:tc>
      </w:tr>
      <w:tr>
        <w:trPr>
          <w:trHeight w:val="220"/>
        </w:trPr>
        <w:tc>
          <w:tcPr>
            <w:tcW w:w="7320" w:type="dxa"/>
            <w:vAlign w:val="bottom"/>
            <w:gridSpan w:val="3"/>
          </w:tcPr>
          <w:p>
            <w:pPr>
              <w:jc w:val="center"/>
              <w:ind w:right="16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00" w:type="dxa"/>
            <w:vAlign w:val="bottom"/>
          </w:tcPr>
          <w:p>
            <w:pPr>
              <w:jc w:val="center"/>
              <w:ind w:right="857"/>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5"/>
        </w:trPr>
        <w:tc>
          <w:tcPr>
            <w:tcW w:w="7320" w:type="dxa"/>
            <w:vAlign w:val="bottom"/>
            <w:gridSpan w:val="3"/>
          </w:tcPr>
          <w:p>
            <w:pPr>
              <w:jc w:val="right"/>
              <w:ind w:right="961"/>
              <w:spacing w:after="0"/>
              <w:rPr>
                <w:sz w:val="20"/>
                <w:szCs w:val="20"/>
                <w:color w:val="auto"/>
              </w:rPr>
            </w:pPr>
            <w:r>
              <w:rPr>
                <w:rFonts w:ascii="Times New Roman" w:cs="Times New Roman" w:eastAsia="Times New Roman" w:hAnsi="Times New Roman"/>
                <w:sz w:val="18"/>
                <w:szCs w:val="18"/>
                <w:b w:val="1"/>
                <w:bCs w:val="1"/>
                <w:color w:val="auto"/>
              </w:rPr>
              <w:t>(703) 902-5000</w:t>
            </w: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20" w:type="dxa"/>
            <w:vAlign w:val="bottom"/>
          </w:tcPr>
          <w:p>
            <w:pPr>
              <w:jc w:val="center"/>
              <w:ind w:left="64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20" w:type="dxa"/>
            <w:vAlign w:val="bottom"/>
            <w:gridSpan w:val="2"/>
          </w:tcPr>
          <w:p>
            <w:pPr>
              <w:jc w:val="center"/>
              <w:ind w:left="24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920" w:type="dxa"/>
            <w:vAlign w:val="bottom"/>
          </w:tcPr>
          <w:p>
            <w:pPr>
              <w:spacing w:after="0"/>
              <w:rPr>
                <w:sz w:val="24"/>
                <w:szCs w:val="2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64"/>
        </w:trPr>
        <w:tc>
          <w:tcPr>
            <w:tcW w:w="7320" w:type="dxa"/>
            <w:vAlign w:val="bottom"/>
            <w:gridSpan w:val="3"/>
          </w:tcPr>
          <w:p>
            <w:pPr>
              <w:jc w:val="center"/>
              <w:ind w:right="1601"/>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400" w:type="dxa"/>
            <w:vAlign w:val="bottom"/>
          </w:tcPr>
          <w:p>
            <w:pPr>
              <w:spacing w:after="0"/>
              <w:rPr>
                <w:sz w:val="22"/>
                <w:szCs w:val="22"/>
                <w:color w:val="auto"/>
              </w:rPr>
            </w:pPr>
          </w:p>
        </w:tc>
        <w:tc>
          <w:tcPr>
            <w:tcW w:w="2420" w:type="dxa"/>
            <w:vAlign w:val="bottom"/>
            <w:gridSpan w:val="2"/>
          </w:tcPr>
          <w:p>
            <w:pPr>
              <w:jc w:val="center"/>
              <w:ind w:right="317"/>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320" w:type="dxa"/>
            <w:vAlign w:val="bottom"/>
            <w:gridSpan w:val="2"/>
          </w:tcPr>
          <w:p>
            <w:pPr>
              <w:jc w:val="center"/>
              <w:ind w:left="24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20" w:type="dxa"/>
            <w:vAlign w:val="bottom"/>
          </w:tcPr>
          <w:p>
            <w:pPr>
              <w:jc w:val="center"/>
              <w:ind w:left="641"/>
              <w:spacing w:after="0"/>
              <w:rPr>
                <w:sz w:val="20"/>
                <w:szCs w:val="20"/>
                <w:color w:val="auto"/>
              </w:rPr>
            </w:pPr>
            <w:r>
              <w:rPr>
                <w:rFonts w:ascii="Times New Roman" w:cs="Times New Roman" w:eastAsia="Times New Roman" w:hAnsi="Times New Roman"/>
                <w:sz w:val="16"/>
                <w:szCs w:val="16"/>
                <w:b w:val="1"/>
                <w:bCs w:val="1"/>
                <w:color w:val="auto"/>
              </w:rPr>
              <w:t>None.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3"/>
          </w:tcPr>
          <w:p>
            <w:pPr>
              <w:jc w:val="right"/>
              <w:ind w:right="801"/>
              <w:spacing w:after="0"/>
              <w:rPr>
                <w:sz w:val="20"/>
                <w:szCs w:val="20"/>
                <w:color w:val="auto"/>
              </w:rPr>
            </w:pPr>
            <w:r>
              <w:rPr>
                <w:rFonts w:ascii="Times New Roman" w:cs="Times New Roman" w:eastAsia="Times New Roman" w:hAnsi="Times New Roman"/>
                <w:sz w:val="16"/>
                <w:szCs w:val="16"/>
                <w:color w:val="auto"/>
              </w:rPr>
              <w:t>__________________</w:t>
            </w:r>
          </w:p>
        </w:tc>
        <w:tc>
          <w:tcPr>
            <w:tcW w:w="400" w:type="dxa"/>
            <w:vAlign w:val="bottom"/>
          </w:tcPr>
          <w:p>
            <w:pPr>
              <w:spacing w:after="0"/>
              <w:rPr>
                <w:sz w:val="16"/>
                <w:szCs w:val="16"/>
                <w:color w:val="auto"/>
              </w:rPr>
            </w:pPr>
          </w:p>
        </w:tc>
        <w:tc>
          <w:tcPr>
            <w:tcW w:w="520" w:type="dxa"/>
            <w:vAlign w:val="bottom"/>
            <w:vMerge w:val="restart"/>
          </w:tcPr>
          <w:p>
            <w:pPr>
              <w:ind w:left="60"/>
              <w:spacing w:after="0" w:line="184" w:lineRule="exact"/>
              <w:rPr>
                <w:sz w:val="20"/>
                <w:szCs w:val="20"/>
                <w:color w:val="auto"/>
              </w:rPr>
            </w:pPr>
            <w:r>
              <w:rPr>
                <w:rFonts w:ascii="Times New Roman" w:cs="Times New Roman" w:eastAsia="Times New Roman" w:hAnsi="Times New Roman"/>
                <w:sz w:val="16"/>
                <w:szCs w:val="16"/>
                <w:color w:val="auto"/>
                <w:w w:val="97"/>
              </w:rPr>
              <w:t xml:space="preserve">Yes </w:t>
            </w:r>
            <w:r>
              <w:rPr>
                <w:rFonts w:ascii="MS PGothic" w:cs="MS PGothic" w:eastAsia="MS PGothic" w:hAnsi="MS PGothic"/>
                <w:sz w:val="16"/>
                <w:szCs w:val="16"/>
                <w:color w:val="auto"/>
                <w:w w:val="97"/>
              </w:rPr>
              <w:t>☒</w:t>
            </w:r>
          </w:p>
        </w:tc>
        <w:tc>
          <w:tcPr>
            <w:tcW w:w="1900" w:type="dxa"/>
            <w:vAlign w:val="bottom"/>
            <w:vMerge w:val="restart"/>
          </w:tcPr>
          <w:p>
            <w:pPr>
              <w:jc w:val="center"/>
              <w:ind w:right="1077"/>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63"/>
        </w:trPr>
        <w:tc>
          <w:tcPr>
            <w:tcW w:w="7720" w:type="dxa"/>
            <w:vAlign w:val="bottom"/>
            <w:gridSpan w:val="4"/>
          </w:tcPr>
          <w:p>
            <w:pPr>
              <w:spacing w:after="0" w:line="163" w:lineRule="exact"/>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52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2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w:t>
            </w:r>
          </w:p>
        </w:tc>
        <w:tc>
          <w:tcPr>
            <w:tcW w:w="1900" w:type="dxa"/>
            <w:vAlign w:val="bottom"/>
          </w:tcPr>
          <w:p>
            <w:pPr>
              <w:jc w:val="center"/>
              <w:ind w:right="1097"/>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right="120"/>
        <w:spacing w:after="0" w:line="246"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15(d) of the Exchange Act from their obligations under those sections.</w:t>
      </w:r>
    </w:p>
    <w:p>
      <w:pPr>
        <w:spacing w:after="0" w:line="1" w:lineRule="exact"/>
        <w:rPr>
          <w:sz w:val="24"/>
          <w:szCs w:val="24"/>
          <w:color w:val="auto"/>
        </w:rPr>
      </w:pPr>
    </w:p>
    <w:p>
      <w:pPr>
        <w:ind w:right="14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100"/>
        <w:spacing w:after="0" w:line="246"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3"/>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p>
    <w:p>
      <w:pPr>
        <w:spacing w:after="0" w:line="25" w:lineRule="exact"/>
        <w:rPr>
          <w:sz w:val="24"/>
          <w:szCs w:val="24"/>
          <w:color w:val="auto"/>
        </w:rPr>
      </w:pPr>
    </w:p>
    <w:p>
      <w:pPr>
        <w:ind w:right="220"/>
        <w:spacing w:after="0" w:line="29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1078" w:right="279" w:bottom="1440" w:gutter="0" w:footer="0" w:header="0"/>
        </w:sectPr>
      </w:pPr>
    </w:p>
    <w:p>
      <w:pPr>
        <w:spacing w:after="0" w:line="11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7" w:lineRule="exact"/>
        <w:rPr>
          <w:sz w:val="24"/>
          <w:szCs w:val="24"/>
          <w:color w:val="auto"/>
        </w:rPr>
      </w:pPr>
    </w:p>
    <w:p>
      <w:pPr>
        <w:sectPr>
          <w:pgSz w:w="11900" w:h="16838" w:orient="portrait"/>
          <w:cols w:equalWidth="0" w:num="4">
            <w:col w:w="1620" w:space="720"/>
            <w:col w:w="4980" w:space="720"/>
            <w:col w:w="2220" w:space="720"/>
            <w:col w:w="400"/>
          </w:cols>
          <w:pgMar w:left="240" w:top="1078" w:right="27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620" w:space="720"/>
            <w:col w:w="140" w:space="80"/>
            <w:col w:w="4760" w:space="720"/>
            <w:col w:w="2220" w:space="720"/>
            <w:col w:w="400"/>
          </w:cols>
          <w:pgMar w:left="240" w:top="1078" w:right="27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sectPr>
          <w:pgSz w:w="11900" w:h="16838" w:orient="portrait"/>
          <w:cols w:equalWidth="0" w:num="5">
            <w:col w:w="7380" w:space="180"/>
            <w:col w:w="240" w:space="80"/>
            <w:col w:w="140" w:space="180"/>
            <w:col w:w="200" w:space="80"/>
            <w:col w:w="2900"/>
          </w:cols>
          <w:pgMar w:left="240" w:top="1078"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As of September 30, 2015, the market value of the voting and non-voting common equity held by non-affiliates based on the closing price as of that day was $2,657,825,391.</w:t>
      </w:r>
    </w:p>
    <w:p>
      <w:pPr>
        <w:sectPr>
          <w:pgSz w:w="11900" w:h="16838" w:orient="portrait"/>
          <w:cols w:equalWidth="0" w:num="1">
            <w:col w:w="11380"/>
          </w:cols>
          <w:pgMar w:left="240" w:top="1078" w:right="2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r>
        <w:rPr>
          <w:rFonts w:ascii="Times New Roman" w:cs="Times New Roman" w:eastAsia="Times New Roman" w:hAnsi="Times New Roman"/>
          <w:sz w:val="18"/>
          <w:szCs w:val="18"/>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51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Shares Outstanding</w:t>
            </w:r>
          </w:p>
        </w:tc>
      </w:tr>
      <w:tr>
        <w:trPr>
          <w:trHeight w:val="195"/>
        </w:trPr>
        <w:tc>
          <w:tcPr>
            <w:tcW w:w="6280" w:type="dxa"/>
            <w:vAlign w:val="bottom"/>
          </w:tcPr>
          <w:p>
            <w:pPr>
              <w:spacing w:after="0"/>
              <w:rPr>
                <w:sz w:val="16"/>
                <w:szCs w:val="16"/>
                <w:color w:val="auto"/>
              </w:rPr>
            </w:pPr>
          </w:p>
        </w:tc>
        <w:tc>
          <w:tcPr>
            <w:tcW w:w="51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as of May 16, 2016</w:t>
            </w:r>
          </w:p>
        </w:tc>
      </w:tr>
      <w:tr>
        <w:trPr>
          <w:trHeight w:val="255"/>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 A Common Stock</w:t>
            </w:r>
          </w:p>
        </w:tc>
        <w:tc>
          <w:tcPr>
            <w:tcW w:w="5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148,001,462</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B Non-Voting Common Stock</w:t>
            </w:r>
          </w:p>
        </w:tc>
        <w:tc>
          <w:tcPr>
            <w:tcW w:w="5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 C Restricted Common Stock</w:t>
            </w:r>
          </w:p>
        </w:tc>
        <w:tc>
          <w:tcPr>
            <w:tcW w:w="5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E Special Voting Common Stock</w:t>
            </w:r>
          </w:p>
        </w:tc>
        <w:tc>
          <w:tcPr>
            <w:tcW w:w="5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7058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-125095</wp:posOffset>
            </wp:positionV>
            <wp:extent cx="7058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Portions of the registrant’s Proxy Statement for its Annual Meeting of Stockholders scheduled for July 28, 2016 are incorporated by reference into Part III.</w:t>
      </w:r>
    </w:p>
    <w:p>
      <w:pPr>
        <w:sectPr>
          <w:pgSz w:w="11900" w:h="16838" w:orient="portrait"/>
          <w:cols w:equalWidth="0" w:num="1">
            <w:col w:w="11420"/>
          </w:cols>
          <w:pgMar w:left="240" w:top="109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0120" w:type="dxa"/>
            <w:vAlign w:val="bottom"/>
            <w:gridSpan w:val="2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INTRODUCTORY NOTE</w:t>
              </w:r>
            </w:hyperlink>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1</w:t>
              </w:r>
            </w:hyperlink>
          </w:p>
        </w:tc>
      </w:tr>
      <w:tr>
        <w:trPr>
          <w:trHeight w:val="372"/>
        </w:trPr>
        <w:tc>
          <w:tcPr>
            <w:tcW w:w="1560" w:type="dxa"/>
            <w:vAlign w:val="bottom"/>
            <w:tcBorders>
              <w:top w:val="single" w:sz="8" w:color="0000EE"/>
            </w:tcBorders>
            <w:gridSpan w:val="4"/>
          </w:tcPr>
          <w:p>
            <w:pPr>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PART I</w:t>
              </w:r>
            </w:hyperlink>
          </w:p>
        </w:tc>
        <w:tc>
          <w:tcPr>
            <w:tcW w:w="4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gridSpan w:val="3"/>
          </w:tcPr>
          <w:p>
            <w:pPr>
              <w:spacing w:after="0"/>
              <w:rPr>
                <w:sz w:val="24"/>
                <w:szCs w:val="24"/>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6">
              <w:r>
                <w:rPr>
                  <w:rFonts w:ascii="Times New Roman" w:cs="Times New Roman" w:eastAsia="Times New Roman" w:hAnsi="Times New Roman"/>
                  <w:sz w:val="18"/>
                  <w:szCs w:val="18"/>
                  <w:b w:val="1"/>
                  <w:bCs w:val="1"/>
                  <w:color w:val="0000EE"/>
                  <w:w w:val="88"/>
                </w:rPr>
                <w:t>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560" w:type="dxa"/>
            <w:vAlign w:val="bottom"/>
            <w:gridSpan w:val="18"/>
          </w:tcPr>
          <w:p>
            <w:pPr>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Business</w:t>
              </w:r>
            </w:hyperlink>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3</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4"/>
          </w:tcPr>
          <w:p>
            <w:pPr>
              <w:spacing w:after="0"/>
              <w:rPr>
                <w:rFonts w:ascii="Times New Roman" w:cs="Times New Roman" w:eastAsia="Times New Roman" w:hAnsi="Times New Roman"/>
                <w:sz w:val="18"/>
                <w:szCs w:val="18"/>
                <w:b w:val="1"/>
                <w:bCs w:val="1"/>
                <w:color w:val="0000EE"/>
                <w:w w:val="98"/>
              </w:rPr>
            </w:pPr>
            <w:hyperlink w:anchor="page18">
              <w:r>
                <w:rPr>
                  <w:rFonts w:ascii="Times New Roman" w:cs="Times New Roman" w:eastAsia="Times New Roman" w:hAnsi="Times New Roman"/>
                  <w:sz w:val="18"/>
                  <w:szCs w:val="18"/>
                  <w:b w:val="1"/>
                  <w:bCs w:val="1"/>
                  <w:color w:val="0000EE"/>
                  <w:w w:val="98"/>
                </w:rPr>
                <w:t>Risk Factors</w:t>
              </w:r>
            </w:hyperlink>
          </w:p>
        </w:tc>
        <w:tc>
          <w:tcPr>
            <w:tcW w:w="7580" w:type="dxa"/>
            <w:vAlign w:val="bottom"/>
            <w:gridSpan w:val="14"/>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18">
              <w:r>
                <w:rPr>
                  <w:rFonts w:ascii="Times New Roman" w:cs="Times New Roman" w:eastAsia="Times New Roman" w:hAnsi="Times New Roman"/>
                  <w:sz w:val="18"/>
                  <w:szCs w:val="18"/>
                  <w:b w:val="1"/>
                  <w:bCs w:val="1"/>
                  <w:color w:val="0000EE"/>
                </w:rPr>
                <w:t>15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2160" w:type="dxa"/>
            <w:vAlign w:val="bottom"/>
            <w:gridSpan w:val="8"/>
          </w:tcPr>
          <w:p>
            <w:pPr>
              <w:spacing w:after="0"/>
              <w:rPr>
                <w:rFonts w:ascii="Times New Roman" w:cs="Times New Roman" w:eastAsia="Times New Roman" w:hAnsi="Times New Roman"/>
                <w:sz w:val="18"/>
                <w:szCs w:val="18"/>
                <w:b w:val="1"/>
                <w:bCs w:val="1"/>
                <w:color w:val="0000EE"/>
                <w:w w:val="99"/>
              </w:rPr>
            </w:pPr>
            <w:hyperlink w:anchor="page37">
              <w:r>
                <w:rPr>
                  <w:rFonts w:ascii="Times New Roman" w:cs="Times New Roman" w:eastAsia="Times New Roman" w:hAnsi="Times New Roman"/>
                  <w:sz w:val="18"/>
                  <w:szCs w:val="18"/>
                  <w:b w:val="1"/>
                  <w:bCs w:val="1"/>
                  <w:color w:val="0000EE"/>
                  <w:w w:val="99"/>
                </w:rPr>
                <w:t>Unresolved Staff Comments</w:t>
              </w:r>
            </w:hyperlink>
          </w:p>
        </w:tc>
        <w:tc>
          <w:tcPr>
            <w:tcW w:w="6400" w:type="dxa"/>
            <w:vAlign w:val="bottom"/>
            <w:gridSpan w:val="10"/>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34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00" w:type="dxa"/>
            <w:vAlign w:val="bottom"/>
            <w:gridSpan w:val="3"/>
          </w:tcPr>
          <w:p>
            <w:pPr>
              <w:spacing w:after="0"/>
              <w:rPr>
                <w:rFonts w:ascii="Times New Roman" w:cs="Times New Roman" w:eastAsia="Times New Roman" w:hAnsi="Times New Roman"/>
                <w:sz w:val="18"/>
                <w:szCs w:val="18"/>
                <w:b w:val="1"/>
                <w:bCs w:val="1"/>
                <w:color w:val="0000EE"/>
                <w:w w:val="94"/>
              </w:rPr>
            </w:pPr>
            <w:hyperlink w:anchor="page37">
              <w:r>
                <w:rPr>
                  <w:rFonts w:ascii="Times New Roman" w:cs="Times New Roman" w:eastAsia="Times New Roman" w:hAnsi="Times New Roman"/>
                  <w:sz w:val="18"/>
                  <w:szCs w:val="18"/>
                  <w:b w:val="1"/>
                  <w:bCs w:val="1"/>
                  <w:color w:val="0000EE"/>
                  <w:w w:val="94"/>
                </w:rPr>
                <w:t>Properties</w:t>
              </w:r>
            </w:hyperlink>
          </w:p>
        </w:tc>
        <w:tc>
          <w:tcPr>
            <w:tcW w:w="1360" w:type="dxa"/>
            <w:vAlign w:val="bottom"/>
            <w:gridSpan w:val="5"/>
          </w:tcPr>
          <w:p>
            <w:pPr>
              <w:spacing w:after="0"/>
              <w:rPr>
                <w:sz w:val="24"/>
                <w:szCs w:val="24"/>
                <w:color w:val="auto"/>
              </w:rPr>
            </w:pPr>
          </w:p>
        </w:tc>
        <w:tc>
          <w:tcPr>
            <w:tcW w:w="6400" w:type="dxa"/>
            <w:vAlign w:val="bottom"/>
            <w:gridSpan w:val="10"/>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34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8560" w:type="dxa"/>
            <w:vAlign w:val="bottom"/>
            <w:gridSpan w:val="18"/>
          </w:tcPr>
          <w:p>
            <w:pPr>
              <w:spacing w:after="0"/>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Legal Proceedings</w:t>
              </w:r>
            </w:hyperlink>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34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820" w:type="dxa"/>
            <w:vAlign w:val="bottom"/>
            <w:gridSpan w:val="6"/>
          </w:tcPr>
          <w:p>
            <w:pPr>
              <w:spacing w:after="0"/>
              <w:rPr>
                <w:rFonts w:ascii="Times New Roman" w:cs="Times New Roman" w:eastAsia="Times New Roman" w:hAnsi="Times New Roman"/>
                <w:sz w:val="18"/>
                <w:szCs w:val="18"/>
                <w:b w:val="1"/>
                <w:bCs w:val="1"/>
                <w:color w:val="0000EE"/>
                <w:w w:val="96"/>
              </w:rPr>
            </w:pPr>
            <w:hyperlink w:anchor="page38">
              <w:r>
                <w:rPr>
                  <w:rFonts w:ascii="Times New Roman" w:cs="Times New Roman" w:eastAsia="Times New Roman" w:hAnsi="Times New Roman"/>
                  <w:sz w:val="18"/>
                  <w:szCs w:val="18"/>
                  <w:b w:val="1"/>
                  <w:bCs w:val="1"/>
                  <w:color w:val="0000EE"/>
                  <w:w w:val="96"/>
                </w:rPr>
                <w:t>Mine Safety Disclosures</w:t>
              </w:r>
            </w:hyperlink>
          </w:p>
        </w:tc>
        <w:tc>
          <w:tcPr>
            <w:tcW w:w="6740" w:type="dxa"/>
            <w:vAlign w:val="bottom"/>
            <w:gridSpan w:val="12"/>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660" w:type="dxa"/>
            <w:vAlign w:val="bottom"/>
            <w:gridSpan w:val="2"/>
          </w:tcPr>
          <w:p>
            <w:pPr>
              <w:spacing w:after="0"/>
              <w:rPr>
                <w:rFonts w:ascii="Times New Roman" w:cs="Times New Roman" w:eastAsia="Times New Roman" w:hAnsi="Times New Roman"/>
                <w:sz w:val="18"/>
                <w:szCs w:val="18"/>
                <w:b w:val="1"/>
                <w:bCs w:val="1"/>
                <w:color w:val="0000EE"/>
                <w:w w:val="94"/>
              </w:rPr>
            </w:pPr>
            <w:hyperlink w:anchor="page40">
              <w:r>
                <w:rPr>
                  <w:rFonts w:ascii="Times New Roman" w:cs="Times New Roman" w:eastAsia="Times New Roman" w:hAnsi="Times New Roman"/>
                  <w:sz w:val="18"/>
                  <w:szCs w:val="18"/>
                  <w:b w:val="1"/>
                  <w:bCs w:val="1"/>
                  <w:color w:val="0000EE"/>
                  <w:w w:val="94"/>
                </w:rPr>
                <w:t>PART II</w:t>
              </w:r>
            </w:hyperlink>
          </w:p>
        </w:tc>
        <w:tc>
          <w:tcPr>
            <w:tcW w:w="9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37</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8560" w:type="dxa"/>
            <w:vAlign w:val="bottom"/>
            <w:gridSpan w:val="18"/>
          </w:tcPr>
          <w:p>
            <w:pPr>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Market for Registrant's Common Equity, Related Stockholder Matters and Issuer Purchases of Equity</w:t>
              </w:r>
            </w:hyperlink>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37</w:t>
              </w:r>
            </w:hyperlink>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Securities</w:t>
              </w:r>
            </w:hyperlink>
          </w:p>
        </w:tc>
        <w:tc>
          <w:tcPr>
            <w:tcW w:w="7080" w:type="dxa"/>
            <w:vAlign w:val="bottom"/>
            <w:tcBorders>
              <w:top w:val="single" w:sz="8" w:color="0000EE"/>
            </w:tcBorders>
            <w:gridSpan w:val="14"/>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820" w:type="dxa"/>
            <w:vAlign w:val="bottom"/>
            <w:gridSpan w:val="6"/>
          </w:tcPr>
          <w:p>
            <w:pPr>
              <w:spacing w:after="0"/>
              <w:rPr>
                <w:rFonts w:ascii="Times New Roman" w:cs="Times New Roman" w:eastAsia="Times New Roman" w:hAnsi="Times New Roman"/>
                <w:sz w:val="18"/>
                <w:szCs w:val="18"/>
                <w:b w:val="1"/>
                <w:bCs w:val="1"/>
                <w:color w:val="0000EE"/>
                <w:w w:val="98"/>
              </w:rPr>
            </w:pPr>
            <w:hyperlink w:anchor="page42">
              <w:r>
                <w:rPr>
                  <w:rFonts w:ascii="Times New Roman" w:cs="Times New Roman" w:eastAsia="Times New Roman" w:hAnsi="Times New Roman"/>
                  <w:sz w:val="18"/>
                  <w:szCs w:val="18"/>
                  <w:b w:val="1"/>
                  <w:bCs w:val="1"/>
                  <w:color w:val="0000EE"/>
                  <w:w w:val="98"/>
                </w:rPr>
                <w:t>Selected Financial Data</w:t>
              </w:r>
            </w:hyperlink>
          </w:p>
        </w:tc>
        <w:tc>
          <w:tcPr>
            <w:tcW w:w="6740" w:type="dxa"/>
            <w:vAlign w:val="bottom"/>
            <w:gridSpan w:val="12"/>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42">
              <w:r>
                <w:rPr>
                  <w:rFonts w:ascii="Times New Roman" w:cs="Times New Roman" w:eastAsia="Times New Roman" w:hAnsi="Times New Roman"/>
                  <w:sz w:val="18"/>
                  <w:szCs w:val="18"/>
                  <w:b w:val="1"/>
                  <w:bCs w:val="1"/>
                  <w:color w:val="0000EE"/>
                </w:rPr>
                <w:t>39</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6840" w:type="dxa"/>
            <w:vAlign w:val="bottom"/>
            <w:gridSpan w:val="14"/>
          </w:tcPr>
          <w:p>
            <w:pPr>
              <w:spacing w:after="0"/>
              <w:rPr>
                <w:rFonts w:ascii="Times New Roman" w:cs="Times New Roman" w:eastAsia="Times New Roman" w:hAnsi="Times New Roman"/>
                <w:sz w:val="18"/>
                <w:szCs w:val="18"/>
                <w:b w:val="1"/>
                <w:bCs w:val="1"/>
                <w:color w:val="0000EE"/>
                <w:w w:val="99"/>
              </w:rPr>
            </w:pPr>
            <w:hyperlink w:anchor="page43">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43">
              <w:r>
                <w:rPr>
                  <w:rFonts w:ascii="Times New Roman" w:cs="Times New Roman" w:eastAsia="Times New Roman" w:hAnsi="Times New Roman"/>
                  <w:sz w:val="18"/>
                  <w:szCs w:val="18"/>
                  <w:b w:val="1"/>
                  <w:bCs w:val="1"/>
                  <w:color w:val="0000EE"/>
                </w:rPr>
                <w:t>40</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6840" w:type="dxa"/>
            <w:vAlign w:val="bottom"/>
            <w:gridSpan w:val="14"/>
          </w:tcPr>
          <w:p>
            <w:pPr>
              <w:spacing w:after="0"/>
              <w:rPr>
                <w:rFonts w:ascii="Times New Roman" w:cs="Times New Roman" w:eastAsia="Times New Roman" w:hAnsi="Times New Roman"/>
                <w:sz w:val="18"/>
                <w:szCs w:val="18"/>
                <w:b w:val="1"/>
                <w:bCs w:val="1"/>
                <w:color w:val="0000EE"/>
              </w:rPr>
            </w:pPr>
            <w:hyperlink w:anchor="page62">
              <w:r>
                <w:rPr>
                  <w:rFonts w:ascii="Times New Roman" w:cs="Times New Roman" w:eastAsia="Times New Roman" w:hAnsi="Times New Roman"/>
                  <w:sz w:val="18"/>
                  <w:szCs w:val="18"/>
                  <w:b w:val="1"/>
                  <w:bCs w:val="1"/>
                  <w:color w:val="0000EE"/>
                </w:rPr>
                <w:t>Quantitative and Qualitative Disclosures About Market Risk</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62">
              <w:r>
                <w:rPr>
                  <w:rFonts w:ascii="Times New Roman" w:cs="Times New Roman" w:eastAsia="Times New Roman" w:hAnsi="Times New Roman"/>
                  <w:sz w:val="18"/>
                  <w:szCs w:val="18"/>
                  <w:b w:val="1"/>
                  <w:bCs w:val="1"/>
                  <w:color w:val="0000EE"/>
                </w:rPr>
                <w:t>59</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3600" w:type="dxa"/>
            <w:vAlign w:val="bottom"/>
            <w:gridSpan w:val="10"/>
          </w:tcPr>
          <w:p>
            <w:pPr>
              <w:spacing w:after="0"/>
              <w:rPr>
                <w:rFonts w:ascii="Times New Roman" w:cs="Times New Roman" w:eastAsia="Times New Roman" w:hAnsi="Times New Roman"/>
                <w:sz w:val="18"/>
                <w:szCs w:val="18"/>
                <w:b w:val="1"/>
                <w:bCs w:val="1"/>
                <w:color w:val="0000EE"/>
                <w:w w:val="99"/>
              </w:rPr>
            </w:pPr>
            <w:hyperlink w:anchor="page63">
              <w:r>
                <w:rPr>
                  <w:rFonts w:ascii="Times New Roman" w:cs="Times New Roman" w:eastAsia="Times New Roman" w:hAnsi="Times New Roman"/>
                  <w:sz w:val="18"/>
                  <w:szCs w:val="18"/>
                  <w:b w:val="1"/>
                  <w:bCs w:val="1"/>
                  <w:color w:val="0000EE"/>
                  <w:w w:val="99"/>
                </w:rPr>
                <w:t>Financial Statements and Supplementary Data</w:t>
              </w:r>
            </w:hyperlink>
          </w:p>
        </w:tc>
        <w:tc>
          <w:tcPr>
            <w:tcW w:w="1060" w:type="dxa"/>
            <w:vAlign w:val="bottom"/>
            <w:gridSpan w:val="2"/>
          </w:tcPr>
          <w:p>
            <w:pPr>
              <w:spacing w:after="0"/>
              <w:rPr>
                <w:sz w:val="24"/>
                <w:szCs w:val="24"/>
                <w:color w:val="auto"/>
              </w:rPr>
            </w:pPr>
          </w:p>
        </w:tc>
        <w:tc>
          <w:tcPr>
            <w:tcW w:w="3900" w:type="dxa"/>
            <w:vAlign w:val="bottom"/>
            <w:gridSpan w:val="6"/>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63">
              <w:r>
                <w:rPr>
                  <w:rFonts w:ascii="Times New Roman" w:cs="Times New Roman" w:eastAsia="Times New Roman" w:hAnsi="Times New Roman"/>
                  <w:sz w:val="18"/>
                  <w:szCs w:val="18"/>
                  <w:b w:val="1"/>
                  <w:bCs w:val="1"/>
                  <w:color w:val="0000EE"/>
                </w:rPr>
                <w:t>F-1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8560" w:type="dxa"/>
            <w:vAlign w:val="bottom"/>
            <w:gridSpan w:val="18"/>
          </w:tcPr>
          <w:p>
            <w:pPr>
              <w:spacing w:after="0"/>
              <w:rPr>
                <w:rFonts w:ascii="Times New Roman" w:cs="Times New Roman" w:eastAsia="Times New Roman" w:hAnsi="Times New Roman"/>
                <w:sz w:val="18"/>
                <w:szCs w:val="18"/>
                <w:b w:val="1"/>
                <w:bCs w:val="1"/>
                <w:color w:val="0000EE"/>
              </w:rPr>
            </w:pPr>
            <w:hyperlink w:anchor="page98">
              <w:r>
                <w:rPr>
                  <w:rFonts w:ascii="Times New Roman" w:cs="Times New Roman" w:eastAsia="Times New Roman" w:hAnsi="Times New Roman"/>
                  <w:sz w:val="18"/>
                  <w:szCs w:val="18"/>
                  <w:b w:val="1"/>
                  <w:bCs w:val="1"/>
                  <w:color w:val="0000EE"/>
                </w:rPr>
                <w:t>Changes in and Disagreements With Accountants on Accounting and Financial Disclosure</w:t>
              </w:r>
            </w:hyperlink>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98">
              <w:r>
                <w:rPr>
                  <w:rFonts w:ascii="Times New Roman" w:cs="Times New Roman" w:eastAsia="Times New Roman" w:hAnsi="Times New Roman"/>
                  <w:sz w:val="18"/>
                  <w:szCs w:val="18"/>
                  <w:b w:val="1"/>
                  <w:bCs w:val="1"/>
                  <w:color w:val="0000EE"/>
                </w:rPr>
                <w:t>60</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1900" w:type="dxa"/>
            <w:vAlign w:val="bottom"/>
            <w:gridSpan w:val="7"/>
          </w:tcPr>
          <w:p>
            <w:pPr>
              <w:spacing w:after="0"/>
              <w:rPr>
                <w:rFonts w:ascii="Times New Roman" w:cs="Times New Roman" w:eastAsia="Times New Roman" w:hAnsi="Times New Roman"/>
                <w:sz w:val="18"/>
                <w:szCs w:val="18"/>
                <w:b w:val="1"/>
                <w:bCs w:val="1"/>
                <w:color w:val="0000EE"/>
                <w:w w:val="96"/>
              </w:rPr>
            </w:pPr>
            <w:hyperlink w:anchor="page98">
              <w:r>
                <w:rPr>
                  <w:rFonts w:ascii="Times New Roman" w:cs="Times New Roman" w:eastAsia="Times New Roman" w:hAnsi="Times New Roman"/>
                  <w:sz w:val="18"/>
                  <w:szCs w:val="18"/>
                  <w:b w:val="1"/>
                  <w:bCs w:val="1"/>
                  <w:color w:val="0000EE"/>
                  <w:w w:val="96"/>
                </w:rPr>
                <w:t>Controls and Procedures</w:t>
              </w:r>
            </w:hyperlink>
          </w:p>
        </w:tc>
        <w:tc>
          <w:tcPr>
            <w:tcW w:w="5000" w:type="dxa"/>
            <w:vAlign w:val="bottom"/>
            <w:gridSpan w:val="8"/>
          </w:tcPr>
          <w:p>
            <w:pPr>
              <w:spacing w:after="0"/>
              <w:rPr>
                <w:sz w:val="24"/>
                <w:szCs w:val="24"/>
                <w:color w:val="auto"/>
              </w:rPr>
            </w:pPr>
          </w:p>
        </w:tc>
        <w:tc>
          <w:tcPr>
            <w:tcW w:w="1660" w:type="dxa"/>
            <w:vAlign w:val="bottom"/>
            <w:gridSpan w:val="3"/>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98">
              <w:r>
                <w:rPr>
                  <w:rFonts w:ascii="Times New Roman" w:cs="Times New Roman" w:eastAsia="Times New Roman" w:hAnsi="Times New Roman"/>
                  <w:sz w:val="18"/>
                  <w:szCs w:val="18"/>
                  <w:b w:val="1"/>
                  <w:bCs w:val="1"/>
                  <w:color w:val="0000EE"/>
                </w:rPr>
                <w:t>60</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1900" w:type="dxa"/>
            <w:vAlign w:val="bottom"/>
            <w:gridSpan w:val="7"/>
          </w:tcPr>
          <w:p>
            <w:pPr>
              <w:spacing w:after="0"/>
              <w:rPr>
                <w:rFonts w:ascii="Times New Roman" w:cs="Times New Roman" w:eastAsia="Times New Roman" w:hAnsi="Times New Roman"/>
                <w:sz w:val="18"/>
                <w:szCs w:val="18"/>
                <w:b w:val="1"/>
                <w:bCs w:val="1"/>
                <w:color w:val="0000EE"/>
              </w:rPr>
            </w:pPr>
            <w:hyperlink w:anchor="page100">
              <w:r>
                <w:rPr>
                  <w:rFonts w:ascii="Times New Roman" w:cs="Times New Roman" w:eastAsia="Times New Roman" w:hAnsi="Times New Roman"/>
                  <w:sz w:val="18"/>
                  <w:szCs w:val="18"/>
                  <w:b w:val="1"/>
                  <w:bCs w:val="1"/>
                  <w:color w:val="0000EE"/>
                </w:rPr>
                <w:t>Other Information</w:t>
              </w:r>
            </w:hyperlink>
          </w:p>
        </w:tc>
        <w:tc>
          <w:tcPr>
            <w:tcW w:w="6660" w:type="dxa"/>
            <w:vAlign w:val="bottom"/>
            <w:gridSpan w:val="11"/>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100">
              <w:r>
                <w:rPr>
                  <w:rFonts w:ascii="Times New Roman" w:cs="Times New Roman" w:eastAsia="Times New Roman" w:hAnsi="Times New Roman"/>
                  <w:sz w:val="18"/>
                  <w:szCs w:val="18"/>
                  <w:b w:val="1"/>
                  <w:bCs w:val="1"/>
                  <w:color w:val="0000EE"/>
                </w:rPr>
                <w:t>62</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spacing w:after="0"/>
              <w:rPr>
                <w:rFonts w:ascii="Times New Roman" w:cs="Times New Roman" w:eastAsia="Times New Roman" w:hAnsi="Times New Roman"/>
                <w:sz w:val="18"/>
                <w:szCs w:val="18"/>
                <w:b w:val="1"/>
                <w:bCs w:val="1"/>
                <w:color w:val="0000EE"/>
              </w:rPr>
            </w:pPr>
            <w:hyperlink w:anchor="page100">
              <w:r>
                <w:rPr>
                  <w:rFonts w:ascii="Times New Roman" w:cs="Times New Roman" w:eastAsia="Times New Roman" w:hAnsi="Times New Roman"/>
                  <w:sz w:val="18"/>
                  <w:szCs w:val="18"/>
                  <w:b w:val="1"/>
                  <w:bCs w:val="1"/>
                  <w:color w:val="0000EE"/>
                </w:rPr>
                <w:t>PART III</w:t>
              </w:r>
            </w:hyperlink>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100">
              <w:r>
                <w:rPr>
                  <w:rFonts w:ascii="Times New Roman" w:cs="Times New Roman" w:eastAsia="Times New Roman" w:hAnsi="Times New Roman"/>
                  <w:sz w:val="18"/>
                  <w:szCs w:val="18"/>
                  <w:b w:val="1"/>
                  <w:bCs w:val="1"/>
                  <w:color w:val="0000EE"/>
                </w:rPr>
                <w:t>62</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4380" w:type="dxa"/>
            <w:vAlign w:val="bottom"/>
            <w:gridSpan w:val="11"/>
          </w:tcPr>
          <w:p>
            <w:pPr>
              <w:spacing w:after="0"/>
              <w:rPr>
                <w:rFonts w:ascii="Times New Roman" w:cs="Times New Roman" w:eastAsia="Times New Roman" w:hAnsi="Times New Roman"/>
                <w:sz w:val="18"/>
                <w:szCs w:val="18"/>
                <w:b w:val="1"/>
                <w:bCs w:val="1"/>
                <w:color w:val="0000EE"/>
                <w:w w:val="99"/>
              </w:rPr>
            </w:pPr>
            <w:hyperlink w:anchor="page100">
              <w:r>
                <w:rPr>
                  <w:rFonts w:ascii="Times New Roman" w:cs="Times New Roman" w:eastAsia="Times New Roman" w:hAnsi="Times New Roman"/>
                  <w:sz w:val="18"/>
                  <w:szCs w:val="18"/>
                  <w:b w:val="1"/>
                  <w:bCs w:val="1"/>
                  <w:color w:val="0000EE"/>
                  <w:w w:val="99"/>
                </w:rPr>
                <w:t>Directors, Executive Officers and Corporate Governance</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100">
              <w:r>
                <w:rPr>
                  <w:rFonts w:ascii="Times New Roman" w:cs="Times New Roman" w:eastAsia="Times New Roman" w:hAnsi="Times New Roman"/>
                  <w:sz w:val="18"/>
                  <w:szCs w:val="18"/>
                  <w:b w:val="1"/>
                  <w:bCs w:val="1"/>
                  <w:color w:val="0000EE"/>
                </w:rPr>
                <w:t>62</w:t>
              </w:r>
            </w:hyperlink>
          </w:p>
        </w:tc>
      </w:tr>
      <w:tr>
        <w:trPr>
          <w:trHeight w:val="20"/>
        </w:trPr>
        <w:tc>
          <w:tcPr>
            <w:tcW w:w="1560" w:type="dxa"/>
            <w:vAlign w:val="bottom"/>
            <w:gridSpan w:val="4"/>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4380" w:type="dxa"/>
            <w:vAlign w:val="bottom"/>
            <w:gridSpan w:val="11"/>
          </w:tcPr>
          <w:p>
            <w:pPr>
              <w:spacing w:after="0"/>
              <w:rPr>
                <w:rFonts w:ascii="Times New Roman" w:cs="Times New Roman" w:eastAsia="Times New Roman" w:hAnsi="Times New Roman"/>
                <w:sz w:val="18"/>
                <w:szCs w:val="18"/>
                <w:b w:val="1"/>
                <w:bCs w:val="1"/>
                <w:color w:val="0000EE"/>
              </w:rPr>
            </w:pPr>
            <w:hyperlink w:anchor="page100">
              <w:r>
                <w:rPr>
                  <w:rFonts w:ascii="Times New Roman" w:cs="Times New Roman" w:eastAsia="Times New Roman" w:hAnsi="Times New Roman"/>
                  <w:sz w:val="18"/>
                  <w:szCs w:val="18"/>
                  <w:b w:val="1"/>
                  <w:bCs w:val="1"/>
                  <w:color w:val="0000EE"/>
                </w:rPr>
                <w:t>Executive Compensation</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100">
              <w:r>
                <w:rPr>
                  <w:rFonts w:ascii="Times New Roman" w:cs="Times New Roman" w:eastAsia="Times New Roman" w:hAnsi="Times New Roman"/>
                  <w:sz w:val="18"/>
                  <w:szCs w:val="18"/>
                  <w:b w:val="1"/>
                  <w:bCs w:val="1"/>
                  <w:color w:val="0000EE"/>
                </w:rPr>
                <w:t>62</w:t>
              </w:r>
            </w:hyperlink>
          </w:p>
        </w:tc>
      </w:tr>
      <w:tr>
        <w:trPr>
          <w:trHeight w:val="20"/>
        </w:trPr>
        <w:tc>
          <w:tcPr>
            <w:tcW w:w="1560" w:type="dxa"/>
            <w:vAlign w:val="bottom"/>
            <w:gridSpan w:val="4"/>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8560" w:type="dxa"/>
            <w:vAlign w:val="bottom"/>
            <w:gridSpan w:val="18"/>
          </w:tcPr>
          <w:p>
            <w:pPr>
              <w:spacing w:after="0"/>
              <w:rPr>
                <w:rFonts w:ascii="Times New Roman" w:cs="Times New Roman" w:eastAsia="Times New Roman" w:hAnsi="Times New Roman"/>
                <w:sz w:val="18"/>
                <w:szCs w:val="18"/>
                <w:b w:val="1"/>
                <w:bCs w:val="1"/>
                <w:color w:val="0000EE"/>
              </w:rPr>
            </w:pPr>
            <w:hyperlink w:anchor="page100">
              <w:r>
                <w:rPr>
                  <w:rFonts w:ascii="Times New Roman" w:cs="Times New Roman" w:eastAsia="Times New Roman" w:hAnsi="Times New Roman"/>
                  <w:sz w:val="18"/>
                  <w:szCs w:val="18"/>
                  <w:b w:val="1"/>
                  <w:bCs w:val="1"/>
                  <w:color w:val="0000EE"/>
                </w:rPr>
                <w:t>Security Ownership of Certain Beneficial Owners and Management and Related Stockholder Matters</w:t>
              </w:r>
            </w:hyperlink>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100">
              <w:r>
                <w:rPr>
                  <w:rFonts w:ascii="Times New Roman" w:cs="Times New Roman" w:eastAsia="Times New Roman" w:hAnsi="Times New Roman"/>
                  <w:sz w:val="18"/>
                  <w:szCs w:val="18"/>
                  <w:b w:val="1"/>
                  <w:bCs w:val="1"/>
                  <w:color w:val="0000EE"/>
                </w:rPr>
                <w:t>62</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2820" w:type="dxa"/>
            <w:vAlign w:val="bottom"/>
            <w:tcBorders>
              <w:left w:val="single" w:sz="8" w:color="0000EE"/>
            </w:tcBorders>
            <w:gridSpan w:val="4"/>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7800" w:type="dxa"/>
            <w:vAlign w:val="bottom"/>
            <w:gridSpan w:val="16"/>
          </w:tcPr>
          <w:p>
            <w:pPr>
              <w:spacing w:after="0"/>
              <w:rPr>
                <w:rFonts w:ascii="Times New Roman" w:cs="Times New Roman" w:eastAsia="Times New Roman" w:hAnsi="Times New Roman"/>
                <w:sz w:val="18"/>
                <w:szCs w:val="18"/>
                <w:b w:val="1"/>
                <w:bCs w:val="1"/>
                <w:color w:val="0000EE"/>
              </w:rPr>
            </w:pPr>
            <w:hyperlink w:anchor="page101">
              <w:r>
                <w:rPr>
                  <w:rFonts w:ascii="Times New Roman" w:cs="Times New Roman" w:eastAsia="Times New Roman" w:hAnsi="Times New Roman"/>
                  <w:sz w:val="18"/>
                  <w:szCs w:val="18"/>
                  <w:b w:val="1"/>
                  <w:bCs w:val="1"/>
                  <w:color w:val="0000EE"/>
                </w:rPr>
                <w:t>Certain Relationships and Related Transactions, and Director Independence</w:t>
              </w:r>
            </w:hyperlink>
          </w:p>
        </w:tc>
        <w:tc>
          <w:tcPr>
            <w:tcW w:w="760" w:type="dxa"/>
            <w:vAlign w:val="bottom"/>
            <w:gridSpan w:val="2"/>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101">
              <w:r>
                <w:rPr>
                  <w:rFonts w:ascii="Times New Roman" w:cs="Times New Roman" w:eastAsia="Times New Roman" w:hAnsi="Times New Roman"/>
                  <w:sz w:val="18"/>
                  <w:szCs w:val="18"/>
                  <w:b w:val="1"/>
                  <w:bCs w:val="1"/>
                  <w:color w:val="0000EE"/>
                </w:rPr>
                <w:t>63</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2820" w:type="dxa"/>
            <w:vAlign w:val="bottom"/>
            <w:tcBorders>
              <w:left w:val="single" w:sz="8" w:color="0000EE"/>
            </w:tcBorders>
            <w:gridSpan w:val="4"/>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3040" w:type="dxa"/>
            <w:vAlign w:val="bottom"/>
            <w:gridSpan w:val="9"/>
          </w:tcPr>
          <w:p>
            <w:pPr>
              <w:spacing w:after="0"/>
              <w:rPr>
                <w:rFonts w:ascii="Times New Roman" w:cs="Times New Roman" w:eastAsia="Times New Roman" w:hAnsi="Times New Roman"/>
                <w:sz w:val="18"/>
                <w:szCs w:val="18"/>
                <w:b w:val="1"/>
                <w:bCs w:val="1"/>
                <w:color w:val="0000EE"/>
                <w:w w:val="98"/>
              </w:rPr>
            </w:pPr>
            <w:hyperlink w:anchor="page101">
              <w:r>
                <w:rPr>
                  <w:rFonts w:ascii="Times New Roman" w:cs="Times New Roman" w:eastAsia="Times New Roman" w:hAnsi="Times New Roman"/>
                  <w:sz w:val="18"/>
                  <w:szCs w:val="18"/>
                  <w:b w:val="1"/>
                  <w:bCs w:val="1"/>
                  <w:color w:val="0000EE"/>
                  <w:w w:val="98"/>
                </w:rPr>
                <w:t>Principal Accounting Fees and Services</w:t>
              </w:r>
            </w:hyperlink>
          </w:p>
        </w:tc>
        <w:tc>
          <w:tcPr>
            <w:tcW w:w="2820" w:type="dxa"/>
            <w:vAlign w:val="bottom"/>
            <w:gridSpan w:val="4"/>
          </w:tcPr>
          <w:p>
            <w:pPr>
              <w:spacing w:after="0"/>
              <w:rPr>
                <w:sz w:val="24"/>
                <w:szCs w:val="24"/>
                <w:color w:val="auto"/>
              </w:rPr>
            </w:pPr>
          </w:p>
        </w:tc>
        <w:tc>
          <w:tcPr>
            <w:tcW w:w="2700" w:type="dxa"/>
            <w:vAlign w:val="bottom"/>
            <w:gridSpan w:val="5"/>
          </w:tcPr>
          <w:p>
            <w:pPr>
              <w:spacing w:after="0"/>
              <w:rPr>
                <w:sz w:val="24"/>
                <w:szCs w:val="24"/>
                <w:color w:val="auto"/>
              </w:rPr>
            </w:pPr>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101">
              <w:r>
                <w:rPr>
                  <w:rFonts w:ascii="Times New Roman" w:cs="Times New Roman" w:eastAsia="Times New Roman" w:hAnsi="Times New Roman"/>
                  <w:sz w:val="18"/>
                  <w:szCs w:val="18"/>
                  <w:b w:val="1"/>
                  <w:bCs w:val="1"/>
                  <w:color w:val="0000EE"/>
                </w:rPr>
                <w:t>63</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8560" w:type="dxa"/>
            <w:vAlign w:val="bottom"/>
            <w:gridSpan w:val="18"/>
          </w:tcPr>
          <w:p>
            <w:pPr>
              <w:spacing w:after="0"/>
              <w:rPr>
                <w:rFonts w:ascii="Times New Roman" w:cs="Times New Roman" w:eastAsia="Times New Roman" w:hAnsi="Times New Roman"/>
                <w:sz w:val="18"/>
                <w:szCs w:val="18"/>
                <w:b w:val="1"/>
                <w:bCs w:val="1"/>
                <w:color w:val="0000EE"/>
              </w:rPr>
            </w:pPr>
            <w:hyperlink w:anchor="page101">
              <w:r>
                <w:rPr>
                  <w:rFonts w:ascii="Times New Roman" w:cs="Times New Roman" w:eastAsia="Times New Roman" w:hAnsi="Times New Roman"/>
                  <w:sz w:val="18"/>
                  <w:szCs w:val="18"/>
                  <w:b w:val="1"/>
                  <w:bCs w:val="1"/>
                  <w:color w:val="0000EE"/>
                </w:rPr>
                <w:t>Exhibits, Financial Statement Schedules</w:t>
              </w:r>
            </w:hyperlink>
          </w:p>
        </w:tc>
        <w:tc>
          <w:tcPr>
            <w:tcW w:w="940" w:type="dxa"/>
            <w:vAlign w:val="bottom"/>
            <w:gridSpan w:val="4"/>
          </w:tcPr>
          <w:p>
            <w:pPr>
              <w:jc w:val="right"/>
              <w:spacing w:after="0"/>
              <w:rPr>
                <w:rFonts w:ascii="Times New Roman" w:cs="Times New Roman" w:eastAsia="Times New Roman" w:hAnsi="Times New Roman"/>
                <w:sz w:val="18"/>
                <w:szCs w:val="18"/>
                <w:b w:val="1"/>
                <w:bCs w:val="1"/>
                <w:color w:val="0000EE"/>
              </w:rPr>
            </w:pPr>
            <w:hyperlink w:anchor="page101">
              <w:r>
                <w:rPr>
                  <w:rFonts w:ascii="Times New Roman" w:cs="Times New Roman" w:eastAsia="Times New Roman" w:hAnsi="Times New Roman"/>
                  <w:sz w:val="18"/>
                  <w:szCs w:val="18"/>
                  <w:b w:val="1"/>
                  <w:bCs w:val="1"/>
                  <w:color w:val="0000EE"/>
                </w:rPr>
                <w:t>63</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60"/>
          </w:cols>
          <w:pgMar w:left="280" w:top="927" w:right="5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7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i w:val="1"/>
          <w:iCs w:val="1"/>
          <w:color w:val="auto"/>
        </w:rPr>
        <w:t>Unless the context otherwise indicates or requires, as used in this Annual Report on Form 10-K for the fiscal year ended March 31, 2016 references to:</w:t>
      </w:r>
    </w:p>
    <w:p>
      <w:pPr>
        <w:spacing w:after="0" w:line="29" w:lineRule="exact"/>
        <w:rPr>
          <w:sz w:val="20"/>
          <w:szCs w:val="20"/>
          <w:color w:val="auto"/>
        </w:rPr>
      </w:pPr>
    </w:p>
    <w:p>
      <w:pPr>
        <w:ind w:firstLine="8"/>
        <w:spacing w:after="0" w:line="252" w:lineRule="auto"/>
        <w:tabs>
          <w:tab w:leader="none" w:pos="2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refers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2016. We have made rounding adjustments to reach some of the figures included in this Annual Report and, unless otherwise indicated, percentages presented in this Annual Report are approximate.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94"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70" w:lineRule="exact"/>
        <w:rPr>
          <w:sz w:val="20"/>
          <w:szCs w:val="20"/>
          <w:color w:val="auto"/>
        </w:rPr>
      </w:pPr>
    </w:p>
    <w:p>
      <w:pPr>
        <w:ind w:left="540" w:right="20" w:hanging="316"/>
        <w:spacing w:after="0" w:line="254"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the Bipartisan Budget Act of 2013 and the Bipartisan Budget Act of 2015),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w:t>
      </w:r>
    </w:p>
    <w:p>
      <w:pPr>
        <w:spacing w:after="0" w:line="3" w:lineRule="exact"/>
        <w:rPr>
          <w:rFonts w:ascii="Times New Roman" w:cs="Times New Roman" w:eastAsia="Times New Roman" w:hAnsi="Times New Roman"/>
          <w:sz w:val="18"/>
          <w:szCs w:val="18"/>
          <w:color w:val="auto"/>
        </w:rPr>
      </w:pPr>
    </w:p>
    <w:p>
      <w:pPr>
        <w:ind w:left="540" w:right="40" w:hanging="316"/>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funding of our contracts due to uncertainty relating to and a possible failure of Congressional efforts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w:t>
      </w:r>
    </w:p>
    <w:p>
      <w:pPr>
        <w:spacing w:after="0" w:line="1" w:lineRule="exact"/>
        <w:rPr>
          <w:rFonts w:ascii="Times New Roman" w:cs="Times New Roman" w:eastAsia="Times New Roman" w:hAnsi="Times New Roman"/>
          <w:sz w:val="18"/>
          <w:szCs w:val="18"/>
          <w:color w:val="auto"/>
        </w:rPr>
      </w:pPr>
    </w:p>
    <w:p>
      <w:pPr>
        <w:ind w:left="540" w:right="80" w:hanging="316"/>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w:t>
      </w:r>
    </w:p>
    <w:p>
      <w:pPr>
        <w:spacing w:after="0" w:line="1" w:lineRule="exact"/>
        <w:rPr>
          <w:rFonts w:ascii="Times New Roman" w:cs="Times New Roman" w:eastAsia="Times New Roman" w:hAnsi="Times New Roman"/>
          <w:sz w:val="18"/>
          <w:szCs w:val="18"/>
          <w:color w:val="auto"/>
        </w:rPr>
      </w:pPr>
    </w:p>
    <w:p>
      <w:pPr>
        <w:ind w:left="540" w:right="760" w:hanging="316"/>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that compromises our relationships with the U.S. government or damages our professional reputation, including negative publicity concerning government contractors in general or us in particular;</w:t>
      </w:r>
    </w:p>
    <w:p>
      <w:pPr>
        <w:ind w:left="540" w:right="460" w:hanging="316"/>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addressable markets and the amount of U.S. government spending on private contractors;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numerous laws and regulations;</w:t>
      </w:r>
    </w:p>
    <w:p>
      <w:pPr>
        <w:spacing w:after="0" w:line="9" w:lineRule="exact"/>
        <w:rPr>
          <w:rFonts w:ascii="Times New Roman" w:cs="Times New Roman" w:eastAsia="Times New Roman" w:hAnsi="Times New Roman"/>
          <w:sz w:val="18"/>
          <w:szCs w:val="18"/>
          <w:color w:val="auto"/>
        </w:rPr>
      </w:pPr>
    </w:p>
    <w:p>
      <w:pPr>
        <w:ind w:left="540" w:right="100" w:hanging="316"/>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the competitive bidding process and delays or losses of contract awards caused by competitors’ protests of major contract awards received by us;</w:t>
      </w:r>
    </w:p>
    <w:p>
      <w:pPr>
        <w:ind w:left="540" w:hanging="316"/>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General Services Administration Multiple Award schedule contracts, or GSA schedules, or our position as prime contractor on government-wide acquisition contract vehicles, or GWACs;</w:t>
      </w: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our contracts and our ability to accurately estimate or otherwise recover expenses, time, and resources for our contracts;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under certain of our contracts;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full value of and replenish our backlog and the timing of our receipt of revenue under contracts included in backlog;</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used in recognizing revenue;</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train, or retain employees with the requisite skills, experience, and security clearances;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hire, assimilate, and deploy enough employees to serve our clients under existing contracts;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timely and effectively utilize our employees;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employees to obtain and maintain necessary security clearances;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684" w:right="259" w:bottom="1440" w:gutter="0" w:footer="0" w:header="0"/>
        </w:sectPr>
      </w:pPr>
    </w:p>
    <w:bookmarkStart w:id="4" w:name="page5"/>
    <w:bookmarkEnd w:id="4"/>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members of senior management or failure to develop new leaders;</w:t>
      </w:r>
    </w:p>
    <w:p>
      <w:pPr>
        <w:spacing w:after="0" w:line="27" w:lineRule="exact"/>
        <w:rPr>
          <w:rFonts w:ascii="Times New Roman" w:cs="Times New Roman" w:eastAsia="Times New Roman" w:hAnsi="Times New Roman"/>
          <w:sz w:val="18"/>
          <w:szCs w:val="18"/>
          <w:color w:val="auto"/>
        </w:rPr>
      </w:pPr>
    </w:p>
    <w:p>
      <w:pPr>
        <w:ind w:left="540" w:right="500" w:hanging="316"/>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or other improper activities from our employees or subcontractors, including the improper use or release of our clients’ sensitive or classified information;</w:t>
      </w:r>
    </w:p>
    <w:p>
      <w:pPr>
        <w:ind w:left="540" w:right="20" w:hanging="316"/>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companies in our industry;</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strong relationships with other contractors;</w:t>
      </w:r>
    </w:p>
    <w:p>
      <w:pPr>
        <w:spacing w:after="0" w:line="9" w:lineRule="exact"/>
        <w:rPr>
          <w:rFonts w:ascii="Times New Roman" w:cs="Times New Roman" w:eastAsia="Times New Roman" w:hAnsi="Times New Roman"/>
          <w:sz w:val="18"/>
          <w:szCs w:val="18"/>
          <w:color w:val="auto"/>
        </w:rPr>
      </w:pPr>
    </w:p>
    <w:p>
      <w:pPr>
        <w:jc w:val="both"/>
        <w:ind w:left="540" w:right="80" w:hanging="316"/>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1" w:lineRule="exact"/>
        <w:rPr>
          <w:rFonts w:ascii="Times New Roman" w:cs="Times New Roman" w:eastAsia="Times New Roman" w:hAnsi="Times New Roman"/>
          <w:sz w:val="18"/>
          <w:szCs w:val="18"/>
          <w:color w:val="auto"/>
        </w:rPr>
      </w:pPr>
    </w:p>
    <w:p>
      <w:pPr>
        <w:ind w:left="540" w:hanging="316"/>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w:t>
      </w:r>
    </w:p>
    <w:p>
      <w:pPr>
        <w:spacing w:after="0" w:line="1" w:lineRule="exact"/>
        <w:rPr>
          <w:rFonts w:ascii="Times New Roman" w:cs="Times New Roman" w:eastAsia="Times New Roman" w:hAnsi="Times New Roman"/>
          <w:sz w:val="18"/>
          <w:szCs w:val="18"/>
          <w:color w:val="auto"/>
        </w:rPr>
      </w:pPr>
    </w:p>
    <w:p>
      <w:pPr>
        <w:ind w:left="540" w:right="80" w:hanging="316"/>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system or service failures and security breaches, including, but not limited to, those resulting from external cyber attacks on our network and internal systems;</w:t>
      </w:r>
    </w:p>
    <w:p>
      <w:pPr>
        <w:ind w:left="540" w:right="220" w:hanging="316"/>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to our operating structure, capabilities, or strategy intended to address client needs, grow our business or respond to market developments;</w:t>
      </w: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new relationships, clients, capabilities, and service offerings in our U.S. and international businesses;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special U.S. government laws and regulations relating to our international operations;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credit facilities which contain financial and operating covenants;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U.S. government of new laws, rules, and regulations, such as those relating to organizational conflicts of interest issues or limits;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completed and future acquisitions, including our ability to realize the expected benefits from such acquisitions;</w:t>
      </w:r>
    </w:p>
    <w:p>
      <w:pPr>
        <w:spacing w:after="0" w:line="9" w:lineRule="exact"/>
        <w:rPr>
          <w:rFonts w:ascii="Times New Roman" w:cs="Times New Roman" w:eastAsia="Times New Roman" w:hAnsi="Times New Roman"/>
          <w:sz w:val="18"/>
          <w:szCs w:val="18"/>
          <w:color w:val="auto"/>
        </w:rPr>
      </w:pPr>
    </w:p>
    <w:p>
      <w:pPr>
        <w:ind w:left="540" w:right="380" w:hanging="316"/>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utilize existing or future tax benefits, including those related to our stock-based compensation expense, for any reason, including a change in law;</w:t>
      </w:r>
    </w:p>
    <w:p>
      <w:pPr>
        <w:ind w:left="540" w:right="440" w:hanging="316"/>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U.S. government GSA schedules, blanket purchase agreements and indefinite delivery, indefinite quantity, or ID/IQ, contracts; and</w:t>
      </w: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“Item 1A. Risk Factors” and elsewhere in this Annual Report.</w:t>
      </w:r>
    </w:p>
    <w:p>
      <w:pPr>
        <w:spacing w:after="0" w:line="153"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688" w:right="2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Booz Allen Hamilton is a leading provider of management and technology, consulting, and engineering services to the U.S. and international governments, major corporations, and not-for-profit organizations. A steadfast organization in a constantly evolving market, we remain focused on the long term with investments in capabilities, markets, and talent to ensure our ability to provide clients with solutions to their ever changing challenges. Our people are problem solvers whose ideas are inspired by the missions of our clients and the communities in which we live and work. This is our heritage, and it is as true today as when the company was founded in 1914.</w:t>
      </w:r>
    </w:p>
    <w:p>
      <w:pPr>
        <w:spacing w:after="0" w:line="7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 collaborative culture is an integral part of our unique operating model, which encourages our people to bring a diversity of the best talents to every client engagement as we help solve their most challenging problems. Building on our legacy of innovative client service and guided by our comprehensive strategy - Vision 2020 - we are positioning for our next century by blending deep expertise in management consulting with advanced technical capabilities to deliver end-to-end solutions. By investing in markets, capabilities, and talent and building new business models, including ventures, partnerships, and product offerings, we believe we are creating sustainable quality growth for the company.</w:t>
      </w:r>
    </w:p>
    <w:p>
      <w:pPr>
        <w:spacing w:after="0" w:line="21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deliver value to our clients has always been, and continues to be, a product of the character and expertise of our people. Our talent base of approximately 22,600 employees deliver value and results to our clients by combining core consulting skills and domain expertise with functional expertise in areas such as engineering and science, systems delivery, cyber, and analytics, all fostered by a culture of innovation that extends to all reaches of the company.</w:t>
      </w:r>
    </w:p>
    <w:p>
      <w:pPr>
        <w:spacing w:after="0" w:line="72"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Through our dedication to our clients' missions, and a commitment to evolving our business to address client needs, we have longstanding and deep relationships with our clients -- some more than 75 years. We support critical missions for a diverse base of federal government clients, including nearly all of the U.S. government's cabinet-level departments, and federal contract vehicles, as well as increasingly for top-tier commercial and international clients. We support these clients by addressing complex and pressing challenges such as combating global terrorism, improving cyber capabilities, transforming the healthcare system, improving efficiency and managing change within the government. Our U.S. commercial clients are primarily in the financial services, healthcare and life sciences, energy, high-tech manufacturing, retail, and automotive industries. Our international clients are primarily in the Middle East, along with a new and growing presence in Southeast Asia.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Corporate Structure</w:t>
      </w:r>
    </w:p>
    <w:p>
      <w:pPr>
        <w:spacing w:after="0" w:line="121"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the fields of engineering and science, systems delivery, cyber, and analytics.</w:t>
      </w:r>
    </w:p>
    <w:p>
      <w:pPr>
        <w:spacing w:after="0" w:line="68"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We are organized and operate as a corporation. Our use of the term “partnership” reflects our collaborative culture, and our use of the term “partner” refers to our Chief Executive Officer and our Senior and Executive Vice Presidents. The use of the terms “partnership” and “partner” is not meant to create any implication that we operate our company as, or have any intention to create a legal entity that is, a partnership.</w:t>
      </w:r>
    </w:p>
    <w:p>
      <w:pPr>
        <w:spacing w:after="0" w:line="68"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Booz Allen Holding was incorporated in Delaware in May 2008 to serve as the top-level holding company for the consolidated Booz Allen Hamilton U.S. government consulting business. On July 31, 2008, Booz Allen Hamilton completed the separation of its U.S. government consulting business from its legacy commercial and international consulting business, the spin off of the commercial and international business, and the sale of 100% of its outstanding common stock to Booz Allen Holding, which was majority owned by The Carlyle Group and certain of its affiliated investment funds, or Carlyle. Our company is a corporation that is the successor to the U.S. government consulting business of Booz Allen Hamilton following the separation. The aforementioned transactions are referred to in this Annual Report as the acquisition.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8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Institution and Operating Model</w:t>
      </w:r>
    </w:p>
    <w:p>
      <w:pPr>
        <w:spacing w:after="0" w:line="175"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We operate as a single profit/loss center with a single bonus pool for Partners, Vice Presidents, Principals, and Senior Associates. Our operating model also encourages and enables continuous investment in the right markets, capabilities, and talent to position the company for further growth by anticipating what government and commercial clients will need next. Through our unique operating model, which is designed to encourage collaboration across the company, and our partnership-style culture, we bring a mix of the best talent to every client engagement. As a result, we are able to go to market as a whole firm rather than as a collection of individual competing business units or profit centers. This commitment to teamwork is deeply ingrained in our company and our partnership-style culture is critical to maintaining this feature of our operating model.</w:t>
      </w:r>
    </w:p>
    <w:p>
      <w:pPr>
        <w:spacing w:after="0" w:line="13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Across all markets, we address our clients’ complex and evolving needs by deploying teams of staff with a combination of deep mission understanding, market-leading functional capabilities, consulting talent, and true technical and engineering expertise. Our multifaceted client-facing teams, which are fundamental to our differentiated value proposition, better position us to create market-relevant growth strategies and plan for and meet current, future, and prospective market needs, and help us identify and deliver against diverse client needs in a more agile manner. Our significant win rates during fiscal year 2016 on new and re-competed contracts of 62% and 88%, respectively, demonstrate the strength of this approach.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w:t>
      </w:r>
    </w:p>
    <w:p>
      <w:pPr>
        <w:spacing w:after="0" w:line="121"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breadth and depth of our expertise begins with our people. Our approximately 22,600 highly educated individuals develop and deliver our functional and innovation service offerings. Our engineers, scientists, software developers, technologists, and consultants are problem-solvers who approach their clients, work, and communities with passion and purpose. Our people at a glance:</w:t>
      </w:r>
    </w:p>
    <w:p>
      <w:pPr>
        <w:spacing w:after="0" w:line="6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30% of the workforce are Veterans, including 48 senior leaders</w:t>
      </w:r>
    </w:p>
    <w:p>
      <w:pPr>
        <w:spacing w:after="0" w:line="11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85% of the workforce hold bachelor's degrees; approximately 40% hold masters degrees; and approximately 4% hold doctoral degrees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of the workforce hold security clearances</w:t>
      </w:r>
    </w:p>
    <w:p>
      <w:pPr>
        <w:spacing w:after="0" w:line="117"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Beyond their client work, our people are similarly passionate and purposeful in serving others. For more than a decade, Booz Allen has mentored young innovators through the nonprofit FIRST® LEGO® League Expo and was recently named a FIRST Strategic Partner, one of only 18 organizations to achieve such recognition.</w:t>
      </w:r>
    </w:p>
    <w:p>
      <w:pPr>
        <w:spacing w:after="0" w:line="68"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Building on our commitment to innovation, and to enhance Booz Allen’s ability to attract and retain top talent, we are reinvigorating Booz Allen’s century-old spirit of entrepreneurialism through engaging events, programs, and tools such as the Garage, the Combustion Chamber, and Ideas Festival, which allow Booz Allen staff to collaborate and contribute in innovative ways while tackling a common challenge or pitching new products and capabilities. During fiscal year 2016, our data science team co-sponsored with Kaggle the first-ever National Data Science Bowl. The competition attracted more than 1,000 teams and 15,000 submissions from across the world. And in the end, the winning algorithm was a major advance for both data science and marine research. Through these initiatives, we are generating active engagement with our people while enabling Booz Allen to attract a broader talent base to drive growth across the company.</w:t>
      </w:r>
    </w:p>
    <w:p>
      <w:pPr>
        <w:spacing w:after="0" w:line="8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importance that we place on our people continues to receive external recognition. Our people are ranked by Vault.com as #1 in public sector consulting, and the company was named as one of the World’s Most Admired Companies by Fortune. We have also been recognized in receipt of the Alliance for Workplace Excellence Award, the Military Times’ Best Employers for Vets, and Working Mother’s Best Companies Hall of Fame.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Service Offerings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functional service offerings, supported by skilled technical staff, drive our capabilities and capacity to meet market demand in coordination with our markets and accounts. They are charged with developing and moving talent in line with demand with the ultimate goal of driving growth across our business. Listed below are our functional service offerings and the supporting functional capabilities.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792" w:right="259" w:bottom="1440" w:gutter="0" w:footer="0" w:header="0"/>
        </w:sectPr>
      </w:pPr>
    </w:p>
    <w:bookmarkStart w:id="7" w:name="page8"/>
    <w:bookmarkEnd w:id="7"/>
    <w:p>
      <w:pPr>
        <w:ind w:left="88"/>
        <w:spacing w:after="0"/>
        <w:rPr>
          <w:sz w:val="20"/>
          <w:szCs w:val="20"/>
          <w:color w:val="auto"/>
        </w:rPr>
      </w:pPr>
      <w:r>
        <w:rPr>
          <w:rFonts w:ascii="Times New Roman" w:cs="Times New Roman" w:eastAsia="Times New Roman" w:hAnsi="Times New Roman"/>
          <w:sz w:val="18"/>
          <w:szCs w:val="18"/>
          <w:color w:val="auto"/>
        </w:rPr>
        <w:t>Our functional service offerings are:</w:t>
      </w:r>
    </w:p>
    <w:p>
      <w:pPr>
        <w:spacing w:after="0" w:line="167" w:lineRule="exact"/>
        <w:rPr>
          <w:sz w:val="20"/>
          <w:szCs w:val="20"/>
          <w:color w:val="auto"/>
        </w:rPr>
      </w:pPr>
    </w:p>
    <w:p>
      <w:pPr>
        <w:ind w:left="328" w:right="240" w:hanging="328"/>
        <w:spacing w:after="0" w:line="26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Systems Deliver</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brings together the technical and organizational change management skills necessary to successfully deliver mission-critical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 Through the combination of our technical expertise, our understanding of clients' mission needs based on longstanding relationships, and our consulting heritage, we are able to successfully deliver systems while preparing organizations for the change management challenges ahead. Component capabilities include:</w:t>
      </w:r>
    </w:p>
    <w:p>
      <w:pPr>
        <w:spacing w:after="0" w:line="124" w:lineRule="exact"/>
        <w:rPr>
          <w:rFonts w:ascii="Times New Roman" w:cs="Times New Roman" w:eastAsia="Times New Roman" w:hAnsi="Times New Roman"/>
          <w:sz w:val="18"/>
          <w:szCs w:val="18"/>
          <w:color w:val="auto"/>
        </w:rPr>
      </w:pPr>
    </w:p>
    <w:p>
      <w:pPr>
        <w:jc w:val="both"/>
        <w:ind w:left="968" w:right="240" w:hanging="320"/>
        <w:spacing w:after="0" w:line="267" w:lineRule="auto"/>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Cloud experts</w:t>
      </w:r>
      <w:r>
        <w:rPr>
          <w:rFonts w:ascii="Times New Roman" w:cs="Times New Roman" w:eastAsia="Times New Roman" w:hAnsi="Times New Roman"/>
          <w:sz w:val="18"/>
          <w:szCs w:val="18"/>
          <w:color w:val="auto"/>
        </w:rPr>
        <w:t xml:space="preserve"> help clients design cloud architecture solutions, select the data that is most applicable to storage in the cloud, develop analytical solutions to gain valuable insights from large data sets and then strategically use that knowledge to drive mission success, save money, and improve effectiveness.</w:t>
      </w:r>
    </w:p>
    <w:p>
      <w:pPr>
        <w:spacing w:after="0" w:line="119" w:lineRule="exact"/>
        <w:rPr>
          <w:rFonts w:ascii="Times New Roman" w:cs="Times New Roman" w:eastAsia="Times New Roman" w:hAnsi="Times New Roman"/>
          <w:sz w:val="18"/>
          <w:szCs w:val="18"/>
          <w:color w:val="auto"/>
        </w:rPr>
      </w:pPr>
    </w:p>
    <w:p>
      <w:pPr>
        <w:ind w:left="968" w:right="460" w:hanging="320"/>
        <w:spacing w:after="0" w:line="259" w:lineRule="auto"/>
        <w:tabs>
          <w:tab w:leader="none" w:pos="968" w:val="left"/>
        </w:tabs>
        <w:numPr>
          <w:ilvl w:val="1"/>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Software Developers and Systems Architects</w:t>
      </w:r>
      <w:r>
        <w:rPr>
          <w:rFonts w:ascii="Times New Roman" w:cs="Times New Roman" w:eastAsia="Times New Roman" w:hAnsi="Times New Roman"/>
          <w:sz w:val="18"/>
          <w:szCs w:val="18"/>
          <w:color w:val="auto"/>
        </w:rPr>
        <w:t xml:space="preserve"> provide development of small and large scale information technology applications, embedded systems, and mobile applications. We deliver expertise across an extensive list of programming languages applicable to traditional, cloud, mobile, and embedded applications. We rely on quality standards such as the variants of ISO 9000 and the Carnegie Mellon Maturity model (CMM) at various levels depending on the project. We employ traditional and agile development methods depending on the application.</w:t>
      </w:r>
    </w:p>
    <w:p>
      <w:pPr>
        <w:spacing w:after="0" w:line="123" w:lineRule="exact"/>
        <w:rPr>
          <w:rFonts w:ascii="Times New Roman" w:cs="Times New Roman" w:eastAsia="Times New Roman" w:hAnsi="Times New Roman"/>
          <w:sz w:val="18"/>
          <w:szCs w:val="18"/>
          <w:i w:val="1"/>
          <w:iCs w:val="1"/>
          <w:color w:val="auto"/>
        </w:rPr>
      </w:pPr>
    </w:p>
    <w:p>
      <w:pPr>
        <w:ind w:left="328" w:right="120" w:hanging="328"/>
        <w:spacing w:after="0" w:line="26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Engineering and Science </w:t>
      </w:r>
      <w:r>
        <w:rPr>
          <w:rFonts w:ascii="Times New Roman" w:cs="Times New Roman" w:eastAsia="Times New Roman" w:hAnsi="Times New Roman"/>
          <w:sz w:val="18"/>
          <w:szCs w:val="18"/>
          <w:color w:val="auto"/>
        </w:rPr>
        <w:t>delivers in-depth technical solutions to our clients' most challenging problems with core capabilities in Command,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Communications, Computers, Intelligence, Surveillance and Reconnaissance (C4ISR), which are supported by our Systems Engineering &amp; Integration and Sustainment Engineering functions. Our engineering capabilities include external industry standard certifications (e.g., ISO 90001 and AS9100). Component capabilities include:</w:t>
      </w:r>
    </w:p>
    <w:p>
      <w:pPr>
        <w:spacing w:after="0" w:line="124" w:lineRule="exact"/>
        <w:rPr>
          <w:rFonts w:ascii="Times New Roman" w:cs="Times New Roman" w:eastAsia="Times New Roman" w:hAnsi="Times New Roman"/>
          <w:sz w:val="18"/>
          <w:szCs w:val="18"/>
          <w:color w:val="auto"/>
        </w:rPr>
      </w:pPr>
    </w:p>
    <w:p>
      <w:pPr>
        <w:ind w:left="968" w:right="40" w:hanging="320"/>
        <w:spacing w:after="0" w:line="267" w:lineRule="auto"/>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Engineers</w:t>
      </w:r>
      <w:r>
        <w:rPr>
          <w:rFonts w:ascii="Times New Roman" w:cs="Times New Roman" w:eastAsia="Times New Roman" w:hAnsi="Times New Roman"/>
          <w:sz w:val="18"/>
          <w:szCs w:val="18"/>
          <w:color w:val="auto"/>
        </w:rPr>
        <w:t xml:space="preserve"> offer Rapid Prototyping, Reverse Engineering, Systems Engineering &amp; Integration, and Applied Engineering disciplines. We use design and manufacturing techniques to convert functional requirements into useable prototypes that can be deployed to test and confirm the requirements are met.</w:t>
      </w:r>
    </w:p>
    <w:p>
      <w:pPr>
        <w:spacing w:after="0" w:line="119" w:lineRule="exact"/>
        <w:rPr>
          <w:rFonts w:ascii="Times New Roman" w:cs="Times New Roman" w:eastAsia="Times New Roman" w:hAnsi="Times New Roman"/>
          <w:sz w:val="18"/>
          <w:szCs w:val="18"/>
          <w:color w:val="auto"/>
        </w:rPr>
      </w:pPr>
    </w:p>
    <w:p>
      <w:pPr>
        <w:ind w:left="968" w:right="280" w:hanging="320"/>
        <w:spacing w:after="0" w:line="267" w:lineRule="auto"/>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experts in </w:t>
      </w:r>
      <w:r>
        <w:rPr>
          <w:rFonts w:ascii="Times New Roman" w:cs="Times New Roman" w:eastAsia="Times New Roman" w:hAnsi="Times New Roman"/>
          <w:sz w:val="18"/>
          <w:szCs w:val="18"/>
          <w:i w:val="1"/>
          <w:iCs w:val="1"/>
          <w:color w:val="auto"/>
        </w:rPr>
        <w:t>Networks &amp; Information Technology Infrastructure (NITI)</w:t>
      </w:r>
      <w:r>
        <w:rPr>
          <w:rFonts w:ascii="Times New Roman" w:cs="Times New Roman" w:eastAsia="Times New Roman" w:hAnsi="Times New Roman"/>
          <w:sz w:val="18"/>
          <w:szCs w:val="18"/>
          <w:color w:val="auto"/>
        </w:rPr>
        <w:t xml:space="preserve"> provide solutions in the areas of enterprise operations, network services and communications, data center operations, and data storage. We apply our NITI expertise to physical, virtualized, cloud, and hybrid form factors networks.</w:t>
      </w:r>
    </w:p>
    <w:p>
      <w:pPr>
        <w:spacing w:after="0" w:line="119" w:lineRule="exact"/>
        <w:rPr>
          <w:rFonts w:ascii="Times New Roman" w:cs="Times New Roman" w:eastAsia="Times New Roman" w:hAnsi="Times New Roman"/>
          <w:sz w:val="18"/>
          <w:szCs w:val="18"/>
          <w:color w:val="auto"/>
        </w:rPr>
      </w:pPr>
    </w:p>
    <w:p>
      <w:pPr>
        <w:ind w:left="968" w:right="40" w:hanging="320"/>
        <w:spacing w:after="0" w:line="267" w:lineRule="auto"/>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Scientists</w:t>
      </w:r>
      <w:r>
        <w:rPr>
          <w:rFonts w:ascii="Times New Roman" w:cs="Times New Roman" w:eastAsia="Times New Roman" w:hAnsi="Times New Roman"/>
          <w:sz w:val="18"/>
          <w:szCs w:val="18"/>
          <w:color w:val="auto"/>
        </w:rPr>
        <w:t xml:space="preserve"> offer scientific research and the development and management of technology. We have a number of facilities and laboratories that are developing new methods of detection, designing and conducting research, and helping clients address mission challenges using a broad range of scientific disciplines.</w:t>
      </w:r>
    </w:p>
    <w:p>
      <w:pPr>
        <w:spacing w:after="0" w:line="117" w:lineRule="exact"/>
        <w:rPr>
          <w:rFonts w:ascii="Times New Roman" w:cs="Times New Roman" w:eastAsia="Times New Roman" w:hAnsi="Times New Roman"/>
          <w:sz w:val="18"/>
          <w:szCs w:val="18"/>
          <w:color w:val="auto"/>
        </w:rPr>
      </w:pPr>
    </w:p>
    <w:p>
      <w:pPr>
        <w:ind w:left="328" w:right="20" w:hanging="328"/>
        <w:spacing w:after="0" w:line="25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Cyber </w:t>
      </w:r>
      <w:r>
        <w:rPr>
          <w:rFonts w:ascii="Times New Roman" w:cs="Times New Roman" w:eastAsia="Times New Roman" w:hAnsi="Times New Roman"/>
          <w:sz w:val="18"/>
          <w:szCs w:val="18"/>
          <w:color w:val="auto"/>
        </w:rPr>
        <w:t>focuses on prevention, which includes abilities to secure platforms and enterprises against cyber-attacks, and detection, which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instrumentation of networks to provide lead indicators of penetrations. Our cyber capabilities are rooted in our decades of service to the U.S. federal intelligence community, and today affords us the opportunity to maintain deep technical expertise in network security. We help clients understand the business value of cyber risk management as well as prepare clients for future cyber security needs with a lens toward efficiency and effectiveness. Additionally, to continue to position us as a leader across the broad and growing range of areas requiring cyber-related services, we are focused on hiring new employees with related expertise and cross training existing employees through our Cyber University program. Component capabilities include:</w:t>
      </w:r>
    </w:p>
    <w:p>
      <w:pPr>
        <w:spacing w:after="0" w:line="131" w:lineRule="exact"/>
        <w:rPr>
          <w:rFonts w:ascii="Times New Roman" w:cs="Times New Roman" w:eastAsia="Times New Roman" w:hAnsi="Times New Roman"/>
          <w:sz w:val="18"/>
          <w:szCs w:val="18"/>
          <w:color w:val="auto"/>
        </w:rPr>
      </w:pPr>
    </w:p>
    <w:p>
      <w:pPr>
        <w:ind w:left="968" w:hanging="320"/>
        <w:spacing w:after="0" w:line="261" w:lineRule="auto"/>
        <w:tabs>
          <w:tab w:leader="none" w:pos="96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Cyber Security</w:t>
      </w:r>
      <w:r>
        <w:rPr>
          <w:rFonts w:ascii="Times New Roman" w:cs="Times New Roman" w:eastAsia="Times New Roman" w:hAnsi="Times New Roman"/>
          <w:sz w:val="18"/>
          <w:szCs w:val="18"/>
          <w:color w:val="auto"/>
        </w:rPr>
        <w:t xml:space="preserve"> capabilities are rooted in deep technical, analytic, and cyber mission experience and help clients anticipate threats to their networks and their data, ensure their cyber posture is consistent with established best practices, and respond to cyber events. We have a significant Cyber Security business based on our military and intelligence work with the federal government and we have invested in the development of capabilities needed to address the dynamic environment of cyber security.</w:t>
      </w:r>
    </w:p>
    <w:p>
      <w:pPr>
        <w:spacing w:after="0" w:line="124" w:lineRule="exact"/>
        <w:rPr>
          <w:rFonts w:ascii="Times New Roman" w:cs="Times New Roman" w:eastAsia="Times New Roman" w:hAnsi="Times New Roman"/>
          <w:sz w:val="18"/>
          <w:szCs w:val="18"/>
          <w:color w:val="auto"/>
        </w:rPr>
      </w:pPr>
    </w:p>
    <w:p>
      <w:pPr>
        <w:ind w:left="328" w:right="40" w:hanging="328"/>
        <w:spacing w:after="0" w:line="268"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Analytics </w:t>
      </w:r>
      <w:r>
        <w:rPr>
          <w:rFonts w:ascii="Times New Roman" w:cs="Times New Roman" w:eastAsia="Times New Roman" w:hAnsi="Times New Roman"/>
          <w:sz w:val="18"/>
          <w:szCs w:val="18"/>
          <w:color w:val="auto"/>
        </w:rPr>
        <w:t>focuses on delivering transformational solutions in the traditional areas of decision analytics (including Operations Research and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Estimation), intelligence analysis (including All Source analysis) and tradecraft, as well as new or emerging areas such as Data Science and Machine Intelligence. Component capabilities include:</w:t>
      </w: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8"/>
          </w:cols>
          <w:pgMar w:left="572" w:top="850" w:right="239" w:bottom="1440" w:gutter="0" w:footer="0" w:header="0"/>
        </w:sectPr>
      </w:pPr>
    </w:p>
    <w:bookmarkStart w:id="8" w:name="page9"/>
    <w:bookmarkEnd w:id="8"/>
    <w:p>
      <w:pPr>
        <w:ind w:left="1300" w:hanging="320"/>
        <w:spacing w:after="0" w:line="267"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Decision Analysts'</w:t>
      </w:r>
      <w:r>
        <w:rPr>
          <w:rFonts w:ascii="Times New Roman" w:cs="Times New Roman" w:eastAsia="Times New Roman" w:hAnsi="Times New Roman"/>
          <w:sz w:val="18"/>
          <w:szCs w:val="18"/>
          <w:color w:val="auto"/>
        </w:rPr>
        <w:t xml:space="preserve"> capabilities help clients make informed choices to maximize performance at an appropriate cost, while delivering on schedule and minimizing risks. We leverage a wide range of problem-solving techniques including simulation, mathematical optimization, queuing theory, and machine learning to improve decision making and efficiency.</w:t>
      </w:r>
    </w:p>
    <w:p>
      <w:pPr>
        <w:spacing w:after="0" w:line="119" w:lineRule="exact"/>
        <w:rPr>
          <w:rFonts w:ascii="Times New Roman" w:cs="Times New Roman" w:eastAsia="Times New Roman" w:hAnsi="Times New Roman"/>
          <w:sz w:val="18"/>
          <w:szCs w:val="18"/>
          <w:color w:val="auto"/>
        </w:rPr>
      </w:pPr>
    </w:p>
    <w:p>
      <w:pPr>
        <w:ind w:left="1300" w:right="240" w:hanging="320"/>
        <w:spacing w:after="0" w:line="267"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Data Scientists</w:t>
      </w:r>
      <w:r>
        <w:rPr>
          <w:rFonts w:ascii="Times New Roman" w:cs="Times New Roman" w:eastAsia="Times New Roman" w:hAnsi="Times New Roman"/>
          <w:sz w:val="18"/>
          <w:szCs w:val="18"/>
          <w:color w:val="auto"/>
        </w:rPr>
        <w:t xml:space="preserve"> apply advanced analytic techniques such as data mining, text mining, statistical analysis, and predictive modeling, to extract meaning from data. We also create analytic tools that support end users by providing access to data, analytic outputs, and visualizations.</w:t>
      </w:r>
    </w:p>
    <w:p>
      <w:pPr>
        <w:spacing w:after="0" w:line="117" w:lineRule="exact"/>
        <w:rPr>
          <w:rFonts w:ascii="Times New Roman" w:cs="Times New Roman" w:eastAsia="Times New Roman" w:hAnsi="Times New Roman"/>
          <w:sz w:val="18"/>
          <w:szCs w:val="18"/>
          <w:color w:val="auto"/>
        </w:rPr>
      </w:pPr>
    </w:p>
    <w:p>
      <w:pPr>
        <w:ind w:left="66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focuses on the talent and expertise needed to solve client problems and develop mission-oriented solutions for specific domains,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strategies, human capital, and operations through new and innovative approaches. We ensure clients achieve their intended results through a combination of our consulting heritage with our client mission understanding and our technical depth. Component capabilities include:</w:t>
      </w:r>
    </w:p>
    <w:p>
      <w:pPr>
        <w:spacing w:after="0" w:line="118" w:lineRule="exact"/>
        <w:rPr>
          <w:rFonts w:ascii="Times New Roman" w:cs="Times New Roman" w:eastAsia="Times New Roman" w:hAnsi="Times New Roman"/>
          <w:sz w:val="18"/>
          <w:szCs w:val="18"/>
          <w:color w:val="auto"/>
        </w:rPr>
      </w:pPr>
    </w:p>
    <w:p>
      <w:pPr>
        <w:ind w:left="1300" w:right="340" w:hanging="320"/>
        <w:spacing w:after="0" w:line="284"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Acquisition, Program Management, and Logistics</w:t>
      </w:r>
      <w:r>
        <w:rPr>
          <w:rFonts w:ascii="Times New Roman" w:cs="Times New Roman" w:eastAsia="Times New Roman" w:hAnsi="Times New Roman"/>
          <w:sz w:val="18"/>
          <w:szCs w:val="18"/>
          <w:color w:val="auto"/>
        </w:rPr>
        <w:t xml:space="preserve"> experts help clients imagine, implement, and deliver a wide range of operational programs including those related to acquisition and contracts, supplier, and budget management.</w:t>
      </w:r>
    </w:p>
    <w:p>
      <w:pPr>
        <w:spacing w:after="0" w:line="104" w:lineRule="exact"/>
        <w:rPr>
          <w:rFonts w:ascii="Times New Roman" w:cs="Times New Roman" w:eastAsia="Times New Roman" w:hAnsi="Times New Roman"/>
          <w:sz w:val="18"/>
          <w:szCs w:val="18"/>
          <w:color w:val="auto"/>
        </w:rPr>
      </w:pPr>
    </w:p>
    <w:p>
      <w:pPr>
        <w:ind w:left="1300" w:right="80" w:hanging="320"/>
        <w:spacing w:after="0" w:line="267"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Human Capital and Learning</w:t>
      </w:r>
      <w:r>
        <w:rPr>
          <w:rFonts w:ascii="Times New Roman" w:cs="Times New Roman" w:eastAsia="Times New Roman" w:hAnsi="Times New Roman"/>
          <w:sz w:val="18"/>
          <w:szCs w:val="18"/>
          <w:color w:val="auto"/>
        </w:rPr>
        <w:t xml:space="preserve"> experts offer a wide range of strategy and transformation expertise to help clients address workforce and leadership challenges in a resource constrained environment. We design, develop, and deliver instructional classroom and on-line learning programs for all levels within a client's organization.</w:t>
      </w:r>
    </w:p>
    <w:p>
      <w:pPr>
        <w:spacing w:after="0" w:line="119" w:lineRule="exact"/>
        <w:rPr>
          <w:rFonts w:ascii="Times New Roman" w:cs="Times New Roman" w:eastAsia="Times New Roman" w:hAnsi="Times New Roman"/>
          <w:sz w:val="18"/>
          <w:szCs w:val="18"/>
          <w:color w:val="auto"/>
        </w:rPr>
      </w:pPr>
    </w:p>
    <w:p>
      <w:pPr>
        <w:ind w:left="1300" w:right="900" w:hanging="320"/>
        <w:spacing w:after="0" w:line="284"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Management Consultants</w:t>
      </w:r>
      <w:r>
        <w:rPr>
          <w:rFonts w:ascii="Times New Roman" w:cs="Times New Roman" w:eastAsia="Times New Roman" w:hAnsi="Times New Roman"/>
          <w:sz w:val="18"/>
          <w:szCs w:val="18"/>
          <w:color w:val="auto"/>
        </w:rPr>
        <w:t xml:space="preserve"> build on e</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perience gained over our 100-year consulting history and include expertise in strategy development, organizational design, efficiency, transformation, and a range of other consulting offerings.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Innovation Service Offerings</w:t>
      </w:r>
    </w:p>
    <w:p>
      <w:pPr>
        <w:spacing w:after="0" w:line="17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Our Innovation Agenda is focused on developing transformative solutions that build lasting value for our clients. By building the company's presence and brand in the external innovation ecosystem, enabling a vibrant innovation culture, and bringing a solutions mindset to our market place and sales force, we are advancing and creating the infrastructure and mechanics for new and disruptive business models. We are creating value for the company, our clients, and our employees by advancing external partnerships and alliances. We are becoming an essential partner in regional innovation communities all over the country. We're physically co-locating, co-creating, mentoring, incubating, contributing, and investing with organizations in Boston, MA (the epicenter of the data science revolution); Austin, TX (the tech start-up oasis); Seattle, WA to San Diego, CA (the corridor of venture capitalists and digital powerhouses); and Charleston, SC (home to our growing systems delivery community). Our Innovation Service Offerings harness next-generation technologies being created in the academic, start-up, and big technology firms to imagine and incubate new offerings, new solutions, and growth for the company.</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innovation service offerings are:</w:t>
      </w:r>
    </w:p>
    <w:p>
      <w:pPr>
        <w:spacing w:after="0" w:line="167" w:lineRule="exact"/>
        <w:rPr>
          <w:sz w:val="20"/>
          <w:szCs w:val="20"/>
          <w:color w:val="auto"/>
        </w:rPr>
      </w:pPr>
    </w:p>
    <w:p>
      <w:pPr>
        <w:ind w:left="660" w:right="8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w:t>
      </w:r>
      <w:r>
        <w:rPr>
          <w:rFonts w:ascii="Times New Roman" w:cs="Times New Roman" w:eastAsia="Times New Roman" w:hAnsi="Times New Roman"/>
          <w:sz w:val="18"/>
          <w:szCs w:val="18"/>
          <w:color w:val="auto"/>
        </w:rPr>
        <w:t>transforms clients from closed, proprietary systems to open agile enterprises. We help clients modernize mission execution through the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integration and reuse of digital capabilities across the enterprise to achieve transformational change. Our digital services blend strategy, creative, technology, and analytics solutions to help clients overcome their digital challenges.</w:t>
      </w:r>
    </w:p>
    <w:p>
      <w:pPr>
        <w:spacing w:after="0" w:line="116"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Cyber Futures </w:t>
      </w:r>
      <w:r>
        <w:rPr>
          <w:rFonts w:ascii="Times New Roman" w:cs="Times New Roman" w:eastAsia="Times New Roman" w:hAnsi="Times New Roman"/>
          <w:sz w:val="18"/>
          <w:szCs w:val="18"/>
          <w:color w:val="auto"/>
        </w:rPr>
        <w:t>develops differentiated cyber solutions and disruptive business models to address emerging threats and vulnerabilities against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emerging expanding digital enterprise, Internet of Things landscape, and connected platforms. Our solutions are based on our world-class cyber tradecraft, big data analytics, advanced engineering, and technology along with strategic alliances across the broader industrial ecosystem.</w:t>
      </w:r>
    </w:p>
    <w:p>
      <w:pPr>
        <w:spacing w:after="0" w:line="116" w:lineRule="exact"/>
        <w:rPr>
          <w:rFonts w:ascii="Times New Roman" w:cs="Times New Roman" w:eastAsia="Times New Roman" w:hAnsi="Times New Roman"/>
          <w:sz w:val="18"/>
          <w:szCs w:val="18"/>
          <w:color w:val="auto"/>
        </w:rPr>
      </w:pPr>
    </w:p>
    <w:p>
      <w:pPr>
        <w:ind w:left="660" w:right="36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Next Generation Analytics </w:t>
      </w:r>
      <w:r>
        <w:rPr>
          <w:rFonts w:ascii="Times New Roman" w:cs="Times New Roman" w:eastAsia="Times New Roman" w:hAnsi="Times New Roman"/>
          <w:sz w:val="18"/>
          <w:szCs w:val="18"/>
          <w:color w:val="auto"/>
        </w:rPr>
        <w:t>offers cutting-edge analytics solutions across our entire client set. Using our large set of Data Science experts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we help clients use and think differently about their data to fundamentally transform the way they perform their missions and run their organizations. We are continuing to develop new capabilities in exciting areas such as quantum computing, machine intelligence, and computer vision, all of which have an opportunity to transform the way analysis is performed.</w:t>
      </w:r>
    </w:p>
    <w:p>
      <w:pPr>
        <w:spacing w:after="0" w:line="122" w:lineRule="exact"/>
        <w:rPr>
          <w:rFonts w:ascii="Times New Roman" w:cs="Times New Roman" w:eastAsia="Times New Roman" w:hAnsi="Times New Roman"/>
          <w:sz w:val="18"/>
          <w:szCs w:val="18"/>
          <w:color w:val="auto"/>
        </w:rPr>
      </w:pPr>
    </w:p>
    <w:p>
      <w:pPr>
        <w:ind w:left="660" w:right="14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Directed Energy </w:t>
      </w:r>
      <w:r>
        <w:rPr>
          <w:rFonts w:ascii="Times New Roman" w:cs="Times New Roman" w:eastAsia="Times New Roman" w:hAnsi="Times New Roman"/>
          <w:sz w:val="18"/>
          <w:szCs w:val="18"/>
          <w:color w:val="auto"/>
        </w:rPr>
        <w:t>technologies use high-energy lasers or high-powered microwaves to efficiently disrupt or damage targets with non-kinetic, speed-of-light engagement. Through our Directed Energy business, we can help clients either as a technology maturation agent, integrator, or solutions provider.</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848"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Long - Term Growth Strategy</w:t>
      </w:r>
    </w:p>
    <w:p>
      <w:pPr>
        <w:spacing w:after="0" w:line="17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Vision 2020 is a comprehensive strategy to transform Booz Allen and create sustainable quality growth for the company. Fiscal year 2016 was the third year of implementing the strategy, but its design reaches back to before the government market began to contract in 2011-2012. We anticipated the market downturn and set in place a strategy that would allow us to emerge in a strong position vis-à-vis our competitors. Under Vision 2020, we are:</w:t>
      </w:r>
    </w:p>
    <w:p>
      <w:pPr>
        <w:spacing w:after="0" w:line="122" w:lineRule="exact"/>
        <w:rPr>
          <w:sz w:val="20"/>
          <w:szCs w:val="20"/>
          <w:color w:val="auto"/>
        </w:rPr>
      </w:pPr>
    </w:p>
    <w:p>
      <w:pPr>
        <w:ind w:left="660" w:right="2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capacity to serve as an essential partner to clients through a combination of deep domain understanding, market-leading consulting expertise, and broader technical capabilities;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heavily in advanced technical capabilities, including engineering, systems delivery, cyber, and analytics;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an innovation agenda that has produced new solutions, new business partners and alliances, and a reinvigorated culture of innovation inside the company;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into the commercial and international markets;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distinctive business and people models to support growth.</w:t>
      </w:r>
    </w:p>
    <w:p>
      <w:pPr>
        <w:spacing w:after="0" w:line="171"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success of our strategy can be seen in recent contract wins, strong performance in the commercial and international markets, and Booz Allen’s return to revenue growth in fiscal year 2016. We have won highly technical, mission-critical work across our federal government business because we bring differentiated offerings that meet our clients’ toughest challenges. For example, we are helping to identify and mitigate global threats, protecting critical networks and infrastructure against cyber-attacks, creating systems to collect and distribute health records and insurance data, enhancing real-time battle information for warfighters, and ensuring the effective operation of the nation’s tax collection process. We have experienced growth in our U.S. commercial market and in the Middle East and North Africa (MENA) region, have established a new presence in Singapore, and have executed against our capability focused acquisition strategy, most recently via the acquisition of the software services unit of the Charleston, SC technology firm SPARC, LLC in November 2015 to enhance our agile software development capabilities.</w:t>
      </w:r>
    </w:p>
    <w:p>
      <w:pPr>
        <w:spacing w:after="0" w:line="13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As we enter fiscal year 2017, we are focused on further operationalizing our strategy by deploying our functional and innovation service offerings more broadly and deeply across our client base and building scale in well-defined growth areas.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12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Through our commitment to client success, we have fostered strong client relationships with a diverse client base of government, commercial, and international clients. We believe that the U.S. government is the world's largest consumer of management and technology consulting services. The U.S. government's budget for the fiscal year ended September 30, 2015 was close to $3.9 trillion, excluding authorizations from Overseas Contingency Operations and supplemental funding for the Department of Defense. Of this amount, approximately $1.1 trillion was for discretionary budget authority, including $623 billion for the Department of Defense and Intelligence Community and $563 billion for civil agencies. Based on data from the Federal Procurement Data System, approximately $438 billion of the U.S. government's fiscal year 2015 discretionary outlays were non-intelligence agency funding-related products and services procured from private contractors. We estimate that $112 billion of the spending directed towards private contractors in U.S. government fiscal year 2015 was for management, technology, and engineering services, with $63.3 billion spent by the Department of Defense and $49.4 billion spent by civil agencies. The agencies of the U.S. Intelligence Community that we serve represent an additional market. These numbers also exclude a large addressable market for our services and capabilities in the commercial and international markets where we have a modest but growing footprint.</w:t>
      </w:r>
    </w:p>
    <w:p>
      <w:pPr>
        <w:spacing w:after="0" w:line="78"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We have strong and longstanding relationships with a diverse group of clients at all levels of the U.S. government. During fiscal 2016, we derived 97% of our revenue from services under more than 5,100 contracts and task orders. The revenue was generated from contracts where the end client was an agency or department of the U.S. government, including contracts where Booz Allen performed in either a prime or subcontract position, and regardless of the geographic location in which the work was performed. The single largest entity that we served in fiscal 2016 was the U.S. Army, which represented approximately 15% of our revenue in that period. We derived 90% of our revenue in fiscal 2016 from engagements for which we acted as the prime contractor.</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792"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Long-Term Client Relationships</w:t>
      </w: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Relationship</w:t>
            </w:r>
          </w:p>
        </w:tc>
        <w:tc>
          <w:tcPr>
            <w:tcW w:w="0" w:type="dxa"/>
            <w:vAlign w:val="bottom"/>
          </w:tcPr>
          <w:p>
            <w:pPr>
              <w:spacing w:after="0"/>
              <w:rPr>
                <w:sz w:val="1"/>
                <w:szCs w:val="1"/>
                <w:color w:val="auto"/>
              </w:rPr>
            </w:pPr>
          </w:p>
        </w:tc>
      </w:tr>
      <w:tr>
        <w:trPr>
          <w:trHeight w:val="149"/>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Client (1)</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Length</w:t>
            </w:r>
          </w:p>
        </w:tc>
        <w:tc>
          <w:tcPr>
            <w:tcW w:w="0" w:type="dxa"/>
            <w:vAlign w:val="bottom"/>
          </w:tcPr>
          <w:p>
            <w:pPr>
              <w:spacing w:after="0"/>
              <w:rPr>
                <w:sz w:val="1"/>
                <w:szCs w:val="1"/>
                <w:color w:val="auto"/>
              </w:rPr>
            </w:pPr>
          </w:p>
        </w:tc>
      </w:tr>
      <w:tr>
        <w:trPr>
          <w:trHeight w:val="194"/>
        </w:trPr>
        <w:tc>
          <w:tcPr>
            <w:tcW w:w="6200" w:type="dxa"/>
            <w:vAlign w:val="bottom"/>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U.S. Navy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U.S. Army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U.S. Air Force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Department of Energy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National Security Agency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Department of Homeland Security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Department of Health and Human Services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Federal Bureau of Investigation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National Reconnaissance Office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 U.S. intelligence agency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 Service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 Includes predecessor organizations.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Defense Clients</w:t>
      </w:r>
    </w:p>
    <w:p>
      <w:pPr>
        <w:spacing w:after="0" w:line="121"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Our reputation and track record in serving the U.S. military and defense agencies spans more than 75 years, starting with the U.S. Navy in WWII, and over that time we have provided a broad range of capabilities to our defense clients. Revenue generated from defense clients was $2.6 billion, or approximately 48.3% of our revenue in fiscal 2016 as compared to $2.6 billion, or approximately 49.6% of our revenue in fiscal 2015. Our defense work spans a full spectrum of services and solutions, providing strategy and technology expertise in systems engineering; personnel and mission readiness; integration and interoperability; intelligence, surveillance, and reconnaissance; and cyber security, among others. Our key defense clients include the Army, Navy/Marine Corps, Air Force, and Joint Combatant Commands. Revenue generated from defense clients also includes foreign military sales to non U.S. government clients.</w:t>
      </w:r>
    </w:p>
    <w:p>
      <w:pPr>
        <w:spacing w:after="0" w:line="81"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Foreign military sales to non U.S. government clients has been realigned from global commercial revenue to defense revenue in fiscal 2016. Fiscal 2015 revenue for both global commercial and defense has been revised to reflect the new alignment.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Intelligence Clients</w:t>
      </w:r>
    </w:p>
    <w:p>
      <w:pPr>
        <w:spacing w:after="0" w:line="121" w:lineRule="exact"/>
        <w:rPr>
          <w:sz w:val="20"/>
          <w:szCs w:val="20"/>
          <w:color w:val="auto"/>
        </w:rPr>
      </w:pPr>
    </w:p>
    <w:p>
      <w:pPr>
        <w:jc w:val="both"/>
        <w:ind w:right="40" w:firstLine="486"/>
        <w:spacing w:after="0" w:line="272" w:lineRule="auto"/>
        <w:rPr>
          <w:sz w:val="20"/>
          <w:szCs w:val="20"/>
          <w:color w:val="auto"/>
        </w:rPr>
      </w:pPr>
      <w:r>
        <w:rPr>
          <w:rFonts w:ascii="Times New Roman" w:cs="Times New Roman" w:eastAsia="Times New Roman" w:hAnsi="Times New Roman"/>
          <w:sz w:val="17"/>
          <w:szCs w:val="17"/>
          <w:color w:val="auto"/>
        </w:rPr>
        <w:t>We have provided the government agencies and organizations that carry out national security and intelligence activities for the U.S. government with a wide range of services and capabilities for over 30 years. This critical business area requires specialized expertise and high-level security clearances. Revenue generated from intelligence clients was $1.3 billion, or approximately 23.4% of our revenue in fiscal 2016 as compared to $1.3 billion, or approximately</w:t>
      </w:r>
    </w:p>
    <w:p>
      <w:pPr>
        <w:spacing w:after="0" w:line="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24.9% of our revenue in fiscal 2015. Our intelligence work covers a wide range of areas including, among others: strategic planning and business operations; intelligence analysis and training; system delivery and engineering; integration and acquisition; organizational change and strategy; counterintelligence and human intelligence expertise; Intelligence Surveillance Reconnaissance planning and operations; and simulation and gaming based training. Our major intelligence clients include:</w:t>
      </w:r>
    </w:p>
    <w:p>
      <w:pPr>
        <w:spacing w:after="0" w:line="76" w:lineRule="exact"/>
        <w:rPr>
          <w:sz w:val="20"/>
          <w:szCs w:val="20"/>
          <w:color w:val="auto"/>
        </w:rPr>
      </w:pPr>
    </w:p>
    <w:p>
      <w:pPr>
        <w:ind w:left="640" w:hanging="321"/>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U.S. Intelligence Agencies, </w:t>
      </w:r>
      <w:r>
        <w:rPr>
          <w:rFonts w:ascii="Times New Roman" w:cs="Times New Roman" w:eastAsia="Times New Roman" w:hAnsi="Times New Roman"/>
          <w:sz w:val="17"/>
          <w:szCs w:val="17"/>
          <w:color w:val="auto"/>
        </w:rPr>
        <w:t>such as the National Security Agency, National Geospatial-Intelligence Agency, and National Reconnaissance Office; and</w:t>
      </w:r>
    </w:p>
    <w:p>
      <w:pPr>
        <w:spacing w:after="0" w:line="128" w:lineRule="exact"/>
        <w:rPr>
          <w:rFonts w:ascii="Times New Roman" w:cs="Times New Roman" w:eastAsia="Times New Roman" w:hAnsi="Times New Roman"/>
          <w:sz w:val="17"/>
          <w:szCs w:val="17"/>
          <w:color w:val="auto"/>
        </w:rPr>
      </w:pPr>
    </w:p>
    <w:p>
      <w:pPr>
        <w:ind w:left="640" w:right="100" w:hanging="321"/>
        <w:spacing w:after="0" w:line="28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Military Intelligence Agencies, </w:t>
      </w:r>
      <w:r>
        <w:rPr>
          <w:rFonts w:ascii="Times New Roman" w:cs="Times New Roman" w:eastAsia="Times New Roman" w:hAnsi="Times New Roman"/>
          <w:sz w:val="18"/>
          <w:szCs w:val="18"/>
          <w:color w:val="auto"/>
        </w:rPr>
        <w:t>such as the Defense Intelligence Agency, Service Intelligence Centers, and Intelligence Surveillance Reconnaissance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Civil Clients</w:t>
      </w:r>
    </w:p>
    <w:p>
      <w:pPr>
        <w:spacing w:after="0" w:line="121"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We provide support to the wide-ranging missions of our U.S. government civilian agency clients. Revenue generated from civilian clients in the U.S. government was $1.4 billion, or approximately 26.0% of our revenue in fiscal 2016 as compared to $1.2 billion, or approximately 23.6% of our revenue in fiscal 2015. Our civil work includes a full spectrum of capabilities, services, and solutions in engineering and science, systems delivery, cyber, and analytics across the breadth of civil agency offices. Our civil government clients include Health and Human Services, Veterans Affairs, Homeland Security, Treasury, Justice, Energy, Transportation, Labor, National Science Foundation, Agriculture, National Aeronautics and Space Administration (NASA), General Services Administration, Environmental Protection Agency,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92" w:right="239" w:bottom="1440" w:gutter="0" w:footer="0" w:header="0"/>
        </w:sectPr>
      </w:pPr>
    </w:p>
    <w:bookmarkStart w:id="11" w:name="page12"/>
    <w:bookmarkEnd w:id="11"/>
    <w:p>
      <w:pPr>
        <w:ind w:right="360"/>
        <w:spacing w:after="0" w:line="282" w:lineRule="auto"/>
        <w:rPr>
          <w:sz w:val="20"/>
          <w:szCs w:val="20"/>
          <w:color w:val="auto"/>
        </w:rPr>
      </w:pPr>
      <w:r>
        <w:rPr>
          <w:rFonts w:ascii="Times New Roman" w:cs="Times New Roman" w:eastAsia="Times New Roman" w:hAnsi="Times New Roman"/>
          <w:sz w:val="18"/>
          <w:szCs w:val="18"/>
          <w:color w:val="auto"/>
        </w:rPr>
        <w:t>Commerce, Interior, State, Office of Personnel Management, and work performed outside of the U.S. for the U.S. Agency for International Development (USAID).</w:t>
      </w:r>
    </w:p>
    <w:p>
      <w:pPr>
        <w:spacing w:after="0" w:line="5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Work performed outside of the U.S. for USAID has been realigned from global commercial to civil revenue in fiscal 2016. Fiscal 2015 revenue for both global commercial and civil has been revised to reflect the new alignment.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Commercial Clients</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revenue generated with commercial and international clients, which includes work for private sector clients inside and outside of the U.S. and foreign government entities, was $122.2 million, or approximately 2.3% of our revenue in fiscal 2016 as compared to $97.6 million, or approximately 1.8% of our revenue in fiscal 2015. Our global commercial work encompasses a broad range of areas including, among others, data analytics, regulatory compliance, IT infrastructure, cyber defense diagnostics, mission assurance and risk management, technology, strategy transformation, and program management. Our commercial and international clients include:</w:t>
      </w:r>
    </w:p>
    <w:p>
      <w:pPr>
        <w:spacing w:after="0" w:line="74" w:lineRule="exact"/>
        <w:rPr>
          <w:sz w:val="20"/>
          <w:szCs w:val="20"/>
          <w:color w:val="auto"/>
        </w:rPr>
      </w:pPr>
    </w:p>
    <w:p>
      <w:pPr>
        <w:ind w:left="660" w:right="380" w:hanging="328"/>
        <w:spacing w:after="0" w:line="28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 clients, </w:t>
      </w:r>
      <w:r>
        <w:rPr>
          <w:rFonts w:ascii="Times New Roman" w:cs="Times New Roman" w:eastAsia="Times New Roman" w:hAnsi="Times New Roman"/>
          <w:sz w:val="18"/>
          <w:szCs w:val="18"/>
          <w:color w:val="auto"/>
        </w:rPr>
        <w:t>such as large commercial and investment banks, utilities, oil and gas companies, major retailers, auto manufacturers,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 manufacturers, and healthcare providers.</w:t>
      </w:r>
    </w:p>
    <w:p>
      <w:pPr>
        <w:spacing w:after="0" w:line="50" w:lineRule="exact"/>
        <w:rPr>
          <w:rFonts w:ascii="Times New Roman" w:cs="Times New Roman" w:eastAsia="Times New Roman" w:hAnsi="Times New Roman"/>
          <w:sz w:val="18"/>
          <w:szCs w:val="18"/>
          <w:color w:val="auto"/>
        </w:rPr>
      </w:pPr>
    </w:p>
    <w:p>
      <w:pPr>
        <w:ind w:left="660" w:right="400" w:hanging="328"/>
        <w:spacing w:after="0" w:line="28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clients, </w:t>
      </w:r>
      <w:r>
        <w:rPr>
          <w:rFonts w:ascii="Times New Roman" w:cs="Times New Roman" w:eastAsia="Times New Roman" w:hAnsi="Times New Roman"/>
          <w:sz w:val="18"/>
          <w:szCs w:val="18"/>
          <w:color w:val="auto"/>
        </w:rPr>
        <w:t>such as non-U.S. governments and commercial entities in the Middle East North Africa (MENA) region, and select Asian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w:t>
      </w:r>
    </w:p>
    <w:p>
      <w:pPr>
        <w:spacing w:after="0" w:line="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Foreign military sales to non U.S. government clients and work performed outside of the U.S. for USAID have been realigned from global commercial revenue to defense revenue and civil revenue, respectively in fiscal 2016. Fiscal 2015 revenue for global commercial, defense, and civil have been revised to reflect the new alignment.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121"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Booz Allen's approach has long been to ensure that we have prime or subcontractor positions on a wide range of contracts that allow clients maximum opportunity to access our services. Our diverse contract base provides stability to our business. This diversity is seen in the fact that over 76% of our revenue for fiscal 2016 was derived from over 3,300 active task orders under indefinite delivery, indefinite quantity (ID/IQ) contract vehicles. Our top ID/IQ contract vehicle represented approximately 4.5% of our revenue in our fiscal year 2016. Our largest task order under an ID/IQ contract vehicle accounted for approximately 2.4% of our revenue in our fiscal year 2016. Our largest definite contract represented approximately 2.8% of our revenue in our fiscal year 2016.</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two predominant contracting methods by which the U.S. government procures services: definite contracts and indefinite contract vehicles.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is described below:</w:t>
      </w:r>
    </w:p>
    <w:p>
      <w:pPr>
        <w:spacing w:after="0" w:line="99" w:lineRule="exact"/>
        <w:rPr>
          <w:sz w:val="20"/>
          <w:szCs w:val="20"/>
          <w:color w:val="auto"/>
        </w:rPr>
      </w:pPr>
    </w:p>
    <w:p>
      <w:pPr>
        <w:ind w:left="640" w:right="20" w:hanging="321"/>
        <w:spacing w:after="0" w:line="25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the means by which it will procure those services or products. During the acquisition process, the agency may release a request for information to determine if qualified bidders exist, a draft request for a proposal to allow the industry to comment on the scope of work and acquisition strategy, and finally a formal request for a proposal. Following the evaluation of submitted proposals, the agency will award the contract to the winning bidder.</w:t>
      </w:r>
    </w:p>
    <w:p>
      <w:pPr>
        <w:spacing w:after="0" w:line="79" w:lineRule="exact"/>
        <w:rPr>
          <w:rFonts w:ascii="Times New Roman" w:cs="Times New Roman" w:eastAsia="Times New Roman" w:hAnsi="Times New Roman"/>
          <w:sz w:val="18"/>
          <w:szCs w:val="18"/>
          <w:color w:val="auto"/>
        </w:rPr>
      </w:pPr>
    </w:p>
    <w:p>
      <w:pPr>
        <w:ind w:left="640" w:right="40" w:hanging="321"/>
        <w:spacing w:after="0" w:line="255"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Indefinite contract vehicles provide for the issuance by the client of orders for services or products under the terms of the contract. Indefinite contracts are formally known as ID/IQ contracts and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796" w:right="279" w:bottom="1440" w:gutter="0" w:footer="0" w:header="0"/>
        </w:sectPr>
      </w:pPr>
    </w:p>
    <w:bookmarkStart w:id="12" w:name="page13"/>
    <w:bookmarkEnd w:id="12"/>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Listed below are our top definite contracts for fiscal 2016 and 2015 and revenue recognized under these contracts in fiscal 2016 and 2015. Classified contracts that cannot be named are noted generically in the table with consistent names in both fiscal years for comparability purposes.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4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8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64"/>
        </w:trPr>
        <w:tc>
          <w:tcPr>
            <w:tcW w:w="5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Classified Contract 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73"/>
              <w:spacing w:after="0" w:line="275" w:lineRule="exact"/>
              <w:rPr>
                <w:sz w:val="20"/>
                <w:szCs w:val="20"/>
                <w:color w:val="auto"/>
              </w:rPr>
            </w:pPr>
            <w:r>
              <w:rPr>
                <w:rFonts w:ascii="Times New Roman" w:cs="Times New Roman" w:eastAsia="Times New Roman" w:hAnsi="Times New Roman"/>
                <w:sz w:val="18"/>
                <w:szCs w:val="18"/>
                <w:color w:val="auto"/>
              </w:rPr>
              <w:t xml:space="preserve">12/31/2020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InnoVision Future Solutions Program</w:t>
            </w:r>
          </w:p>
        </w:tc>
        <w:tc>
          <w:tcPr>
            <w:tcW w:w="26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11/30/2017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Classified Contract B</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9/30/2017</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Classified Contract C</w:t>
            </w:r>
          </w:p>
        </w:tc>
        <w:tc>
          <w:tcPr>
            <w:tcW w:w="26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3/7/2023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Classified Contract D</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6/30/2018</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Classified Contract E</w:t>
            </w:r>
          </w:p>
        </w:tc>
        <w:tc>
          <w:tcPr>
            <w:tcW w:w="26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10/31/2018</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Classified Contract F</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11/30/2017</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Launch and Test Range System - Systems Engineering and Integration</w:t>
            </w:r>
          </w:p>
        </w:tc>
        <w:tc>
          <w:tcPr>
            <w:tcW w:w="26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4/30/2016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Integrated Personnel and Pay System - Army</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6/30/2016</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Classified Contract G</w:t>
            </w:r>
          </w:p>
        </w:tc>
        <w:tc>
          <w:tcPr>
            <w:tcW w:w="26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7/29/2017</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00" w:hanging="260"/>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is approaching its awarded value ceiling, which may result in a recompete of such contract prior to its expiration.</w:t>
      </w:r>
    </w:p>
    <w:p>
      <w:pPr>
        <w:spacing w:after="0" w:line="272" w:lineRule="exact"/>
        <w:rPr>
          <w:rFonts w:ascii="Times New Roman" w:cs="Times New Roman" w:eastAsia="Times New Roman" w:hAnsi="Times New Roman"/>
          <w:sz w:val="18"/>
          <w:szCs w:val="18"/>
          <w:color w:val="auto"/>
        </w:rPr>
      </w:pPr>
    </w:p>
    <w:p>
      <w:pPr>
        <w:ind w:left="8580" w:hanging="186"/>
        <w:spacing w:after="0"/>
        <w:tabs>
          <w:tab w:leader="none" w:pos="8580" w:val="left"/>
        </w:tabs>
        <w:numPr>
          <w:ilvl w:val="1"/>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of</w:t>
      </w:r>
    </w:p>
    <w:tbl>
      <w:tblPr>
        <w:tblLayout w:type="fixed"/>
        <w:tblInd w:w="0" w:type="dxa"/>
        <w:tblCellMar>
          <w:top w:w="0" w:type="dxa"/>
          <w:left w:w="0" w:type="dxa"/>
          <w:bottom w:w="0" w:type="dxa"/>
          <w:right w:w="0" w:type="dxa"/>
        </w:tblCellMar>
      </w:tblPr>
      <w:tr>
        <w:trPr>
          <w:trHeight w:val="136"/>
        </w:trPr>
        <w:tc>
          <w:tcPr>
            <w:tcW w:w="5660" w:type="dxa"/>
            <w:vAlign w:val="bottom"/>
          </w:tcPr>
          <w:p>
            <w:pPr>
              <w:spacing w:after="0"/>
              <w:rPr>
                <w:sz w:val="11"/>
                <w:szCs w:val="11"/>
                <w:color w:val="auto"/>
              </w:rPr>
            </w:pPr>
          </w:p>
        </w:tc>
        <w:tc>
          <w:tcPr>
            <w:tcW w:w="1320" w:type="dxa"/>
            <w:vAlign w:val="bottom"/>
          </w:tcPr>
          <w:p>
            <w:pPr>
              <w:jc w:val="center"/>
              <w:ind w:left="444"/>
              <w:spacing w:after="0" w:line="136" w:lineRule="exact"/>
              <w:rPr>
                <w:sz w:val="20"/>
                <w:szCs w:val="20"/>
                <w:color w:val="auto"/>
              </w:rPr>
            </w:pPr>
            <w:r>
              <w:rPr>
                <w:rFonts w:ascii="Times New Roman" w:cs="Times New Roman" w:eastAsia="Times New Roman" w:hAnsi="Times New Roman"/>
                <w:sz w:val="14"/>
                <w:szCs w:val="14"/>
                <w:b w:val="1"/>
                <w:bCs w:val="1"/>
                <w:color w:val="auto"/>
              </w:rPr>
              <w:t>Fiscal</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left="468"/>
              <w:spacing w:after="0" w:line="136" w:lineRule="exact"/>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right"/>
              <w:ind w:right="493"/>
              <w:spacing w:after="0" w:line="136" w:lineRule="exact"/>
              <w:rPr>
                <w:sz w:val="20"/>
                <w:szCs w:val="20"/>
                <w:color w:val="auto"/>
              </w:rPr>
            </w:pPr>
            <w:r>
              <w:rPr>
                <w:rFonts w:ascii="Times New Roman" w:cs="Times New Roman" w:eastAsia="Times New Roman" w:hAnsi="Times New Roman"/>
                <w:sz w:val="14"/>
                <w:szCs w:val="14"/>
                <w:b w:val="1"/>
                <w:bCs w:val="1"/>
                <w:color w:val="auto"/>
              </w:rPr>
              <w:t>Expiration</w:t>
            </w:r>
          </w:p>
        </w:tc>
      </w:tr>
      <w:tr>
        <w:trPr>
          <w:trHeight w:val="195"/>
        </w:trPr>
        <w:tc>
          <w:tcPr>
            <w:tcW w:w="5660" w:type="dxa"/>
            <w:vAlign w:val="bottom"/>
          </w:tcPr>
          <w:p>
            <w:pPr>
              <w:spacing w:after="0"/>
              <w:rPr>
                <w:sz w:val="16"/>
                <w:szCs w:val="16"/>
                <w:color w:val="auto"/>
              </w:rPr>
            </w:pPr>
          </w:p>
        </w:tc>
        <w:tc>
          <w:tcPr>
            <w:tcW w:w="1320" w:type="dxa"/>
            <w:vAlign w:val="bottom"/>
            <w:tcBorders>
              <w:bottom w:val="single" w:sz="8" w:color="auto"/>
            </w:tcBorders>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64"/>
        </w:trPr>
        <w:tc>
          <w:tcPr>
            <w:tcW w:w="5660" w:type="dxa"/>
            <w:vAlign w:val="bottom"/>
          </w:tcPr>
          <w:p>
            <w:pPr>
              <w:spacing w:after="0"/>
              <w:rPr>
                <w:sz w:val="22"/>
                <w:szCs w:val="22"/>
                <w:color w:val="auto"/>
              </w:rPr>
            </w:pPr>
          </w:p>
        </w:tc>
        <w:tc>
          <w:tcPr>
            <w:tcW w:w="1320" w:type="dxa"/>
            <w:vAlign w:val="bottom"/>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5"/>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Classified Contract A</w:t>
            </w:r>
          </w:p>
        </w:tc>
        <w:tc>
          <w:tcPr>
            <w:tcW w:w="1320" w:type="dxa"/>
            <w:vAlign w:val="bottom"/>
            <w:tcBorders>
              <w:bottom w:val="single" w:sz="8" w:color="CCEEFF"/>
            </w:tcBorders>
            <w:shd w:val="clear" w:color="auto" w:fill="CCEEFF"/>
          </w:tcPr>
          <w:p>
            <w:pPr>
              <w:jc w:val="right"/>
              <w:ind w:right="112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137.8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12/31/2020</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InnoVision Future Solutions Program</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11/30/2017</w:t>
            </w:r>
          </w:p>
        </w:tc>
      </w:tr>
      <w:tr>
        <w:trPr>
          <w:trHeight w:val="27"/>
        </w:trPr>
        <w:tc>
          <w:tcPr>
            <w:tcW w:w="5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Classified Contract D</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6/30/2018</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Classified Contract C</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3/7/2023</w:t>
            </w:r>
          </w:p>
        </w:tc>
      </w:tr>
      <w:tr>
        <w:trPr>
          <w:trHeight w:val="27"/>
        </w:trPr>
        <w:tc>
          <w:tcPr>
            <w:tcW w:w="5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Classified Contract E</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12/19/2018</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Classified Contract F</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12/30/2017</w:t>
            </w:r>
          </w:p>
        </w:tc>
      </w:tr>
      <w:tr>
        <w:trPr>
          <w:trHeight w:val="27"/>
        </w:trPr>
        <w:tc>
          <w:tcPr>
            <w:tcW w:w="5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Support Services</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10/31/2015</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Launch and Test Range System - Systems Engineering and Integration</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12/31/2015</w:t>
            </w:r>
          </w:p>
        </w:tc>
      </w:tr>
      <w:tr>
        <w:trPr>
          <w:trHeight w:val="27"/>
        </w:trPr>
        <w:tc>
          <w:tcPr>
            <w:tcW w:w="5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Classified Contract G</w:t>
            </w:r>
          </w:p>
        </w:tc>
        <w:tc>
          <w:tcPr>
            <w:tcW w:w="1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7/29/2017</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Integrated Personnel and Pay System - Army</w:t>
            </w:r>
          </w:p>
        </w:tc>
        <w:tc>
          <w:tcPr>
            <w:tcW w:w="13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796" w:right="239" w:bottom="1440" w:gutter="0" w:footer="0" w:header="0"/>
        </w:sectPr>
      </w:pPr>
    </w:p>
    <w:bookmarkStart w:id="13" w:name="page14"/>
    <w:bookmarkEnd w:id="13"/>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Listed below are our top ID/IQ contracts for fiscal 2016 and 2015, in each case including revenue associated with GSA Schedules and GWACS, and the number of active task orders under these contracts as of March 31, 2016 and March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78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Task Orders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Survivability/Vulnerability Information Analysis Center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7/8/2015</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Mission Oriented Business Integrated Services</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Alliant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4/30/2019</w:t>
            </w:r>
          </w:p>
        </w:tc>
        <w:tc>
          <w:tcPr>
            <w:tcW w:w="0" w:type="dxa"/>
            <w:vAlign w:val="bottom"/>
          </w:tcPr>
          <w:p>
            <w:pPr>
              <w:spacing w:after="0"/>
              <w:rPr>
                <w:sz w:val="1"/>
                <w:szCs w:val="1"/>
                <w:color w:val="auto"/>
              </w:rPr>
            </w:pPr>
          </w:p>
        </w:tc>
      </w:tr>
      <w:tr>
        <w:trPr>
          <w:trHeight w:val="225"/>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System Engineering and Analysis/Advanced Technology</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Support</w:t>
            </w:r>
          </w:p>
        </w:tc>
        <w:tc>
          <w:tcPr>
            <w:tcW w:w="2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4/4/2019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Information Technology Schedule 70</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3/22/2019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 TAC Transformation Twenty One Total Technology</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6/30/2016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Booz Allen Engineering Services - Alliant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4/30/2019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Encore II IT Solutions</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5/31/2018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Rapid Response Third Generation</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10/28/2016</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Information Processing Support Services 4</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12/27/2020</w:t>
            </w:r>
          </w:p>
        </w:tc>
        <w:tc>
          <w:tcPr>
            <w:tcW w:w="0" w:type="dxa"/>
            <w:vAlign w:val="bottom"/>
          </w:tcPr>
          <w:p>
            <w:pPr>
              <w:spacing w:after="0"/>
              <w:rPr>
                <w:sz w:val="1"/>
                <w:szCs w:val="1"/>
                <w:color w:val="auto"/>
              </w:rPr>
            </w:pPr>
          </w:p>
        </w:tc>
      </w:tr>
      <w:tr>
        <w:trPr>
          <w:trHeight w:val="421"/>
        </w:trPr>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78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Task Orders</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Survivability/Vulnerability Information Analysis Center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7/8/2015</w:t>
            </w:r>
          </w:p>
        </w:tc>
        <w:tc>
          <w:tcPr>
            <w:tcW w:w="0" w:type="dxa"/>
            <w:vAlign w:val="bottom"/>
          </w:tcPr>
          <w:p>
            <w:pPr>
              <w:spacing w:after="0"/>
              <w:rPr>
                <w:sz w:val="1"/>
                <w:szCs w:val="1"/>
                <w:color w:val="auto"/>
              </w:rPr>
            </w:pPr>
          </w:p>
        </w:tc>
      </w:tr>
      <w:tr>
        <w:trPr>
          <w:trHeight w:val="225"/>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System Engineering and Analysis/Advanced Technology</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Support</w:t>
            </w:r>
          </w:p>
        </w:tc>
        <w:tc>
          <w:tcPr>
            <w:tcW w:w="2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4/4/2019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Mission Oriented Business Integrated Services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9/30/2017</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Alliant</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4/30/2019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Information Technology Schedule 70</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3/22/2019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Booz Allen Engineering Services - Alliant</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4/30/2019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Encore II IT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5/31/2018</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Services Sourcing</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4/24/2017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 TAC Transformation Twenty One Total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3/24/2019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Information Processing Support Services 4</w:t>
            </w:r>
          </w:p>
        </w:tc>
        <w:tc>
          <w:tcPr>
            <w:tcW w:w="2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11/27/2020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240" w:firstLine="440"/>
        <w:spacing w:after="0" w:line="282" w:lineRule="auto"/>
        <w:tabs>
          <w:tab w:leader="none" w:pos="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contract end date is 7/8/2015, there are several task orders that extend beyond the contract end date with the longest duration task order end date on 9/30/2016.</w:t>
      </w:r>
    </w:p>
    <w:p>
      <w:pPr>
        <w:spacing w:after="0" w:line="54"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Listed below for each specified revenue band is the number of, revenue derived from, and average duration of our task orders as of March 31, 2016. The table includes revenue earned during fiscal 2016 under all task orders that were active during fiscal 2016 under these ID/IQ contracts and the number of active task orders on which this revenue was earned. Average duration reflected in the table below is calculated based on the inception date of the task order, which may be prior to the beginning of fiscal 2016, and the completion date which may have been prior or subsequent to March 31, 2016. As a result, the actual average remaining duration for task orders included in this table may be less than the average duration shown in the table, and task orders included in the table may have been complete on March 31, 2016.</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9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Task</w:t>
            </w: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Segmentation of Task Order by Revenue</w:t>
            </w:r>
          </w:p>
        </w:tc>
        <w:tc>
          <w:tcPr>
            <w:tcW w:w="1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2016 Revenue (in</w:t>
            </w: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vMerge w:val="continue"/>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Orders Active During</w:t>
            </w:r>
          </w:p>
        </w:tc>
        <w:tc>
          <w:tcPr>
            <w:tcW w:w="1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Duration</w:t>
            </w:r>
          </w:p>
        </w:tc>
        <w:tc>
          <w:tcPr>
            <w:tcW w:w="0" w:type="dxa"/>
            <w:vAlign w:val="bottom"/>
          </w:tcPr>
          <w:p>
            <w:pPr>
              <w:spacing w:after="0"/>
              <w:rPr>
                <w:sz w:val="1"/>
                <w:szCs w:val="1"/>
                <w:color w:val="auto"/>
              </w:rPr>
            </w:pPr>
          </w:p>
        </w:tc>
      </w:tr>
      <w:tr>
        <w:trPr>
          <w:trHeight w:val="195"/>
        </w:trPr>
        <w:tc>
          <w:tcPr>
            <w:tcW w:w="4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2016</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2016</w:t>
            </w:r>
          </w:p>
        </w:tc>
        <w:tc>
          <w:tcPr>
            <w:tcW w:w="140" w:type="dxa"/>
            <w:vAlign w:val="bottom"/>
          </w:tcPr>
          <w:p>
            <w:pPr>
              <w:spacing w:after="0"/>
              <w:rPr>
                <w:sz w:val="16"/>
                <w:szCs w:val="16"/>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69"/>
        </w:trPr>
        <w:tc>
          <w:tcPr>
            <w:tcW w:w="4080" w:type="dxa"/>
            <w:vAlign w:val="bottom"/>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6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than $1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Between $1 million and $3 million</w:t>
            </w:r>
          </w:p>
        </w:tc>
        <w:tc>
          <w:tcPr>
            <w:tcW w:w="1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Between $3 million and $5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Between $5 million and $10 million</w:t>
            </w:r>
          </w:p>
        </w:tc>
        <w:tc>
          <w:tcPr>
            <w:tcW w:w="1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Greater than $10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1,303.0</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4,077.4</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define backlog to include the following three components:</w:t>
      </w:r>
    </w:p>
    <w:p>
      <w:pPr>
        <w:spacing w:after="0" w:line="115" w:lineRule="exact"/>
        <w:rPr>
          <w:sz w:val="20"/>
          <w:szCs w:val="20"/>
          <w:color w:val="auto"/>
        </w:rPr>
      </w:pPr>
    </w:p>
    <w:p>
      <w:pPr>
        <w:ind w:left="660" w:right="260" w:hanging="652"/>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 appropriated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authorized less revenue previously recognized on these contracts.</w:t>
      </w:r>
    </w:p>
    <w:p>
      <w:pPr>
        <w:spacing w:after="0" w:line="50" w:lineRule="exact"/>
        <w:rPr>
          <w:rFonts w:ascii="Times New Roman" w:cs="Times New Roman" w:eastAsia="Times New Roman" w:hAnsi="Times New Roman"/>
          <w:sz w:val="18"/>
          <w:szCs w:val="18"/>
          <w:color w:val="auto"/>
        </w:rPr>
      </w:pPr>
    </w:p>
    <w:p>
      <w:pPr>
        <w:ind w:left="660" w:right="280" w:hanging="652"/>
        <w:spacing w:after="0" w:line="284" w:lineRule="auto"/>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for services under existing contracts for which funding has not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appropriated or otherwise authorized.</w:t>
      </w:r>
    </w:p>
    <w:p>
      <w:pPr>
        <w:spacing w:after="0" w:line="50" w:lineRule="exact"/>
        <w:rPr>
          <w:rFonts w:ascii="Times New Roman" w:cs="Times New Roman" w:eastAsia="Times New Roman" w:hAnsi="Times New Roman"/>
          <w:sz w:val="18"/>
          <w:szCs w:val="18"/>
          <w:i w:val="1"/>
          <w:iCs w:val="1"/>
          <w:color w:val="auto"/>
        </w:rPr>
      </w:pPr>
    </w:p>
    <w:p>
      <w:pPr>
        <w:ind w:left="660" w:right="200" w:hanging="652"/>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exercised at our clients’ option and for which funding has not been appropriated or otherwise authorized.</w:t>
      </w:r>
    </w:p>
    <w:p>
      <w:pPr>
        <w:spacing w:after="0" w:line="52"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Backlog does not include any task orders under ID/IQ contracts, including GWACs and GSA schedules, except to the extent that task orders have been awarded to us under those contracts.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value of our contract backlog as of the respective dates presented: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3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7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Pr>
          <w:p>
            <w:pPr>
              <w:spacing w:after="0"/>
              <w:rPr>
                <w:sz w:val="21"/>
                <w:szCs w:val="2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Funded</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2,691</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Unfunded (1)</w:t>
            </w:r>
          </w:p>
        </w:tc>
        <w:tc>
          <w:tcPr>
            <w:tcW w:w="122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2,121</w:t>
            </w: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Priced options</w:t>
            </w:r>
          </w:p>
        </w:tc>
        <w:tc>
          <w:tcPr>
            <w:tcW w:w="1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4,548</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backlog</w:t>
            </w:r>
          </w:p>
        </w:tc>
        <w:tc>
          <w:tcPr>
            <w:tcW w:w="1220" w:type="dxa"/>
            <w:vAlign w:val="bottom"/>
            <w:tcBorders>
              <w:top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9,360</w:t>
            </w:r>
          </w:p>
        </w:tc>
      </w:tr>
      <w:tr>
        <w:trPr>
          <w:trHeight w:val="27"/>
        </w:trPr>
        <w:tc>
          <w:tcPr>
            <w:tcW w:w="7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40" w:right="340" w:hanging="316"/>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as of March 31, 2015 reflects a reduction by management to the revenue value of orders for services under one then existing single award ID/IQ contract the Company had for several years, based on an established pattern of funding under this contract by the U.S. government.</w:t>
      </w:r>
    </w:p>
    <w:p>
      <w:pPr>
        <w:spacing w:after="0" w:line="5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 — Factors Affecting Our Results of Operations — Sources of Revenue — Contract Backlog” for additional disclosure regarding our backlog. See also “Item 1A. Risk Factors — Risks Related to Our Business — We may not realize the full value of our backlog, which may result in lower than expected revenue.”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94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The government services market is highly fragmented and competition within the government professional services industry has intensified due to market pressure. In addition to professional service companies like ours that focus principally on the provision of services to the U.S. government, other companies active in our markets include large defense contractors; diversified consulting, technology, and outsourcing service providers; and small businesses. Changing government policies and market dynamics also are helping to reshape the competitive landscape. Some large prime contractors are beginning to divest their professional services business units due to the U.S. government’s increased sensitivity to organizational conflicts of interest and these divested companies will be free to compete with us without their former organizational conflicts of interest constraints. The formal adoption of the Federal Acquisition Regulation, or FAR, organizational conflicts of interest rules, or additional more restrictive rules by U.S. government agencies could cause further such divestitures which could further increase competition in our markets. At the other end of the spectrum, small businesses are growing in the government services industry due in large part to a push by both the Obama and Bush administrations to bolster the economy by helping small business owners. Finally, due to the foregoing factors and the drive in our markets to quickly build competencies in growth areas and achieve economies of scale, we believe that consolidation activity among market participants will increase.</w:t>
      </w:r>
    </w:p>
    <w:p>
      <w:pPr>
        <w:spacing w:after="0" w:line="8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 (i) contractors focused principally on the provision of services to the U.S. government (ii) large defense contractors that provide both products and services to the U.S. government, and (iii) diversified service providers. We compete on the basis of our technical expertise and client knowledge, our ability to successfully recruit appropriately skilled and experienced talent, our ability to deliver cost-effective multi-faceted services in a timely manner, our reputation and relationship with our clients, our past performance, security clearances, and the size and scale of our company. In addition, in order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Information</w:t>
      </w:r>
    </w:p>
    <w:p>
      <w:pPr>
        <w:spacing w:after="0" w:line="121"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Our management and technology consulting services and related products are not generally dependent upon patent protection. We claim a proprietary interest in certain of our service offerings and related products, methodologies, and know-how. We have a few patents but we do not consider our business to be materially dependent on the protection of such patents. Additionally,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 Other than licenses to commercially available third-party software, we have no licenses to intellectual property that are significant to our business.</w:t>
      </w:r>
    </w:p>
    <w:p>
      <w:pPr>
        <w:spacing w:after="0" w:line="80"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w:t>
      </w:r>
    </w:p>
    <w:p>
      <w:pPr>
        <w:spacing w:after="0" w:line="72"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Our most important trademark is the “Booz Allen Hamilton” mark, registered in the United States and certain foreign countries. Generally, registered trademarks have perpetual life, provided that they are renewed on a timely basis and continue to be used properly as trademarks. We have four registered trademarks related to our name and logo with the earliest renewal in March 2020.</w:t>
      </w:r>
    </w:p>
    <w:p>
      <w:pPr>
        <w:spacing w:after="0" w:line="68" w:lineRule="exact"/>
        <w:rPr>
          <w:sz w:val="20"/>
          <w:szCs w:val="20"/>
          <w:color w:val="auto"/>
        </w:rPr>
      </w:pPr>
    </w:p>
    <w:p>
      <w:pPr>
        <w:ind w:right="320" w:firstLine="432"/>
        <w:spacing w:after="0" w:line="261" w:lineRule="auto"/>
        <w:rPr>
          <w:sz w:val="20"/>
          <w:szCs w:val="20"/>
          <w:color w:val="auto"/>
        </w:rPr>
      </w:pPr>
      <w:r>
        <w:rPr>
          <w:rFonts w:ascii="Times New Roman" w:cs="Times New Roman" w:eastAsia="Times New Roman" w:hAnsi="Times New Roman"/>
          <w:sz w:val="18"/>
          <w:szCs w:val="18"/>
          <w:color w:val="auto"/>
        </w:rPr>
        <w:t>For our work under U.S. government funded contracts and subcontracts, the U.S. government obtains certain rights to data, software, and related information developed under such contracts or subcontracts. These rights generally allow the U.S. government to disclose such data, software, and related information to third parties, which third parties may include our competitors in some instances. In the case of our work as a subcontractor, our prime contractor may also have certain rights to data, information, and products we develop under the subcontract.</w:t>
      </w:r>
    </w:p>
    <w:p>
      <w:pPr>
        <w:spacing w:after="0" w:line="72" w:lineRule="exact"/>
        <w:rPr>
          <w:sz w:val="20"/>
          <w:szCs w:val="20"/>
          <w:color w:val="auto"/>
        </w:rPr>
      </w:pPr>
    </w:p>
    <w:p>
      <w:pPr>
        <w:ind w:right="440" w:firstLine="432"/>
        <w:spacing w:after="0" w:line="228" w:lineRule="auto"/>
        <w:rPr>
          <w:sz w:val="20"/>
          <w:szCs w:val="20"/>
          <w:color w:val="auto"/>
        </w:rPr>
      </w:pPr>
      <w:r>
        <w:rPr>
          <w:rFonts w:ascii="Times New Roman" w:cs="Times New Roman" w:eastAsia="Times New Roman" w:hAnsi="Times New Roman"/>
          <w:sz w:val="18"/>
          <w:szCs w:val="18"/>
          <w:color w:val="auto"/>
        </w:rPr>
        <w:t>Booz Allen Hamilton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Booz Allen Cyber Solutions Network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Booz Allen Hamilton logo, and other trademarks or service marks of Booz Allen Hamilton Inc. appearing in this Annual Report are property of Booz Allen Hamilton Inc. Trade names, trademarks, and service marks of other companies appearing in this Annual Report are the property of their respective owners.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92"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public government contracts. Some significant laws and regulations that affect us include:</w:t>
      </w:r>
    </w:p>
    <w:p>
      <w:pPr>
        <w:spacing w:after="0" w:line="72" w:lineRule="exact"/>
        <w:rPr>
          <w:sz w:val="20"/>
          <w:szCs w:val="20"/>
          <w:color w:val="auto"/>
        </w:rPr>
      </w:pPr>
    </w:p>
    <w:p>
      <w:pPr>
        <w:ind w:left="640" w:hanging="321"/>
        <w:spacing w:after="0" w:line="281" w:lineRule="auto"/>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56" w:lineRule="exact"/>
        <w:rPr>
          <w:rFonts w:ascii="Times New Roman" w:cs="Times New Roman" w:eastAsia="Times New Roman" w:hAnsi="Times New Roman"/>
          <w:sz w:val="17"/>
          <w:szCs w:val="17"/>
          <w:color w:val="auto"/>
        </w:rPr>
      </w:pPr>
    </w:p>
    <w:p>
      <w:pPr>
        <w:ind w:left="640" w:right="26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and False Statements Act, which impose civil and criminal liability for presenting false or fraudulent claims for payments or reimbursement, and making false statements to the U.S. government, respectively;</w:t>
      </w:r>
    </w:p>
    <w:p>
      <w:pPr>
        <w:spacing w:after="0" w:line="53" w:lineRule="exact"/>
        <w:rPr>
          <w:rFonts w:ascii="Times New Roman" w:cs="Times New Roman" w:eastAsia="Times New Roman" w:hAnsi="Times New Roman"/>
          <w:sz w:val="18"/>
          <w:szCs w:val="18"/>
          <w:color w:val="auto"/>
        </w:rPr>
      </w:pPr>
    </w:p>
    <w:p>
      <w:pPr>
        <w:ind w:left="640" w:right="26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Negotiations Act, which requires certification and disclosure of cost and pricing data in connection with the negotiation of a contract, modification, or task order;</w:t>
      </w:r>
    </w:p>
    <w:p>
      <w:pPr>
        <w:spacing w:after="0" w:line="53" w:lineRule="exact"/>
        <w:rPr>
          <w:rFonts w:ascii="Times New Roman" w:cs="Times New Roman" w:eastAsia="Times New Roman" w:hAnsi="Times New Roman"/>
          <w:sz w:val="18"/>
          <w:szCs w:val="18"/>
          <w:color w:val="auto"/>
        </w:rPr>
      </w:pPr>
    </w:p>
    <w:p>
      <w:pPr>
        <w:ind w:left="640" w:right="44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restricting the ability of a contractor to provide gifts or gratuities to employees of the U.S. government;</w:t>
      </w:r>
    </w:p>
    <w:p>
      <w:pPr>
        <w:spacing w:after="0" w:line="117" w:lineRule="exact"/>
        <w:rPr>
          <w:rFonts w:ascii="Times New Roman" w:cs="Times New Roman" w:eastAsia="Times New Roman" w:hAnsi="Times New Roman"/>
          <w:sz w:val="18"/>
          <w:szCs w:val="18"/>
          <w:color w:val="auto"/>
        </w:rPr>
      </w:pPr>
    </w:p>
    <w:p>
      <w:pPr>
        <w:ind w:left="640" w:right="60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post-government employment laws and regulations, which restrict the ability of a contractor to recruit and hire current employees of the U.S. government and deploy former employees of the U.S. government;</w:t>
      </w:r>
    </w:p>
    <w:p>
      <w:pPr>
        <w:spacing w:after="0" w:line="53" w:lineRule="exact"/>
        <w:rPr>
          <w:rFonts w:ascii="Times New Roman" w:cs="Times New Roman" w:eastAsia="Times New Roman" w:hAnsi="Times New Roman"/>
          <w:sz w:val="18"/>
          <w:szCs w:val="18"/>
          <w:color w:val="auto"/>
        </w:rPr>
      </w:pPr>
    </w:p>
    <w:p>
      <w:pPr>
        <w:ind w:left="640" w:right="60" w:hanging="321"/>
        <w:spacing w:after="0" w:line="26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executive orders restricting the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68" w:lineRule="exact"/>
        <w:rPr>
          <w:rFonts w:ascii="Times New Roman" w:cs="Times New Roman" w:eastAsia="Times New Roman" w:hAnsi="Times New Roman"/>
          <w:sz w:val="18"/>
          <w:szCs w:val="18"/>
          <w:color w:val="auto"/>
        </w:rPr>
      </w:pPr>
    </w:p>
    <w:p>
      <w:pPr>
        <w:ind w:left="640" w:right="60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executive orders regulating the handling, use, and dissemination of personally identifiable information in the course of performing a U.S. government contract;</w:t>
      </w:r>
    </w:p>
    <w:p>
      <w:pPr>
        <w:spacing w:after="0" w:line="53" w:lineRule="exact"/>
        <w:rPr>
          <w:rFonts w:ascii="Times New Roman" w:cs="Times New Roman" w:eastAsia="Times New Roman" w:hAnsi="Times New Roman"/>
          <w:sz w:val="18"/>
          <w:szCs w:val="18"/>
          <w:color w:val="auto"/>
        </w:rPr>
      </w:pPr>
    </w:p>
    <w:p>
      <w:pPr>
        <w:ind w:left="640" w:right="560" w:hanging="321"/>
        <w:spacing w:after="0" w:line="261"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71" w:lineRule="exact"/>
        <w:rPr>
          <w:rFonts w:ascii="Times New Roman" w:cs="Times New Roman" w:eastAsia="Times New Roman" w:hAnsi="Times New Roman"/>
          <w:sz w:val="18"/>
          <w:szCs w:val="18"/>
          <w:color w:val="auto"/>
        </w:rPr>
      </w:pPr>
    </w:p>
    <w:p>
      <w:pPr>
        <w:ind w:left="640" w:right="6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executive orders that impose requirements on us to ensure compliance with requirements and protect the government from risk related to our supply chain;</w:t>
      </w:r>
    </w:p>
    <w:p>
      <w:pPr>
        <w:spacing w:after="0" w:line="53" w:lineRule="exact"/>
        <w:rPr>
          <w:rFonts w:ascii="Times New Roman" w:cs="Times New Roman" w:eastAsia="Times New Roman" w:hAnsi="Times New Roman"/>
          <w:sz w:val="18"/>
          <w:szCs w:val="18"/>
          <w:color w:val="auto"/>
        </w:rPr>
      </w:pPr>
    </w:p>
    <w:p>
      <w:pPr>
        <w:ind w:left="640" w:right="2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mandatory contract provisions providing protections to employees or subcontractors seeking to report alleged fraud, waste, and abuse related to a government contract;</w:t>
      </w:r>
    </w:p>
    <w:p>
      <w:pPr>
        <w:spacing w:after="0" w:line="53" w:lineRule="exact"/>
        <w:rPr>
          <w:rFonts w:ascii="Times New Roman" w:cs="Times New Roman" w:eastAsia="Times New Roman" w:hAnsi="Times New Roman"/>
          <w:sz w:val="18"/>
          <w:szCs w:val="18"/>
          <w:color w:val="auto"/>
        </w:rPr>
      </w:pPr>
    </w:p>
    <w:p>
      <w:pPr>
        <w:ind w:left="640" w:right="60" w:hanging="321"/>
        <w:spacing w:after="0" w:line="26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68" w:lineRule="exact"/>
        <w:rPr>
          <w:rFonts w:ascii="Times New Roman" w:cs="Times New Roman" w:eastAsia="Times New Roman" w:hAnsi="Times New Roman"/>
          <w:sz w:val="18"/>
          <w:szCs w:val="18"/>
          <w:color w:val="auto"/>
        </w:rPr>
      </w:pPr>
    </w:p>
    <w:p>
      <w:pPr>
        <w:ind w:left="640" w:right="340" w:hanging="321"/>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Accounting Standards and Cost Principles, which impose accounting requirements that govern our right to reimbursement under certain cost-based U.S. government contracts and require consistency of accounting practices over time.</w:t>
      </w:r>
    </w:p>
    <w:p>
      <w:pPr>
        <w:spacing w:after="0" w:line="5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Given the magnitude of our revenue derived from contracts with the Department of Defense, the Defense Contract Audit Agency, or DCAA, is our cognizant government audit agency. The DCAA audits the adequacy of our internal control systems and policies including, among other areas, compensation. As a result of its audits, the DCAA may determine that a portion of our employee compensation is unallowable. See “Item 1A. Risk Factors — Risk Related to Our Industry — Our contracts, performance, and administrative processes and systems are subject to audits, reviews, investigations, and cost adjustments by the U.S. government, which could reduce our revenue, disrupt our business, or</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792"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otherwise materially adversely affect our results of operations.” We are also subject to audit by Inspectors General of other U.S. government agencies.</w:t>
      </w:r>
    </w:p>
    <w:p>
      <w:pPr>
        <w:spacing w:after="0" w:line="11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U.S. government may revise its procurement practices or adopt new contract rules and regulations at any time. In order to help ensure compliance with these laws and regulations, all of our employees are required to attend ethics training at least annually, as well as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may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U.S. government has a broad range of actions that it can instigate in order to enforce its procurement law and policies. These include proposing a contractor, certain of its operations or individual employees for debarment or suspending or debarring a contractor, certain of its operations or individual employees from future government business. In addition to criminal, civil and administrative actions by the U.S. government, under the False Claims Act, an individual alleging fraud related to payments under a U.S. government contract or program may file a qui tam lawsuit on behalf of the government against us; if successful in obtaining a judgment or settlement, the individual filing the suit may receive up to 30 percent of the amount recovered by the government.</w:t>
      </w:r>
    </w:p>
    <w:p>
      <w:pPr>
        <w:spacing w:after="0" w:line="76"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See “Item 1A. Risk Factors — Risks Related to Our Business — 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You may read and copy any documents that we file at the SEC’s public reference room at 100 F Street, N.E., Washington, D.C. 20549. You may call the SEC at 1-800-SEC-0330 to obtain further information about the public reference room. In addition, the SEC maintains an Internet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Internet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3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19"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5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U.S. government is our primary client, with revenue from contracts and task orders, either as a prime or a subcontractor, with U.S. government agencies accounting for 97% of our revenue for fiscal 2016. Our belief is that the successful future growth of our business will continue to depend primarily on our ability to be awarded work under U.S. government contracts, as we expect this will be the primary source of substantially all of our revenue in the foreseeable future.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96" w:right="239" w:bottom="1440" w:gutter="0" w:footer="0" w:header="0"/>
        </w:sectPr>
      </w:pPr>
    </w:p>
    <w:bookmarkStart w:id="18" w:name="page19"/>
    <w:bookmarkEnd w:id="18"/>
    <w:p>
      <w:pPr>
        <w:ind w:right="20"/>
        <w:spacing w:after="0" w:line="253" w:lineRule="auto"/>
        <w:rPr>
          <w:sz w:val="20"/>
          <w:szCs w:val="20"/>
          <w:color w:val="auto"/>
        </w:rPr>
      </w:pPr>
      <w:r>
        <w:rPr>
          <w:rFonts w:ascii="Times New Roman" w:cs="Times New Roman" w:eastAsia="Times New Roman" w:hAnsi="Times New Roman"/>
          <w:sz w:val="18"/>
          <w:szCs w:val="18"/>
          <w:color w:val="auto"/>
        </w:rPr>
        <w:t>For this reason, any issue that compromises our relationship with the U.S. government generally or any U.S. government agency that we serve would cause our revenue to decline. Among the key factors in maintaining our relationship with U.S. government agencies are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including as a result of misconduct or other improper activities by our employees or subcontractors, or a failure to maintain adequate protection against security breaches, including those resulting from cyber attacks, could harm our relationship with U.S. government agencies. Our relationship with the U.S. government could also be damaged as a result of an agency’s dissatisfaction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Further, negative publicity concerning government contractors in general or us in particular may harm our reputation with federal government contractors. To the extent our reputation or relationships with U.S. government agencies is impaired, our revenue and operating profits could materially decline.</w:t>
      </w:r>
    </w:p>
    <w:p>
      <w:pPr>
        <w:spacing w:after="0" w:line="79" w:lineRule="exact"/>
        <w:rPr>
          <w:sz w:val="20"/>
          <w:szCs w:val="20"/>
          <w:color w:val="auto"/>
        </w:rPr>
      </w:pPr>
    </w:p>
    <w:p>
      <w:pPr>
        <w:ind w:right="7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government spending and mission priorities could change in a manner that adversely affects our future revenue and limits our growth prospects.</w:t>
      </w:r>
    </w:p>
    <w:p>
      <w:pPr>
        <w:spacing w:after="0" w:line="51" w:lineRule="exact"/>
        <w:rPr>
          <w:sz w:val="20"/>
          <w:szCs w:val="20"/>
          <w:color w:val="auto"/>
        </w:rPr>
      </w:pPr>
    </w:p>
    <w:p>
      <w:pPr>
        <w:jc w:val="both"/>
        <w:ind w:right="40" w:firstLine="432"/>
        <w:spacing w:after="0" w:line="261" w:lineRule="auto"/>
        <w:rPr>
          <w:sz w:val="20"/>
          <w:szCs w:val="20"/>
          <w:color w:val="auto"/>
        </w:rPr>
      </w:pPr>
      <w:r>
        <w:rPr>
          <w:rFonts w:ascii="Times New Roman" w:cs="Times New Roman" w:eastAsia="Times New Roman" w:hAnsi="Times New Roman"/>
          <w:sz w:val="18"/>
          <w:szCs w:val="18"/>
          <w:color w:val="auto"/>
        </w:rPr>
        <w:t>Our business depends upon continued U.S. government expenditures on defense, intelligence, and civil programs for which we provide support. These expenditures have not remained constant over time, have been reduced in certain periods and, recently, have been affected by the U.S. government’s efforts to improve efficiency and reduce costs affecting federal government programs generally. Our business, prospects, financial condition, or operating results could be materially harmed, among other causes, by the following:</w:t>
      </w:r>
    </w:p>
    <w:p>
      <w:pPr>
        <w:spacing w:after="0" w:line="72" w:lineRule="exact"/>
        <w:rPr>
          <w:sz w:val="20"/>
          <w:szCs w:val="20"/>
          <w:color w:val="auto"/>
        </w:rPr>
      </w:pPr>
    </w:p>
    <w:p>
      <w:pPr>
        <w:ind w:left="640" w:right="480" w:hanging="321"/>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constraints, including Congressionally mandated automatic spending cuts, affecting U.S. government spending generally, or specific agencies in particular, and changes in available funding;</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expenditures away from agencies or programs that we support;</w:t>
      </w:r>
    </w:p>
    <w:p>
      <w:pPr>
        <w:spacing w:after="0" w:line="117" w:lineRule="exact"/>
        <w:rPr>
          <w:rFonts w:ascii="Times New Roman" w:cs="Times New Roman" w:eastAsia="Times New Roman" w:hAnsi="Times New Roman"/>
          <w:sz w:val="18"/>
          <w:szCs w:val="18"/>
          <w:color w:val="auto"/>
        </w:rPr>
      </w:pPr>
    </w:p>
    <w:p>
      <w:pPr>
        <w:ind w:left="640" w:right="80" w:hanging="321"/>
        <w:spacing w:after="0" w:line="266"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68"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efforts to improve efficiency and reduce costs affecting federal government programs;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 programs that we support or related requirements;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continuation of recent efforts by the U.S. government to decrease spending for management support service contracts;</w:t>
      </w:r>
    </w:p>
    <w:p>
      <w:pPr>
        <w:spacing w:after="0" w:line="117" w:lineRule="exact"/>
        <w:rPr>
          <w:rFonts w:ascii="Times New Roman" w:cs="Times New Roman" w:eastAsia="Times New Roman" w:hAnsi="Times New Roman"/>
          <w:sz w:val="18"/>
          <w:szCs w:val="18"/>
          <w:color w:val="auto"/>
        </w:rPr>
      </w:pPr>
    </w:p>
    <w:p>
      <w:pPr>
        <w:ind w:left="640" w:right="160" w:hanging="321"/>
        <w:spacing w:after="0" w:line="266"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shutdowns due to a failure by elected officials to fund the government (such as that which occurred during government fiscal year 2014) or weather-related closures in the Washington, DC area (such as that which occurred in the winter of 2016) and other potential delays in the appropriations process;</w:t>
      </w:r>
    </w:p>
    <w:p>
      <w:pPr>
        <w:spacing w:after="0" w:line="68"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agencies awarding contracts on a technically acceptable/lowest cost basis in order to reduce expenditures;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payment of our invoices by government payment offices;</w:t>
      </w:r>
    </w:p>
    <w:p>
      <w:pPr>
        <w:spacing w:after="0" w:line="117" w:lineRule="exact"/>
        <w:rPr>
          <w:rFonts w:ascii="Times New Roman" w:cs="Times New Roman" w:eastAsia="Times New Roman" w:hAnsi="Times New Roman"/>
          <w:sz w:val="18"/>
          <w:szCs w:val="18"/>
          <w:color w:val="auto"/>
        </w:rPr>
      </w:pPr>
    </w:p>
    <w:p>
      <w:pPr>
        <w:ind w:left="640" w:right="20" w:hanging="321"/>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the U.S. government to fund its operations as a result of a failure to increase the federal government’s debt ceiling, a credit downgrade of U.S. government obligations or for any other reason; and</w:t>
      </w:r>
    </w:p>
    <w:p>
      <w:pPr>
        <w:spacing w:after="0" w:line="53" w:lineRule="exact"/>
        <w:rPr>
          <w:rFonts w:ascii="Times New Roman" w:cs="Times New Roman" w:eastAsia="Times New Roman" w:hAnsi="Times New Roman"/>
          <w:sz w:val="18"/>
          <w:szCs w:val="18"/>
          <w:color w:val="auto"/>
        </w:rPr>
      </w:pPr>
    </w:p>
    <w:p>
      <w:pPr>
        <w:ind w:left="640" w:right="580" w:hanging="321"/>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any disruption in the functioning of U.S. government agencies, including as a result of U.S. government closures and shutdowns, terrorism, war, natural disasters, destruction of U.S.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68"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U.S. government budget deficits, the national debt, and the prevailing economic condition, and actions taken to address them, could continue to negatively affect the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96" w:right="239" w:bottom="1440" w:gutter="0" w:footer="0" w:header="0"/>
        </w:sectPr>
      </w:pPr>
    </w:p>
    <w:bookmarkStart w:id="19" w:name="page20"/>
    <w:bookmarkEnd w:id="19"/>
    <w:p>
      <w:pPr>
        <w:spacing w:after="0" w:line="252" w:lineRule="auto"/>
        <w:rPr>
          <w:sz w:val="20"/>
          <w:szCs w:val="20"/>
          <w:color w:val="auto"/>
        </w:rPr>
      </w:pPr>
      <w:r>
        <w:rPr>
          <w:rFonts w:ascii="Times New Roman" w:cs="Times New Roman" w:eastAsia="Times New Roman" w:hAnsi="Times New Roman"/>
          <w:sz w:val="18"/>
          <w:szCs w:val="18"/>
          <w:color w:val="auto"/>
        </w:rPr>
        <w:t>Department of Defense. In particular, the Budget Control Act of 2011 (as amended by the American Taxpayer Relief Act of 2012, the Bipartisan Budget Act of 2013 and the Bipartisan Budget Act of 2015) provides for automatic spending cuts (referred to as sequestration) totaling approximately $1.2 trillion between 2013 and 2021, including an estimated $500 billion in federal defense spending cuts over this time period. The Bipartisan Budget Act of 2015 set spending limits for the government fiscal year 2016 and 2017 budgets across the federal government and increased the prior discretionary spending caps in both defense and non-defense. The new Department of Defense spending limits are approximately $607 billion for government fiscal year 2016 and $610 billion for government fiscal year 2017, including an allocation of $59 billion in overseas contingency operations funding each year. While recent budget actions reflect a more measured and strategic approach to addressing the U.S. government’s fiscal challenges, there remains uncertainty as to how exactly budget cuts, including sequestration, will impact us, and we are therefore unable to predict the extent of the impact of such cuts on our business and results of operations. However, a reduction in the amount of or reductions, delays, or cancellations of funding for, services that we are contracted to provide to the Department of Defense as a result of any of these related initiatives, legislation or otherwise could have a material adverse effect on our business and results of operations. In addition, in response to an Office of Management and Budget mandate, government agencies have reduced management support services spending in recent years. If federal awards for management support services continue to decline, our revenue and operating profits may materially decline and further efforts by the Office of Management and Budget to decrease federal awards for management support services could have a material and adverse effect on our business and results of operations.</w:t>
      </w:r>
    </w:p>
    <w:p>
      <w:pPr>
        <w:spacing w:after="0" w:line="9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64" w:lineRule="exact"/>
        <w:rPr>
          <w:sz w:val="20"/>
          <w:szCs w:val="20"/>
          <w:color w:val="auto"/>
        </w:rPr>
      </w:pPr>
    </w:p>
    <w:p>
      <w:pPr>
        <w:jc w:val="both"/>
        <w:ind w:right="14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U.S. government contractor, we must comply with laws and regulations relating to the formation, administration, and performance of</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78" w:lineRule="exact"/>
        <w:rPr>
          <w:sz w:val="20"/>
          <w:szCs w:val="20"/>
          <w:color w:val="auto"/>
        </w:rPr>
      </w:pPr>
    </w:p>
    <w:p>
      <w:pPr>
        <w:ind w:left="640" w:right="20" w:hanging="321"/>
        <w:spacing w:after="0" w:line="258"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75" w:lineRule="exact"/>
        <w:rPr>
          <w:rFonts w:ascii="Times New Roman" w:cs="Times New Roman" w:eastAsia="Times New Roman" w:hAnsi="Times New Roman"/>
          <w:sz w:val="18"/>
          <w:szCs w:val="18"/>
          <w:color w:val="auto"/>
        </w:rPr>
      </w:pPr>
    </w:p>
    <w:p>
      <w:pPr>
        <w:ind w:left="640" w:right="260" w:hanging="321"/>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and False Statements Act, which impose civil and criminal liability for presenting false or fraudulent claims for payments or reimbursement, and making false statements to the U.S. government, respectively;</w:t>
      </w:r>
    </w:p>
    <w:p>
      <w:pPr>
        <w:spacing w:after="0" w:line="53" w:lineRule="exact"/>
        <w:rPr>
          <w:rFonts w:ascii="Times New Roman" w:cs="Times New Roman" w:eastAsia="Times New Roman" w:hAnsi="Times New Roman"/>
          <w:sz w:val="18"/>
          <w:szCs w:val="18"/>
          <w:color w:val="auto"/>
        </w:rPr>
      </w:pPr>
    </w:p>
    <w:p>
      <w:pPr>
        <w:ind w:left="640" w:right="260" w:hanging="321"/>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Negotiations Act, which requires certification and disclosure of cost and pricing data in connection with the negotiation of a contract, modification, or task order;</w:t>
      </w:r>
    </w:p>
    <w:p>
      <w:pPr>
        <w:spacing w:after="0" w:line="53" w:lineRule="exact"/>
        <w:rPr>
          <w:rFonts w:ascii="Times New Roman" w:cs="Times New Roman" w:eastAsia="Times New Roman" w:hAnsi="Times New Roman"/>
          <w:sz w:val="18"/>
          <w:szCs w:val="18"/>
          <w:color w:val="auto"/>
        </w:rPr>
      </w:pPr>
    </w:p>
    <w:p>
      <w:pPr>
        <w:ind w:left="640" w:right="380" w:hanging="321"/>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government employment laws and regulations, which restrict the ability of a contractor to recruit, hire, and deploy former employees of the U.S. government;</w:t>
      </w:r>
    </w:p>
    <w:p>
      <w:pPr>
        <w:spacing w:after="0" w:line="53" w:lineRule="exact"/>
        <w:rPr>
          <w:rFonts w:ascii="Times New Roman" w:cs="Times New Roman" w:eastAsia="Times New Roman" w:hAnsi="Times New Roman"/>
          <w:sz w:val="18"/>
          <w:szCs w:val="18"/>
          <w:color w:val="auto"/>
        </w:rPr>
      </w:pPr>
    </w:p>
    <w:p>
      <w:pPr>
        <w:ind w:left="640" w:right="20" w:hanging="321"/>
        <w:spacing w:after="0" w:line="261"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executive orders restricting the use and dissemination of information classified for national security purposes and the export of certain products, services, and technical data, including requirements regarding any applicable licensing of our employees involved in such</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and</w:t>
      </w:r>
    </w:p>
    <w:p>
      <w:pPr>
        <w:spacing w:after="0" w:line="98" w:lineRule="exact"/>
        <w:rPr>
          <w:rFonts w:ascii="Times New Roman" w:cs="Times New Roman" w:eastAsia="Times New Roman" w:hAnsi="Times New Roman"/>
          <w:sz w:val="18"/>
          <w:szCs w:val="18"/>
          <w:color w:val="auto"/>
        </w:rPr>
      </w:pPr>
    </w:p>
    <w:p>
      <w:pPr>
        <w:ind w:left="640" w:right="480" w:hanging="321"/>
        <w:spacing w:after="0" w:line="28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FAR Cost Accounting Standards and Cost Principles, which impose accounting requirements that govern our right to reimbursement under certain cost-based U.S. government contracts and require consistency of accounting practices over time.</w:t>
      </w:r>
    </w:p>
    <w:p>
      <w:pPr>
        <w:spacing w:after="0" w:line="54" w:lineRule="exact"/>
        <w:rPr>
          <w:sz w:val="20"/>
          <w:szCs w:val="20"/>
          <w:color w:val="auto"/>
        </w:rPr>
      </w:pPr>
    </w:p>
    <w:p>
      <w:pPr>
        <w:ind w:right="760" w:firstLine="432"/>
        <w:spacing w:after="0" w:line="282" w:lineRule="auto"/>
        <w:rPr>
          <w:sz w:val="20"/>
          <w:szCs w:val="20"/>
          <w:color w:val="auto"/>
        </w:rPr>
      </w:pPr>
      <w:r>
        <w:rPr>
          <w:rFonts w:ascii="Times New Roman" w:cs="Times New Roman" w:eastAsia="Times New Roman" w:hAnsi="Times New Roman"/>
          <w:sz w:val="18"/>
          <w:szCs w:val="18"/>
          <w:color w:val="auto"/>
        </w:rPr>
        <w:t>In addition, the U.S. government adopts new laws, rules, and regulations from time to time that could have a material impact on our results of operations.</w:t>
      </w:r>
    </w:p>
    <w:p>
      <w:pPr>
        <w:spacing w:after="0" w:line="54"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796" w:right="259" w:bottom="1440" w:gutter="0" w:footer="0" w:header="0"/>
        </w:sectPr>
      </w:pPr>
    </w:p>
    <w:bookmarkStart w:id="20" w:name="page21"/>
    <w:bookmarkEnd w:id="20"/>
    <w:p>
      <w:pPr>
        <w:ind w:right="20"/>
        <w:spacing w:after="0" w:line="255" w:lineRule="auto"/>
        <w:rPr>
          <w:sz w:val="20"/>
          <w:szCs w:val="20"/>
          <w:color w:val="auto"/>
        </w:rPr>
      </w:pPr>
      <w:r>
        <w:rPr>
          <w:rFonts w:ascii="Times New Roman" w:cs="Times New Roman" w:eastAsia="Times New Roman" w:hAnsi="Times New Roman"/>
          <w:sz w:val="18"/>
          <w:szCs w:val="18"/>
          <w:color w:val="auto"/>
        </w:rPr>
        <w:t>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of payments,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7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72" w:lineRule="exact"/>
        <w:rPr>
          <w:sz w:val="20"/>
          <w:szCs w:val="20"/>
          <w:color w:val="auto"/>
        </w:rPr>
      </w:pPr>
    </w:p>
    <w:p>
      <w:pPr>
        <w:ind w:right="8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67"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competitive bidding process involves risk and significant costs to businesses operating in this environment, including:</w:t>
      </w:r>
    </w:p>
    <w:p>
      <w:pPr>
        <w:spacing w:after="0" w:line="117" w:lineRule="exact"/>
        <w:rPr>
          <w:sz w:val="20"/>
          <w:szCs w:val="20"/>
          <w:color w:val="auto"/>
        </w:rPr>
      </w:pPr>
    </w:p>
    <w:p>
      <w:pPr>
        <w:ind w:left="640" w:right="220" w:hanging="321"/>
        <w:spacing w:after="0" w:line="266"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68"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 and managerial time and effort spent to prepare bids and proposals for contracts that may not be awarded to us;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accurately estimate the resources and costs that will be required to service any contract we are awarded;</w:t>
      </w:r>
    </w:p>
    <w:p>
      <w:pPr>
        <w:spacing w:after="0" w:line="117" w:lineRule="exact"/>
        <w:rPr>
          <w:rFonts w:ascii="Times New Roman" w:cs="Times New Roman" w:eastAsia="Times New Roman" w:hAnsi="Times New Roman"/>
          <w:sz w:val="18"/>
          <w:szCs w:val="18"/>
          <w:color w:val="auto"/>
        </w:rPr>
      </w:pPr>
    </w:p>
    <w:p>
      <w:pPr>
        <w:jc w:val="both"/>
        <w:ind w:left="640" w:right="40" w:hanging="321"/>
        <w:spacing w:after="0" w:line="266"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68"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opportunity cost of bidding and winning other contracts we might otherwise pursue.</w:t>
      </w:r>
    </w:p>
    <w:p>
      <w:pPr>
        <w:spacing w:after="0" w:line="117"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current competitive environment has resulted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startup and funding of the work under these contracts may cause our actual results to differ materially and adversely from those anticipated.</w:t>
      </w:r>
    </w:p>
    <w:p>
      <w:pPr>
        <w:spacing w:after="0" w:line="72" w:lineRule="exact"/>
        <w:rPr>
          <w:sz w:val="20"/>
          <w:szCs w:val="20"/>
          <w:color w:val="auto"/>
        </w:rPr>
      </w:pPr>
    </w:p>
    <w:p>
      <w:pPr>
        <w:ind w:right="1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majority of our revenue is derived from task orders under indefinite delivery/indefinite quantity, or ID/IQ, contract vehicles where we perform in either a prime or subcontract position.</w:t>
      </w:r>
    </w:p>
    <w:p>
      <w:pPr>
        <w:spacing w:after="0" w:line="5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believe that one of the key elements of our success is our position as the holder of over 3,300 active task orders under ID/IQ contract vehicles of March 31, 2016, Our ability to maintain our existing business and win new business depends on our ability to maintain our prime and subcontractor positions on these contracts. The loss, without replacement, of certain of these contract vehicles could have a material adverse effect on our ability to win new business and our operating results. In addition,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796" w:right="259" w:bottom="1440" w:gutter="0" w:footer="0" w:header="0"/>
        </w:sectPr>
      </w:pPr>
    </w:p>
    <w:bookmarkStart w:id="21" w:name="page22"/>
    <w:bookmarkEnd w:id="21"/>
    <w:p>
      <w:pPr>
        <w:ind w:right="360"/>
        <w:spacing w:after="0" w:line="282" w:lineRule="auto"/>
        <w:rPr>
          <w:sz w:val="20"/>
          <w:szCs w:val="20"/>
          <w:color w:val="auto"/>
        </w:rPr>
      </w:pPr>
      <w:r>
        <w:rPr>
          <w:rFonts w:ascii="Times New Roman" w:cs="Times New Roman" w:eastAsia="Times New Roman" w:hAnsi="Times New Roman"/>
          <w:sz w:val="18"/>
          <w:szCs w:val="18"/>
          <w:color w:val="auto"/>
        </w:rPr>
        <w:t>if the U.S. government elects to use a contract vehicle that we do not hold, we will not be able to compete for work under that contract vehicle as a prime contractor.</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earn less revenue than projected, or no revenue, under certain of our contracts.</w:t>
      </w:r>
    </w:p>
    <w:p>
      <w:pPr>
        <w:spacing w:after="0" w:line="121"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Many of our contracts with our clients are ID/IQ contracts. 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A failure to be awarded task orders under such contracts would have a material adverse effect on our results of operations and financial condition.</w:t>
      </w:r>
    </w:p>
    <w:p>
      <w:pPr>
        <w:spacing w:after="0" w:line="77" w:lineRule="exact"/>
        <w:rPr>
          <w:sz w:val="20"/>
          <w:szCs w:val="20"/>
          <w:color w:val="auto"/>
        </w:rPr>
      </w:pPr>
    </w:p>
    <w:p>
      <w:pPr>
        <w:ind w:right="3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51"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We enter into three general types of U.S. government contracts for our services: cost-reimbursable, time-and-materials, and fixed-price. For fiscal 2016, we derived 51% of our revenue from cost-reimbursable contracts, 26% from time-and-materials contracts and 23% from fixed-price contracts.</w:t>
      </w:r>
    </w:p>
    <w:p>
      <w:pPr>
        <w:spacing w:after="0" w:line="54"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5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increasing focus by the U.S. government on the extent to which government contractors, including us, are able to receive reimbursement for employee compensation, including recent rules under the Bipartisan Budget Act of 2013 that substantially decreased the level of allowable compensation cost for executive-level employees and further applied the newly reduced limitation to all employees. In addition, there is an increased risk of compensation being deemed unallowable or payments being withheld as a result of U.S. government audit, review or investigation.</w:t>
      </w:r>
    </w:p>
    <w:p>
      <w:pPr>
        <w:spacing w:after="0" w:line="80"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54" w:lineRule="exact"/>
        <w:rPr>
          <w:sz w:val="20"/>
          <w:szCs w:val="20"/>
          <w:color w:val="auto"/>
        </w:rPr>
      </w:pPr>
    </w:p>
    <w:p>
      <w:pPr>
        <w:ind w:right="300" w:firstLine="432"/>
        <w:spacing w:after="0" w:line="258" w:lineRule="auto"/>
        <w:rPr>
          <w:sz w:val="20"/>
          <w:szCs w:val="20"/>
          <w:color w:val="auto"/>
        </w:rPr>
      </w:pPr>
      <w:r>
        <w:rPr>
          <w:rFonts w:ascii="Times New Roman" w:cs="Times New Roman" w:eastAsia="Times New Roman" w:hAnsi="Times New Roman"/>
          <w:sz w:val="18"/>
          <w:szCs w:val="18"/>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7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Additionally, our profits could be adversely affected if our costs under any of these contracts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have recorded provisions in our consolidated financial statements for losses on our contracts, as required under U.S. Generally Accepted Accounting Principles, or GAAP, but our contract loss provisions may not be adequate to cover all actual losses that we may incur in the future.</w:t>
      </w:r>
    </w:p>
    <w:p>
      <w:pPr>
        <w:spacing w:after="0" w:line="76" w:lineRule="exact"/>
        <w:rPr>
          <w:sz w:val="20"/>
          <w:szCs w:val="20"/>
          <w:color w:val="auto"/>
        </w:rPr>
      </w:pPr>
    </w:p>
    <w:p>
      <w:pPr>
        <w:ind w:right="1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professional reputation is critical to our business, and any harm to our reputation could decrease the amount of business the U.S. government does with us, which could have a material adverse effect on our future revenue and growth prospects.</w:t>
      </w:r>
    </w:p>
    <w:p>
      <w:pPr>
        <w:spacing w:after="0" w:line="5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Negative press reports regarding poor contract performance, employee misconduct, information security breaches, or other aspects of our business, or regarding government contractors generally, could harm our reputation. In addition, to the extent our performance under a contract does not meet a U.S. government agency’s expectations, the client might seek to terminate the contract prior to its scheduled expiration date, provide a negative assessment of our</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796" w:right="259" w:bottom="1440" w:gutter="0" w:footer="0" w:header="0"/>
        </w:sectPr>
      </w:pPr>
    </w:p>
    <w:bookmarkStart w:id="22" w:name="page23"/>
    <w:bookmarkEnd w:id="22"/>
    <w:p>
      <w:pPr>
        <w:ind w:right="140"/>
        <w:spacing w:after="0" w:line="261" w:lineRule="auto"/>
        <w:rPr>
          <w:sz w:val="20"/>
          <w:szCs w:val="20"/>
          <w:color w:val="auto"/>
        </w:rPr>
      </w:pPr>
      <w:r>
        <w:rPr>
          <w:rFonts w:ascii="Times New Roman" w:cs="Times New Roman" w:eastAsia="Times New Roman" w:hAnsi="Times New Roman"/>
          <w:sz w:val="18"/>
          <w:szCs w:val="18"/>
          <w:color w:val="auto"/>
        </w:rPr>
        <w:t>performance to government-maintained contractor past-performance data repositories, fail to award us additional business under existing contracts or otherwise, and direct future business to our competitors. If our reputation with these agencies is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68" w:lineRule="exact"/>
        <w:rPr>
          <w:sz w:val="20"/>
          <w:szCs w:val="20"/>
          <w:color w:val="auto"/>
        </w:rPr>
      </w:pPr>
    </w:p>
    <w:p>
      <w:pPr>
        <w:ind w:right="5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in recognizing revenue and if we make changes to estimates used in recognizing revenue, our profitability may be adversely affected.</w:t>
      </w:r>
    </w:p>
    <w:p>
      <w:pPr>
        <w:spacing w:after="0" w:line="51"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cost-reimbursable-plus-award-fee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80"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full value of our backlog, which may result in lower than expected revenue.</w:t>
      </w:r>
    </w:p>
    <w:p>
      <w:pPr>
        <w:spacing w:after="0" w:line="121" w:lineRule="exact"/>
        <w:rPr>
          <w:sz w:val="20"/>
          <w:szCs w:val="20"/>
          <w:color w:val="auto"/>
        </w:rPr>
      </w:pPr>
    </w:p>
    <w:p>
      <w:pPr>
        <w:ind w:right="72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2016, our total backlog was $11.8 billion, of which $2.7 billion was funded. We define backlog to include the following three components:</w:t>
      </w:r>
    </w:p>
    <w:p>
      <w:pPr>
        <w:spacing w:after="0" w:line="52" w:lineRule="exact"/>
        <w:rPr>
          <w:sz w:val="20"/>
          <w:szCs w:val="20"/>
          <w:color w:val="auto"/>
        </w:rPr>
      </w:pPr>
    </w:p>
    <w:p>
      <w:pPr>
        <w:ind w:left="640" w:right="260" w:hanging="321"/>
        <w:spacing w:after="0" w:line="284"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 appropriated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authorized, less revenue previously recognized on these contracts.</w:t>
      </w:r>
    </w:p>
    <w:p>
      <w:pPr>
        <w:spacing w:after="0" w:line="50" w:lineRule="exact"/>
        <w:rPr>
          <w:rFonts w:ascii="Times New Roman" w:cs="Times New Roman" w:eastAsia="Times New Roman" w:hAnsi="Times New Roman"/>
          <w:sz w:val="18"/>
          <w:szCs w:val="18"/>
          <w:color w:val="auto"/>
        </w:rPr>
      </w:pPr>
    </w:p>
    <w:p>
      <w:pPr>
        <w:ind w:left="640" w:right="300" w:hanging="321"/>
        <w:spacing w:after="0" w:line="284"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for services under existing contracts for which funding has not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appropriated or otherwise authorized.</w:t>
      </w:r>
    </w:p>
    <w:p>
      <w:pPr>
        <w:spacing w:after="0" w:line="50" w:lineRule="exact"/>
        <w:rPr>
          <w:rFonts w:ascii="Times New Roman" w:cs="Times New Roman" w:eastAsia="Times New Roman" w:hAnsi="Times New Roman"/>
          <w:sz w:val="18"/>
          <w:szCs w:val="18"/>
          <w:color w:val="auto"/>
        </w:rPr>
      </w:pPr>
    </w:p>
    <w:p>
      <w:pPr>
        <w:ind w:left="640" w:hanging="321"/>
        <w:spacing w:after="0" w:line="284"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at our clients’ option and for which funding has not been appropriated or otherwise authorized.</w:t>
      </w:r>
    </w:p>
    <w:p>
      <w:pPr>
        <w:spacing w:after="0" w:line="52"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Backlog does not include any task orders under ID/IQ contracts, including GWACs and GSA schedules, except to the extent that task orders have been awarded to us under those contracts.</w:t>
      </w:r>
    </w:p>
    <w:p>
      <w:pPr>
        <w:spacing w:after="0" w:line="5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historically have not realized all of the revenue included in our total backlog, and we may not realize all of the revenue included in our total backlog in the future. There is a somewhat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U.S. government spending and/or the automatic federal defense spending cuts required by sequestration; in the case of funded backlog, the period of performance for the contract has expired; in the case of unfunded backlog, funding may not be available; or, in the case of priced options, our clients may not exercise their options. In addition, consulting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Furthermore, even if our backlog results in revenue, the contracts may not be profitable.</w:t>
      </w:r>
    </w:p>
    <w:p>
      <w:pPr>
        <w:spacing w:after="0" w:line="77" w:lineRule="exact"/>
        <w:rPr>
          <w:sz w:val="20"/>
          <w:szCs w:val="20"/>
          <w:color w:val="auto"/>
        </w:rPr>
      </w:pPr>
    </w:p>
    <w:p>
      <w:pPr>
        <w:ind w:right="4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attract, train and retain skilled and qualified employees, which may impair our ability to generate revenue, effectively serve our clients, and execute our growth strategy.</w:t>
      </w:r>
    </w:p>
    <w:p>
      <w:pPr>
        <w:spacing w:after="0" w:line="51" w:lineRule="exact"/>
        <w:rPr>
          <w:sz w:val="20"/>
          <w:szCs w:val="20"/>
          <w:color w:val="auto"/>
        </w:rPr>
      </w:pPr>
    </w:p>
    <w:p>
      <w:pPr>
        <w:ind w:right="420" w:firstLine="432"/>
        <w:spacing w:after="0" w:line="261" w:lineRule="auto"/>
        <w:rPr>
          <w:sz w:val="20"/>
          <w:szCs w:val="20"/>
          <w:color w:val="auto"/>
        </w:rPr>
      </w:pPr>
      <w:r>
        <w:rPr>
          <w:rFonts w:ascii="Times New Roman" w:cs="Times New Roman" w:eastAsia="Times New Roman" w:hAnsi="Times New Roman"/>
          <w:sz w:val="18"/>
          <w:szCs w:val="18"/>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w:t>
      </w:r>
    </w:p>
    <w:p>
      <w:pPr>
        <w:ind w:right="60"/>
        <w:spacing w:after="0" w:line="261" w:lineRule="auto"/>
        <w:rPr>
          <w:sz w:val="20"/>
          <w:szCs w:val="20"/>
          <w:color w:val="auto"/>
        </w:rPr>
      </w:pPr>
      <w:r>
        <w:rPr>
          <w:rFonts w:ascii="Times New Roman" w:cs="Times New Roman" w:eastAsia="Times New Roman" w:hAnsi="Times New Roman"/>
          <w:sz w:val="18"/>
          <w:szCs w:val="18"/>
          <w:color w:val="auto"/>
        </w:rPr>
        <w:t>U.S. government contractors, the U.S. government, and private industry, and such competition is intense. Personnel with the requisite skills, qualifications, or security clearance may be in short supply 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96" w:right="239" w:bottom="1440" w:gutter="0" w:footer="0" w:header="0"/>
        </w:sectPr>
      </w:pPr>
    </w:p>
    <w:bookmarkStart w:id="23" w:name="page24"/>
    <w:bookmarkEnd w:id="23"/>
    <w:p>
      <w:pPr>
        <w:ind w:right="120"/>
        <w:spacing w:after="0" w:line="255" w:lineRule="auto"/>
        <w:rPr>
          <w:sz w:val="20"/>
          <w:szCs w:val="20"/>
          <w:color w:val="auto"/>
        </w:rPr>
      </w:pPr>
      <w:r>
        <w:rPr>
          <w:rFonts w:ascii="Times New Roman" w:cs="Times New Roman" w:eastAsia="Times New Roman" w:hAnsi="Times New Roman"/>
          <w:sz w:val="18"/>
          <w:szCs w:val="18"/>
          <w:color w:val="auto"/>
        </w:rPr>
        <w:t>generally unavailable.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If we are unable to recruit and retain a sufficient number of qualified employees, or fail to deploy such employees or obtain their appropriate security clearances in a timely manner,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81"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obtain and maintain necessary security clearances which may adversely affect our ability to perform on certain contracts.</w:t>
      </w:r>
    </w:p>
    <w:p>
      <w:pPr>
        <w:spacing w:after="0" w:line="12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Many U.S. government programs require contractor employees and facilities to have security clearances. Depending on the level of required clearance, security clearances can be difficult and time-consuming to obtain. If we or our employees are unable to obtain or retain necessary security clearances,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could suffer if we are not able to timely and effectively utilize our employees or manage our cost structure.</w:t>
      </w:r>
    </w:p>
    <w:p>
      <w:pPr>
        <w:spacing w:after="0" w:line="121"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54" w:lineRule="exact"/>
        <w:rPr>
          <w:sz w:val="20"/>
          <w:szCs w:val="20"/>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transition employees from completed projects to new assignments and to hire, assimilate, and deploy new employees;</w:t>
      </w:r>
    </w:p>
    <w:p>
      <w:pPr>
        <w:spacing w:after="0" w:line="117" w:lineRule="exact"/>
        <w:rPr>
          <w:rFonts w:ascii="Times New Roman" w:cs="Times New Roman" w:eastAsia="Times New Roman" w:hAnsi="Times New Roman"/>
          <w:sz w:val="18"/>
          <w:szCs w:val="18"/>
          <w:color w:val="auto"/>
        </w:rPr>
      </w:pPr>
    </w:p>
    <w:p>
      <w:pPr>
        <w:ind w:left="640" w:hanging="321"/>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demand for our services and to maintain and deploy headcount that is aligned with demand, including employees with the right mix of skills and experience to support our projects;</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inability to obtain or retain necessary security clearances;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attrition; and</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devote time and resources to training, business development, and other non-chargeable activities.</w:t>
      </w:r>
    </w:p>
    <w:p>
      <w:pPr>
        <w:spacing w:after="0" w:line="117"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5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 and achieve efficiencies, our competitiveness and profitability may be adversely affected.</w:t>
      </w:r>
    </w:p>
    <w:p>
      <w:pPr>
        <w:spacing w:after="0" w:line="64" w:lineRule="exact"/>
        <w:rPr>
          <w:sz w:val="20"/>
          <w:szCs w:val="20"/>
          <w:color w:val="auto"/>
        </w:rPr>
      </w:pPr>
    </w:p>
    <w:p>
      <w:pPr>
        <w:ind w:right="7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one or more members of our senior management team or fail to develop new leaders, which could cause the disruption of the management of our business.</w:t>
      </w:r>
    </w:p>
    <w:p>
      <w:pPr>
        <w:spacing w:after="0" w:line="51"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have employment agreements with only our four most senior executives. The loss of any member of our senior management or our failure to continue to develop new members could impair our ability to identify and secure new contracts, to maintain good client relations, and to otherwise manage our business.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796" w:right="259" w:bottom="1440" w:gutter="0" w:footer="0" w:header="0"/>
        </w:sectPr>
      </w:pPr>
    </w:p>
    <w:bookmarkStart w:id="24" w:name="page25"/>
    <w:bookmarkEnd w:id="24"/>
    <w:p>
      <w:pPr>
        <w:ind w:right="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subcontractors may engage in misconduct or other improper activities, which could harm our ability to conduct business with the U.S. government.</w:t>
      </w:r>
    </w:p>
    <w:p>
      <w:pPr>
        <w:spacing w:after="0" w:line="5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are exposed to the risk that employee or subcontractor fraud or other misconduct could occur. Misconduct by employees or subcontractors could include intentional or unintentional failures to comply with U.S. government procurement regulations, engaging in other unauthorized activities, or falsifying time records. Employee or subcontractor misconduct could also involve the improper use of our clients’ sensitive or classified information, or the inadvertent or intentional disclosure of our or our clients' sensitive information in violation of our contractual, statutory, or regulatory obligations.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many competitors, which could cause us to lose business, lower prices and suffer employee departures.</w:t>
      </w:r>
    </w:p>
    <w:p>
      <w:pPr>
        <w:spacing w:after="0" w:line="121"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There is also a significant industry trend towards consolidation, which may result in the emergence of companies that are better able to compete against us. Some of these companies possess greater financial resources and larger technical staffs, and others have smaller and more specialized staffs. These competitors could, among other things:</w:t>
      </w:r>
    </w:p>
    <w:p>
      <w:pPr>
        <w:spacing w:after="0" w:line="76" w:lineRule="exact"/>
        <w:rPr>
          <w:sz w:val="20"/>
          <w:szCs w:val="20"/>
          <w:color w:val="auto"/>
        </w:rPr>
      </w:pPr>
    </w:p>
    <w:p>
      <w:pPr>
        <w:ind w:left="640" w:right="600" w:hanging="321"/>
        <w:spacing w:after="0" w:line="282"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sales from us by winning very large-scale government contracts, a risk that is enhanced by the recent trend in government procurement practices to bundle services into larger contracts;</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us to charge lower prices in order to win or maintain contracts;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hire our employees; or</w:t>
      </w:r>
    </w:p>
    <w:p>
      <w:pPr>
        <w:spacing w:after="0" w:line="117" w:lineRule="exact"/>
        <w:rPr>
          <w:rFonts w:ascii="Times New Roman" w:cs="Times New Roman" w:eastAsia="Times New Roman" w:hAnsi="Times New Roman"/>
          <w:sz w:val="18"/>
          <w:szCs w:val="18"/>
          <w:color w:val="auto"/>
        </w:rPr>
      </w:pPr>
    </w:p>
    <w:p>
      <w:pPr>
        <w:ind w:left="640" w:right="100" w:hanging="321"/>
        <w:spacing w:after="0" w:line="282"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relationships with current clients, including our ability to continue to win competitively awarded engagements where we are the incumbent.</w:t>
      </w:r>
    </w:p>
    <w:p>
      <w:pPr>
        <w:spacing w:after="0" w:line="5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one or more of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68" w:lineRule="exact"/>
        <w:rPr>
          <w:sz w:val="20"/>
          <w:szCs w:val="20"/>
          <w:color w:val="auto"/>
        </w:rPr>
      </w:pPr>
    </w:p>
    <w:p>
      <w:pPr>
        <w:ind w:right="3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maintain strong relationships with other contractors, or the failure of contractors with which we have entered into a sub- or prime contractor relationship to meet their obligations to us or our clients, could have a material adverse effect on our business and results of operations.</w:t>
      </w:r>
    </w:p>
    <w:p>
      <w:pPr>
        <w:spacing w:after="0" w:line="51"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80"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792" w:right="239" w:bottom="1440" w:gutter="0" w:footer="0" w:header="0"/>
        </w:sectPr>
      </w:pPr>
    </w:p>
    <w:bookmarkStart w:id="25" w:name="page26"/>
    <w:bookmarkEnd w:id="25"/>
    <w:p>
      <w:pPr>
        <w:ind w:firstLine="405"/>
        <w:spacing w:after="0" w:line="255" w:lineRule="auto"/>
        <w:rPr>
          <w:sz w:val="20"/>
          <w:szCs w:val="20"/>
          <w:color w:val="auto"/>
        </w:rPr>
      </w:pPr>
      <w:r>
        <w:rPr>
          <w:rFonts w:ascii="Times New Roman" w:cs="Times New Roman" w:eastAsia="Times New Roman" w:hAnsi="Times New Roman"/>
          <w:sz w:val="18"/>
          <w:szCs w:val="18"/>
          <w:color w:val="auto"/>
        </w:rPr>
        <w:t>We estimate that revenue derived from contracts under which we acted as a subcontractor to other companies represented 10% of our revenue for fiscal 2016. 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 to collect payments owed to us by the prime contractor, even if we have performed our obligations under the contract, as a result of, among other things, the prime contractor’s inability to fulfill the contact.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73" w:lineRule="exact"/>
        <w:rPr>
          <w:sz w:val="20"/>
          <w:szCs w:val="20"/>
          <w:color w:val="auto"/>
        </w:rPr>
      </w:pPr>
    </w:p>
    <w:p>
      <w:pPr>
        <w:ind w:right="64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judgments or settlements in legal disputes could result in materially adverse monetary damages or injunctive relief and damage our reputation.</w:t>
      </w:r>
    </w:p>
    <w:p>
      <w:pPr>
        <w:spacing w:after="0" w:line="51"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We are subject to, and may become a party to, a variety of litigation or other claims and suits that arise from time to time in the ordinary course of our business. For example, over time, we have had disputes with current and former employees involving alleged violations of civil rights, wage and hour, and worker’s compensation laws. Further, as more fully described under “Item 3. Legal Proceedings,” six former officers and stockholders who had departed the firm prior to the Acquisition have filed a total of nine suits in various jurisdictions against our company and certain of our current and former directors and officers. Each of the suits arises out of the Acquisition and alleges that the former stockholders are entitled to certain payments that they would have received if they had held their stock at the time of Acquisition. Three of these suits have been dismissed with all appeals exhausted. Two suits were settled on April 16, 2015. The four remaining suits have been dismissed but are on appeal. The results of litigation and other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claims described under the “Item 3. Legal Proceedings” are subject to future developments and management’s view of these matters may change in the future.</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significant risk exposures and potential liabilities that may not be adequately covered by indemnity or insurance.</w:t>
      </w:r>
    </w:p>
    <w:p>
      <w:pPr>
        <w:spacing w:after="0" w:line="121"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A significant portion of our business relates to designing, developing, and manufacturing advanced defense and technology systems and products, including cybersecurity products and services. New technologies may be untested or unproven. We maintain insurance policies that mitigate against risk and potential liabilities related to our operations. This insurance is maintained in amounts that we believe are reasonable. However, our insurance coverage may not be adequate to cover those claims or liabilities, and we may be forced to bear significant costs from an accident or incident.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or liquidity.</w:t>
      </w:r>
    </w:p>
    <w:p>
      <w:pPr>
        <w:spacing w:after="0" w:line="77" w:lineRule="exact"/>
        <w:rPr>
          <w:sz w:val="20"/>
          <w:szCs w:val="20"/>
          <w:color w:val="auto"/>
        </w:rPr>
      </w:pPr>
    </w:p>
    <w:p>
      <w:pPr>
        <w:ind w:right="2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5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The cyber and security threats that our clients face have grown more frequent and sophisticated. A security breach in one of these systems could cause serious harm to our business, damage our reputation, and prevent us from being eligible for further work on sensitive systems for</w:t>
      </w:r>
    </w:p>
    <w:p>
      <w:pPr>
        <w:spacing w:after="0" w:line="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U.S. government or commercial clients. Work for non-U.S. 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results of operations.</w:t>
      </w:r>
    </w:p>
    <w:p>
      <w:pPr>
        <w:spacing w:after="0" w:line="74"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services we provide and technologies we develop are designed to detect and monitor threats to our clients and may require our staff to travel to locations where their physical safety may be at risk.</w:t>
      </w:r>
    </w:p>
    <w:p>
      <w:pPr>
        <w:spacing w:after="0" w:line="51"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help our clients detect, monitor and mitigate threats to their people, information and facilities. These threats may originate from nation states, terrorist or criminal actors, activist hackers or others who seek to harm our clients. Successful attacks on our clients may cause reputational harm to us and our clients, as well as liability to our clients or third parties. In addition, if we are associated with our clients in this regard, our staff, information and facilities may be targeted by a similar group of threat actors and may be at risk for loss, or physical or reputational harm.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796" w:right="259" w:bottom="1440" w:gutter="0" w:footer="0" w:header="0"/>
        </w:sectPr>
      </w:pPr>
    </w:p>
    <w:bookmarkStart w:id="26" w:name="page27"/>
    <w:bookmarkEnd w:id="26"/>
    <w:p>
      <w:pPr>
        <w:ind w:right="6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Internal system or service failures, or those of our vendors,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67"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are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or other sensitive information. As a result, we and our vendors face a heightened risk of a security breach or disruption with respect to sensitive information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and damage to our reputation. In addition, the failure or disruption of our systems, communications, venors, or utilities could cause us to interrupt or suspend our operations, which could have a material adverse effect on our business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expose us or our clients to liability.</w:t>
      </w:r>
    </w:p>
    <w:p>
      <w:pPr>
        <w:spacing w:after="0" w:line="88"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54" w:lineRule="exact"/>
        <w:rPr>
          <w:sz w:val="20"/>
          <w:szCs w:val="20"/>
          <w:color w:val="auto"/>
        </w:rPr>
      </w:pPr>
    </w:p>
    <w:p>
      <w:pPr>
        <w:ind w:left="640" w:hanging="321"/>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revenue due to adverse client reaction;</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provide additional services to a client at no charge;</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related to monitoring and increasing our cybersecurity;</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revenue due to the deployment of internal staff for remediation efforts instead of client assignments;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negative publicity, which could damage our reputation and adversely affect our ability to attract or retain clients;</w:t>
      </w:r>
    </w:p>
    <w:p>
      <w:pPr>
        <w:spacing w:after="0" w:line="117" w:lineRule="exact"/>
        <w:rPr>
          <w:rFonts w:ascii="Times New Roman" w:cs="Times New Roman" w:eastAsia="Times New Roman" w:hAnsi="Times New Roman"/>
          <w:sz w:val="18"/>
          <w:szCs w:val="18"/>
          <w:color w:val="auto"/>
        </w:rPr>
      </w:pPr>
    </w:p>
    <w:p>
      <w:pPr>
        <w:ind w:left="640" w:right="800" w:hanging="321"/>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successfully market services that are reliant on the creation and maintaining of secure information technology systems to U.S. government, international, and commercial clients;</w:t>
      </w:r>
    </w:p>
    <w:p>
      <w:pPr>
        <w:spacing w:after="0" w:line="53" w:lineRule="exact"/>
        <w:rPr>
          <w:rFonts w:ascii="Times New Roman" w:cs="Times New Roman" w:eastAsia="Times New Roman" w:hAnsi="Times New Roman"/>
          <w:sz w:val="18"/>
          <w:szCs w:val="18"/>
          <w:color w:val="auto"/>
        </w:rPr>
      </w:pPr>
    </w:p>
    <w:p>
      <w:pPr>
        <w:ind w:left="640" w:right="300" w:hanging="321"/>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 claims by clients or impacted third parties for substantial damages, particularly as a result of any successful network or systems breach and exfiltration of client and/or third party information; or</w:t>
      </w:r>
    </w:p>
    <w:p>
      <w:pPr>
        <w:spacing w:after="0" w:line="53" w:lineRule="exact"/>
        <w:rPr>
          <w:rFonts w:ascii="Times New Roman" w:cs="Times New Roman" w:eastAsia="Times New Roman" w:hAnsi="Times New Roman"/>
          <w:sz w:val="18"/>
          <w:szCs w:val="18"/>
          <w:color w:val="auto"/>
        </w:rPr>
      </w:pPr>
    </w:p>
    <w:p>
      <w:pPr>
        <w:ind w:left="640" w:right="40" w:hanging="321"/>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costs, including fines from goverment regulators related to complying with applicable federal or state law, including laws pertaining to the security and protection of personal information.</w:t>
      </w:r>
    </w:p>
    <w:p>
      <w:pPr>
        <w:spacing w:after="0" w:line="54"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54"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Our errors and omissions insurance coverage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Failure to adequately protect, maintain, or enforce our rights in our intellectual property may adversely limit our competitive position.</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92" w:right="239" w:bottom="1440" w:gutter="0" w:footer="0" w:header="0"/>
        </w:sectPr>
      </w:pPr>
    </w:p>
    <w:bookmarkStart w:id="27" w:name="page28"/>
    <w:bookmarkEnd w:id="27"/>
    <w:p>
      <w:pPr>
        <w:ind w:right="60"/>
        <w:spacing w:after="0" w:line="258" w:lineRule="auto"/>
        <w:rPr>
          <w:sz w:val="20"/>
          <w:szCs w:val="20"/>
          <w:color w:val="auto"/>
        </w:rPr>
      </w:pPr>
      <w:r>
        <w:rPr>
          <w:rFonts w:ascii="Times New Roman" w:cs="Times New Roman" w:eastAsia="Times New Roman" w:hAnsi="Times New Roman"/>
          <w:sz w:val="18"/>
          <w:szCs w:val="18"/>
          <w:color w:val="auto"/>
        </w:rPr>
        <w:t>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72" w:lineRule="exact"/>
        <w:rPr>
          <w:sz w:val="20"/>
          <w:szCs w:val="20"/>
          <w:color w:val="auto"/>
        </w:rPr>
      </w:pPr>
    </w:p>
    <w:p>
      <w:pPr>
        <w:ind w:right="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spacing w:after="0" w:line="51"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7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68" w:lineRule="exact"/>
        <w:rPr>
          <w:sz w:val="20"/>
          <w:szCs w:val="20"/>
          <w:color w:val="auto"/>
        </w:rPr>
      </w:pPr>
    </w:p>
    <w:p>
      <w:pPr>
        <w:ind w:right="2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5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are focused on growing our presence in our addressable markets by: expanding our relationships with existing clients, developing new clients by leveraging our core competencies, further developing our existing capabilities and service offerings, and creating new capabilities and service offerings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financial condition.</w:t>
      </w:r>
    </w:p>
    <w:p>
      <w:pPr>
        <w:spacing w:after="0" w:line="8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In addition, our ability to grow our business by leveraging our operating model to efficiently and effectively deploy our people across our client base is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and results of operations.</w:t>
      </w:r>
    </w:p>
    <w:p>
      <w:pPr>
        <w:spacing w:after="0" w:line="7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addition, 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operating internationally.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business operations are subject to a variety of risks associated with conducting business internationally, including:</w:t>
      </w:r>
    </w:p>
    <w:p>
      <w:pPr>
        <w:spacing w:after="0" w:line="117" w:lineRule="exact"/>
        <w:rPr>
          <w:sz w:val="20"/>
          <w:szCs w:val="20"/>
          <w:color w:val="auto"/>
        </w:rPr>
      </w:pPr>
    </w:p>
    <w:p>
      <w:pPr>
        <w:ind w:left="5620" w:right="2420" w:hanging="4653"/>
        <w:spacing w:after="0" w:line="564" w:lineRule="auto"/>
        <w:tabs>
          <w:tab w:leader="none" w:pos="12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interpretations of laws or policies that may adversely affect the performance of our services; 25</w:t>
      </w:r>
    </w:p>
    <w:p>
      <w:pPr>
        <w:sectPr>
          <w:pgSz w:w="11900" w:h="16838" w:orient="portrait"/>
          <w:cols w:equalWidth="0" w:num="1">
            <w:col w:w="11400"/>
          </w:cols>
          <w:pgMar w:left="240" w:top="796" w:right="259" w:bottom="1440" w:gutter="0" w:footer="0" w:header="0"/>
        </w:sectPr>
      </w:pPr>
    </w:p>
    <w:bookmarkStart w:id="28" w:name="page29"/>
    <w:bookmarkEnd w:id="28"/>
    <w:p>
      <w:pPr>
        <w:ind w:left="1300" w:hanging="333"/>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in foreign countries;</w:t>
      </w:r>
    </w:p>
    <w:p>
      <w:pPr>
        <w:spacing w:after="0" w:line="117" w:lineRule="exact"/>
        <w:rPr>
          <w:rFonts w:ascii="Times New Roman" w:cs="Times New Roman" w:eastAsia="Times New Roman" w:hAnsi="Times New Roman"/>
          <w:sz w:val="18"/>
          <w:szCs w:val="18"/>
          <w:color w:val="auto"/>
        </w:rPr>
      </w:pPr>
    </w:p>
    <w:p>
      <w:pPr>
        <w:ind w:left="1300" w:hanging="333"/>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inconsistent or contradictory laws or regulations;</w:t>
      </w:r>
    </w:p>
    <w:p>
      <w:pPr>
        <w:spacing w:after="0" w:line="117" w:lineRule="exact"/>
        <w:rPr>
          <w:rFonts w:ascii="Times New Roman" w:cs="Times New Roman" w:eastAsia="Times New Roman" w:hAnsi="Times New Roman"/>
          <w:sz w:val="18"/>
          <w:szCs w:val="18"/>
          <w:color w:val="auto"/>
        </w:rPr>
      </w:pPr>
    </w:p>
    <w:p>
      <w:pPr>
        <w:ind w:left="1300" w:right="660" w:hanging="333"/>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U.S. or other governments to authorize us to export products, technology, and services to clients and other business partners;</w:t>
      </w:r>
    </w:p>
    <w:p>
      <w:pPr>
        <w:spacing w:after="0" w:line="53" w:lineRule="exact"/>
        <w:rPr>
          <w:rFonts w:ascii="Times New Roman" w:cs="Times New Roman" w:eastAsia="Times New Roman" w:hAnsi="Times New Roman"/>
          <w:sz w:val="18"/>
          <w:szCs w:val="18"/>
          <w:color w:val="auto"/>
        </w:rPr>
      </w:pPr>
    </w:p>
    <w:p>
      <w:pPr>
        <w:ind w:left="1300" w:hanging="333"/>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in places where laws, business practices, and customs are unfamiliar or unknown, and;</w:t>
      </w:r>
    </w:p>
    <w:p>
      <w:pPr>
        <w:spacing w:after="0" w:line="117" w:lineRule="exact"/>
        <w:rPr>
          <w:rFonts w:ascii="Times New Roman" w:cs="Times New Roman" w:eastAsia="Times New Roman" w:hAnsi="Times New Roman"/>
          <w:sz w:val="18"/>
          <w:szCs w:val="18"/>
          <w:color w:val="auto"/>
        </w:rPr>
      </w:pPr>
    </w:p>
    <w:p>
      <w:pPr>
        <w:ind w:left="1300" w:hanging="333"/>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limitations on or increase of withholding and other taxes on payments by foreign subsidiaries or joint ventures.</w:t>
      </w:r>
    </w:p>
    <w:p>
      <w:pPr>
        <w:spacing w:after="0" w:line="117"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In addition, we are subject to the U.S. Foreign Corrupt Practices Act, or the FCPA, and other laws that prohibit improper payments or offers of payments to foreign governments and their officials and political parties by business entities for the purpose of obtaining or retaining business. We have operations and deal with governmental clients in countries known to experience corruption, including certain emerging countries in the Middle East and Southeast Asia. Our activities in these countries create the risk of unauthorized payments or offers of payments by one of our employees, consultants or contractors that could be in violation of various laws including the FCPA and other anti-corruption laws, even though these parties are not always subject to our control. Our international operations also involve activities involving the transmittal of information, which may include personal data, that may expose us to data privacy laws in the jurisdictions in which we operate. If our data protection practices become subject to new or different restrictions, and to the extent such practices are not compliant with the laws of the countries in which we process data, we could face increased compliance expenses and face penalties for violating such laws or be excluded from those markets altogether, in which case our operations could be adversely affected.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85" w:lineRule="exact"/>
        <w:rPr>
          <w:sz w:val="20"/>
          <w:szCs w:val="20"/>
          <w:color w:val="auto"/>
        </w:rPr>
      </w:pPr>
    </w:p>
    <w:p>
      <w:pPr>
        <w:ind w:right="420" w:firstLine="432"/>
        <w:spacing w:after="0" w:line="261" w:lineRule="auto"/>
        <w:rPr>
          <w:sz w:val="20"/>
          <w:szCs w:val="20"/>
          <w:color w:val="auto"/>
        </w:rPr>
      </w:pPr>
      <w:r>
        <w:rPr>
          <w:rFonts w:ascii="Times New Roman" w:cs="Times New Roman" w:eastAsia="Times New Roman" w:hAnsi="Times New Roman"/>
          <w:sz w:val="18"/>
          <w:szCs w:val="18"/>
          <w:color w:val="auto"/>
        </w:rPr>
        <w:t>If we were to fail to comply with the FCPA, other anti-corruption laws, applicable import-export control regulations, data privacy laws, or other applicable rules and regulations, we could be subject to substantial civil and criminal penalties, including fines for our company and incarceration for responsible employees and managers, suspension or debarment, and the possible loss of export or import privileges which could have a material adverse effect on our business and results of operations.</w:t>
      </w:r>
    </w:p>
    <w:p>
      <w:pPr>
        <w:spacing w:after="0" w:line="68"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51" w:lineRule="exact"/>
        <w:rPr>
          <w:sz w:val="20"/>
          <w:szCs w:val="20"/>
          <w:color w:val="auto"/>
        </w:rPr>
      </w:pPr>
    </w:p>
    <w:p>
      <w:pPr>
        <w:jc w:val="both"/>
        <w:ind w:right="280" w:firstLine="432"/>
        <w:spacing w:after="0" w:line="261" w:lineRule="auto"/>
        <w:rPr>
          <w:sz w:val="20"/>
          <w:szCs w:val="20"/>
          <w:color w:val="auto"/>
        </w:rPr>
      </w:pPr>
      <w:r>
        <w:rPr>
          <w:rFonts w:ascii="Times New Roman" w:cs="Times New Roman" w:eastAsia="Times New Roman" w:hAnsi="Times New Roman"/>
          <w:sz w:val="18"/>
          <w:szCs w:val="18"/>
          <w:color w:val="auto"/>
        </w:rPr>
        <w:t>We routinely review our operating structure, capabilities and strategy to determine whether we are effectively meeting the needs of existing clients, effectively responding to developments in our markets and successfully building platforms intended to provide the foundation for the future growth of our business. The outcome of any such review is difficult to predict and the extent of changes to our business following such a review, if any, are dependent in part upon the nature and extent of the review.</w:t>
      </w:r>
    </w:p>
    <w:p>
      <w:pPr>
        <w:spacing w:after="0" w:line="72"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implementation of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64" w:lineRule="exact"/>
        <w:rPr>
          <w:sz w:val="20"/>
          <w:szCs w:val="20"/>
          <w:color w:val="auto"/>
        </w:rPr>
      </w:pPr>
    </w:p>
    <w:p>
      <w:pPr>
        <w:ind w:right="1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may incur debt in the future, which could substantially reduce our profitability, limit our ability to pursue certain business opportunities, and reduce the value of your investment.</w:t>
      </w:r>
    </w:p>
    <w:p>
      <w:pPr>
        <w:spacing w:after="0" w:line="51"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As of March 31, 2016, we had approximately $1.6 billion of debt outstanding. The instruments governing our indebtedness may not prevent us or our subsidiaries from incurring additional debt in the future or other obligations that do not constitute indebtedness, which could increase the risks described below and lead to other risks. In addition, with the closing of our refinancing on May 7, 2014, we may increase the borrowing capacity under our senior secured credit agreement without the consent of any person other than the institutions agreeing to provide all or any portion of such increase, to an amount which would not cause our net consolidated secured leverage ratio to exceed 3.50:1.00, subject to certain closing conditions including pro forma compliance with financial covenants. The amount of our debt or such other obligations could have important consequences, including, but not limited to:</w:t>
      </w:r>
    </w:p>
    <w:p>
      <w:pPr>
        <w:spacing w:after="0" w:line="80" w:lineRule="exact"/>
        <w:rPr>
          <w:sz w:val="20"/>
          <w:szCs w:val="20"/>
          <w:color w:val="auto"/>
        </w:rPr>
      </w:pPr>
    </w:p>
    <w:p>
      <w:pPr>
        <w:ind w:left="640" w:hanging="3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obligations to lenders may be impaired, resulting in possible defaults on and acceleration of our indebtedness;</w:t>
      </w:r>
    </w:p>
    <w:p>
      <w:pPr>
        <w:spacing w:after="0" w:line="117" w:lineRule="exact"/>
        <w:rPr>
          <w:rFonts w:ascii="Times New Roman" w:cs="Times New Roman" w:eastAsia="Times New Roman" w:hAnsi="Times New Roman"/>
          <w:sz w:val="18"/>
          <w:szCs w:val="18"/>
          <w:color w:val="auto"/>
        </w:rPr>
      </w:pPr>
    </w:p>
    <w:p>
      <w:pPr>
        <w:ind w:left="640" w:right="700" w:hanging="321"/>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refinancing of existing indebtedness, working capital, capital expenditures, product and service development, acquisitions, general corporate purposes, and other purposes may be impaired;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796" w:right="259" w:bottom="1440" w:gutter="0" w:footer="0" w:header="0"/>
        </w:sectPr>
      </w:pPr>
    </w:p>
    <w:bookmarkStart w:id="29" w:name="page30"/>
    <w:bookmarkEnd w:id="29"/>
    <w:p>
      <w:pPr>
        <w:ind w:left="640" w:hanging="321"/>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 from operations could be dedicated to the payment of the principal and interest on our debt;</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increasingly vulnerable to economic downturns and increases in interest rates;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and reacting to changes in our business and the industry may be limited; and</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placed at a competitive disadvantage relative to other firms in our industry.</w:t>
      </w:r>
    </w:p>
    <w:p>
      <w:pPr>
        <w:spacing w:after="0" w:line="113" w:lineRule="exact"/>
        <w:rPr>
          <w:sz w:val="20"/>
          <w:szCs w:val="20"/>
          <w:color w:val="auto"/>
        </w:rPr>
      </w:pPr>
    </w:p>
    <w:p>
      <w:pPr>
        <w:jc w:val="both"/>
        <w:ind w:right="4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secured credit agreement contains financial and operating covenants that limit our operations and could lead to adverse consequences if we fail to comply with them.</w:t>
      </w:r>
    </w:p>
    <w:p>
      <w:pPr>
        <w:spacing w:after="0" w:line="51" w:lineRule="exact"/>
        <w:rPr>
          <w:sz w:val="20"/>
          <w:szCs w:val="20"/>
          <w:color w:val="auto"/>
        </w:rPr>
      </w:pPr>
    </w:p>
    <w:p>
      <w:pPr>
        <w:jc w:val="both"/>
        <w:ind w:right="40" w:firstLine="432"/>
        <w:spacing w:after="0" w:line="257" w:lineRule="auto"/>
        <w:rPr>
          <w:sz w:val="20"/>
          <w:szCs w:val="20"/>
          <w:color w:val="auto"/>
        </w:rPr>
      </w:pPr>
      <w:r>
        <w:rPr>
          <w:rFonts w:ascii="Times New Roman" w:cs="Times New Roman" w:eastAsia="Times New Roman" w:hAnsi="Times New Roman"/>
          <w:sz w:val="18"/>
          <w:szCs w:val="18"/>
          <w:color w:val="auto"/>
        </w:rPr>
        <w:t>Our senior secured credit agreement contains financial and operating covenants relating to, among other things, interest coverage and leverage ratios, as well as limitations on mergers, consolidations and dissolutions, sales of assets, investments and acquisitions, indebtedness and liens, dividends, repurchase of shares of capital stock and options to purchase shares of capital stock, transactions with affiliates, sale and leaseback transactions, and restricted payments.</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revolving credit facility matures on May 31, 2019. The Term Loan A and Term Loan B facilities mature on May 31, 2019 and July 31, 2019, respectively. Failure to meet these financial and operating covenants could result from, among other things, changes in our results of operations, the incurrence of debt, or changes in general economic conditions, which may be beyond our control. These covenants may restrict our ability to engage in transactions that we believe would otherwise be in the best interests of our stockholders, which could harm our business and operations.</w:t>
      </w:r>
    </w:p>
    <w:p>
      <w:pPr>
        <w:spacing w:after="0" w:line="74" w:lineRule="exact"/>
        <w:rPr>
          <w:sz w:val="20"/>
          <w:szCs w:val="20"/>
          <w:color w:val="auto"/>
        </w:rPr>
      </w:pPr>
    </w:p>
    <w:p>
      <w:pPr>
        <w:ind w:right="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contracts with the U.S. government are classified or subject to other security restrictions, which may limit investor insight into portions of our business.</w:t>
      </w:r>
    </w:p>
    <w:p>
      <w:pPr>
        <w:spacing w:after="0" w:line="51"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For fiscal 2016, we derived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76" w:lineRule="exact"/>
        <w:rPr>
          <w:sz w:val="20"/>
          <w:szCs w:val="20"/>
          <w:color w:val="auto"/>
        </w:rPr>
      </w:pPr>
    </w:p>
    <w:p>
      <w:pPr>
        <w:ind w:right="1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51"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We depend on the timely collection of our receivables to generate cash flow, provide working capital, and continue our business operations. If the U.S. government or any prime contractor for whom we are a subcontractor fails to pay or delays the payment of invoices for any reason, our business and financial condition may be materially and adversely affected. The U.S. government may delay or fail to pay invoices for a number of reasons, including lack of appropriated funds, lack of an approved budget,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76" w:lineRule="exact"/>
        <w:rPr>
          <w:sz w:val="20"/>
          <w:szCs w:val="20"/>
          <w:color w:val="auto"/>
        </w:rPr>
      </w:pPr>
    </w:p>
    <w:p>
      <w:pPr>
        <w:ind w:right="3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efforts by the U.S. government to revise its organizational conflict of interest rules could limit our ability to successfully compete for new contracts or task orders, which would adversely affect our results of operations.</w:t>
      </w:r>
    </w:p>
    <w:p>
      <w:pPr>
        <w:spacing w:after="0" w:line="51"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Recent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68" w:lineRule="exact"/>
        <w:rPr>
          <w:sz w:val="20"/>
          <w:szCs w:val="20"/>
          <w:color w:val="auto"/>
        </w:rPr>
      </w:pPr>
    </w:p>
    <w:p>
      <w:pPr>
        <w:ind w:left="640" w:hanging="321"/>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 objectivity during performance;</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unfair access to non-public information; or</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the “ground rules” for another procurement for which the contractor competes.</w:t>
      </w:r>
    </w:p>
    <w:p>
      <w:pPr>
        <w:spacing w:after="0" w:line="11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In addition, the U.S. government is working to adopt a FAR rule to address organizational conflicts of interest issues that will apply to all government contractors, including us, in Department of Defense and other procurements. A future FAR rule may also increase the restrictions in current organizational conflicts of interest regulations and rules. To the extent that proposed and future organizational conflicts of interest laws, regulations, and rules, limit our ability to successfully compete for new contracts or task orders with the U.S. government,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96" w:right="239" w:bottom="1440" w:gutter="0" w:footer="0" w:header="0"/>
        </w:sectPr>
      </w:pPr>
    </w:p>
    <w:bookmarkStart w:id="30" w:name="page31"/>
    <w:bookmarkEnd w:id="30"/>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either because of organizational conflicts of interest issues arising from our business, or because companies with which we are affiliated, including through Carlyle, or with which we otherwise conduct business, create organizational conflicts of interest issues for us, our results of operations could be materially and adversely affected.</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Acquisitions could result in operating difficulties or other adverse consequences to our business.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part of our operating strategy, we may continue to selectively pursue acquisitions. This could pose many risks, including:</w:t>
      </w:r>
    </w:p>
    <w:p>
      <w:pPr>
        <w:spacing w:after="0" w:line="117" w:lineRule="exact"/>
        <w:rPr>
          <w:sz w:val="20"/>
          <w:szCs w:val="20"/>
          <w:color w:val="auto"/>
        </w:rPr>
      </w:pPr>
    </w:p>
    <w:p>
      <w:pPr>
        <w:ind w:left="640" w:hanging="321"/>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suitable acquisition candidates at prices we consider attractive;</w:t>
      </w:r>
    </w:p>
    <w:p>
      <w:pPr>
        <w:spacing w:after="0" w:line="117" w:lineRule="exact"/>
        <w:rPr>
          <w:rFonts w:ascii="Times New Roman" w:cs="Times New Roman" w:eastAsia="Times New Roman" w:hAnsi="Times New Roman"/>
          <w:sz w:val="18"/>
          <w:szCs w:val="18"/>
          <w:color w:val="auto"/>
        </w:rPr>
      </w:pPr>
    </w:p>
    <w:p>
      <w:pPr>
        <w:ind w:left="640" w:right="40" w:hanging="321"/>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for identified acquisition candidates, complete acquisitions, or accurately estimate the financial effect of acquisitions on our business;</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require us to issue common stock or spend significant cash, resulting in dilution of ownership or additional debt leverage;</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retaining an acquired company’s key employees or clients;</w:t>
      </w:r>
    </w:p>
    <w:p>
      <w:pPr>
        <w:spacing w:after="0" w:line="117" w:lineRule="exact"/>
        <w:rPr>
          <w:rFonts w:ascii="Times New Roman" w:cs="Times New Roman" w:eastAsia="Times New Roman" w:hAnsi="Times New Roman"/>
          <w:sz w:val="18"/>
          <w:szCs w:val="18"/>
          <w:color w:val="auto"/>
        </w:rPr>
      </w:pPr>
    </w:p>
    <w:p>
      <w:pPr>
        <w:ind w:left="640" w:right="840" w:hanging="321"/>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acquired businesses, resulting in unforeseen difficulties, such as incompatible accounting, information management, or other control systems, and greater expenses than expected;</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may disrupt our business or distract our management from other responsibilities;</w:t>
      </w:r>
    </w:p>
    <w:p>
      <w:pPr>
        <w:spacing w:after="0" w:line="117" w:lineRule="exact"/>
        <w:rPr>
          <w:rFonts w:ascii="Times New Roman" w:cs="Times New Roman" w:eastAsia="Times New Roman" w:hAnsi="Times New Roman"/>
          <w:sz w:val="18"/>
          <w:szCs w:val="18"/>
          <w:color w:val="auto"/>
        </w:rPr>
      </w:pPr>
    </w:p>
    <w:p>
      <w:pPr>
        <w:ind w:left="640" w:hanging="321"/>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 acquisition, we may incur additional debt and we may need to record write-downs from future impairments of intangible assets, each of which could reduce our future reported earnings; and</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personnel from the acquired company with our people and our core values.</w:t>
      </w:r>
    </w:p>
    <w:p>
      <w:pPr>
        <w:spacing w:after="0" w:line="11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any acquisition that we make, there may be liabilities that we fail to discover or that we inadequately assess, and we may fail to discover any failure of a target company to have fulfilled its contractual obligations to the U.S. government or other clients. Acquired entities may not operate profitably or result in improved operating performance. Additionally, we may not realize anticipated synergies, business growth opportunities, cost savings, and other benefits we anticipate, which could have a material adverse effect on our business and results of operations.</w:t>
      </w:r>
    </w:p>
    <w:p>
      <w:pPr>
        <w:spacing w:after="0" w:line="68" w:lineRule="exact"/>
        <w:rPr>
          <w:sz w:val="20"/>
          <w:szCs w:val="20"/>
          <w:color w:val="auto"/>
        </w:rPr>
      </w:pPr>
    </w:p>
    <w:p>
      <w:pPr>
        <w:ind w:right="2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represents a significant asset on our balance sheet, and changes in future business conditions could cause these investments to become impaired, requiring substantial write-downs that would reduce our operating income.</w:t>
      </w:r>
    </w:p>
    <w:p>
      <w:pPr>
        <w:spacing w:after="0" w:line="5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As of March 31, 2016, the value of our goodwill was $1.4 billion. The amount of our recorded goodwill may substantially increase in the future as a result of any acquisitions that we make. We evaluate the recoverability of recorded goodwill amounts annually, or when evidence of potential impairment exists. Impairment analysis is based on several factors requiring judgment and the use of estimates, which are inherently uncertain and based on assumptions that may prove to be inaccurate. Additionally, material changes in our financial outlook, as well as events outside of our control, such as deteriorating market conditions for companies in our industry, may indicate a potential impairment. When there is an impairment, we are required to write down the recorded amount of goodwill, which is reflected as charge against operating income. Such non-cash impairment charges could have a material adverse effect on our results of operations in the period in which they are recognized.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17" w:lineRule="exact"/>
        <w:rPr>
          <w:sz w:val="20"/>
          <w:szCs w:val="20"/>
          <w:color w:val="auto"/>
        </w:rPr>
      </w:pPr>
    </w:p>
    <w:p>
      <w:pPr>
        <w:ind w:right="20" w:firstLine="405"/>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spacing w:after="0" w:line="28"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U.S. government contracts contain provisions and are subject to laws and regulations that provide government clients with rights and remedies not typically found in commercial contracts. These rights and remedies allow government clients, among other things, to:</w:t>
      </w:r>
    </w:p>
    <w:p>
      <w:pPr>
        <w:spacing w:after="0" w:line="54" w:lineRule="exact"/>
        <w:rPr>
          <w:sz w:val="20"/>
          <w:szCs w:val="20"/>
          <w:color w:val="auto"/>
        </w:rPr>
      </w:pPr>
    </w:p>
    <w:p>
      <w:pPr>
        <w:ind w:left="640" w:hanging="321"/>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 with short notice, for convenience as well as for default;</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orders under or otherwise modify contracts;</w:t>
      </w:r>
    </w:p>
    <w:p>
      <w:pPr>
        <w:spacing w:after="0" w:line="117" w:lineRule="exact"/>
        <w:rPr>
          <w:rFonts w:ascii="Times New Roman" w:cs="Times New Roman" w:eastAsia="Times New Roman" w:hAnsi="Times New Roman"/>
          <w:sz w:val="18"/>
          <w:szCs w:val="18"/>
          <w:color w:val="auto"/>
        </w:rPr>
      </w:pPr>
    </w:p>
    <w:p>
      <w:pPr>
        <w:ind w:left="640" w:right="120" w:hanging="321"/>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contracts subject to the Truth in Negotiations Act, reduce the contract price or cost where it was increased because a contractor or subcontractor furnished cost or pricing data during negotiations that was not complete, accurate, and current;</w:t>
      </w:r>
    </w:p>
    <w:p>
      <w:pPr>
        <w:spacing w:after="0" w:line="53" w:lineRule="exact"/>
        <w:rPr>
          <w:rFonts w:ascii="Times New Roman" w:cs="Times New Roman" w:eastAsia="Times New Roman" w:hAnsi="Times New Roman"/>
          <w:sz w:val="18"/>
          <w:szCs w:val="18"/>
          <w:color w:val="auto"/>
        </w:rPr>
      </w:pPr>
    </w:p>
    <w:p>
      <w:pPr>
        <w:ind w:left="640" w:right="200" w:hanging="321"/>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some contracts, (i) demand a refund, make a forward price adjustment, or terminate a contract for default if a contractor provided inaccurate or incomplete data during the contract negotiation process and (ii) reduce the contract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796" w:right="279"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8"/>
          <w:szCs w:val="18"/>
          <w:color w:val="auto"/>
        </w:rPr>
        <w:t>price under certain triggering circumstances, including the revision of price lists or other documents upon which the contract award was predicated;</w:t>
      </w:r>
    </w:p>
    <w:p>
      <w:pPr>
        <w:spacing w:after="0" w:line="131" w:lineRule="exact"/>
        <w:rPr>
          <w:sz w:val="20"/>
          <w:szCs w:val="20"/>
          <w:color w:val="auto"/>
        </w:rPr>
      </w:pPr>
    </w:p>
    <w:p>
      <w:pPr>
        <w:ind w:left="640" w:hanging="321"/>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facility security clearances and thereby prevent us from receiving classified contracts;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multi-year contracts and related orders if funds for contract performance for any subsequent year become unavailable;</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exercise an option to renew a multi-year contract or issue task orders in connection with ID/IQ contracts;</w:t>
      </w:r>
    </w:p>
    <w:p>
      <w:pPr>
        <w:spacing w:after="0" w:line="117" w:lineRule="exact"/>
        <w:rPr>
          <w:rFonts w:ascii="Times New Roman" w:cs="Times New Roman" w:eastAsia="Times New Roman" w:hAnsi="Times New Roman"/>
          <w:sz w:val="18"/>
          <w:szCs w:val="18"/>
          <w:color w:val="auto"/>
        </w:rPr>
      </w:pPr>
    </w:p>
    <w:p>
      <w:pPr>
        <w:ind w:left="640" w:right="20" w:hanging="321"/>
        <w:spacing w:after="0" w:line="266"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68" w:lineRule="exact"/>
        <w:rPr>
          <w:rFonts w:ascii="Times New Roman" w:cs="Times New Roman" w:eastAsia="Times New Roman" w:hAnsi="Times New Roman"/>
          <w:sz w:val="18"/>
          <w:szCs w:val="18"/>
          <w:color w:val="auto"/>
        </w:rPr>
      </w:pPr>
    </w:p>
    <w:p>
      <w:pPr>
        <w:ind w:left="640" w:right="340" w:hanging="321"/>
        <w:spacing w:after="0" w:line="266"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68" w:lineRule="exact"/>
        <w:rPr>
          <w:rFonts w:ascii="Times New Roman" w:cs="Times New Roman" w:eastAsia="Times New Roman" w:hAnsi="Times New Roman"/>
          <w:sz w:val="18"/>
          <w:szCs w:val="18"/>
          <w:color w:val="auto"/>
        </w:rPr>
      </w:pPr>
    </w:p>
    <w:p>
      <w:pPr>
        <w:ind w:left="640" w:right="20" w:hanging="321"/>
        <w:spacing w:after="0" w:line="266"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68"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debar us from doing business with the U.S. government; and</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or prohibit the export of our services.</w:t>
      </w:r>
    </w:p>
    <w:p>
      <w:pPr>
        <w:spacing w:after="0" w:line="117"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U.S. government may revise its procurement, contract or other practices in a manner adverse to us.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U.S. government may:</w:t>
      </w:r>
    </w:p>
    <w:p>
      <w:pPr>
        <w:spacing w:after="0" w:line="117" w:lineRule="exact"/>
        <w:rPr>
          <w:sz w:val="20"/>
          <w:szCs w:val="20"/>
          <w:color w:val="auto"/>
        </w:rPr>
      </w:pPr>
    </w:p>
    <w:p>
      <w:pPr>
        <w:ind w:left="640" w:right="360" w:hanging="321"/>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its procurement practices or adopt new contract laws, rules, and regulations, such as cost accounting standards, organizational conflicts of interest, and other rules governing inherently governmental functions at any time;</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delay, or cancel procurement programs resulting from U.S. government efforts to improve procurement practices and efficiency;</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creation of new government-wide or agency-specific multiple award contracts;</w:t>
      </w:r>
    </w:p>
    <w:p>
      <w:pPr>
        <w:spacing w:after="0" w:line="117" w:lineRule="exact"/>
        <w:rPr>
          <w:rFonts w:ascii="Times New Roman" w:cs="Times New Roman" w:eastAsia="Times New Roman" w:hAnsi="Times New Roman"/>
          <w:sz w:val="18"/>
          <w:szCs w:val="18"/>
          <w:color w:val="auto"/>
        </w:rPr>
      </w:pPr>
    </w:p>
    <w:p>
      <w:pPr>
        <w:ind w:left="640" w:right="280" w:hanging="321"/>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restrictions or pressure from government employees and their unions regarding the amount of services the U.S. government may obtain from private contractors;</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contracts on a technically acceptable/lowest cost basis in order to reduce expenditures, and we may not be the lowest cost provider of services;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new socio-economic requirements, including setting aside procurement opportunities to small, disadvantaged businesses;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basis upon which it reimburses our compensation and other expenses or otherwise limit such reimbursements; and</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option, terminate or decline to renew our contracts.</w:t>
      </w:r>
    </w:p>
    <w:p>
      <w:pPr>
        <w:spacing w:after="0" w:line="11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72"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As part of its cost-cutting initiative, the Department of Defense has issued guidance regarding changes to the procurement process that is intended to control cost growth throughout the acquisition cycle by developing a competitive strategy for each program. Because this initiative may significantly change the way the U.S. government solicits, negotiates,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823" w:right="259" w:bottom="1440" w:gutter="0" w:footer="0" w:header="0"/>
        </w:sectPr>
      </w:pPr>
    </w:p>
    <w:bookmarkStart w:id="32" w:name="page33"/>
    <w:bookmarkEnd w:id="32"/>
    <w:p>
      <w:pPr>
        <w:ind w:right="120"/>
        <w:spacing w:after="0" w:line="282" w:lineRule="auto"/>
        <w:rPr>
          <w:sz w:val="20"/>
          <w:szCs w:val="20"/>
          <w:color w:val="auto"/>
        </w:rPr>
      </w:pPr>
      <w:r>
        <w:rPr>
          <w:rFonts w:ascii="Times New Roman" w:cs="Times New Roman" w:eastAsia="Times New Roman" w:hAnsi="Times New Roman"/>
          <w:sz w:val="18"/>
          <w:szCs w:val="18"/>
          <w:color w:val="auto"/>
        </w:rPr>
        <w:t>and manages its contracts, it could result in an increase in competitive pressure and decreased profitability on contracts and have a material adverse effect on our results of operations.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U.S. government may prefer minority-owned, small and small disadvantaged businesses; therefore, we may have fewer opportunities to bid for.</w:t>
      </w:r>
    </w:p>
    <w:p>
      <w:pPr>
        <w:spacing w:after="0" w:line="121"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contracts, performance, and administrative processes and systems are subject to audits, reviews, investigations, and cost adjustments by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which could reduce our revenue, disrupt our business, or otherwise materially adversely affect our results of operation.</w:t>
      </w:r>
    </w:p>
    <w:p>
      <w:pPr>
        <w:spacing w:after="0" w:line="99"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8"/>
          <w:szCs w:val="18"/>
          <w:color w:val="auto"/>
        </w:rPr>
        <w:t>U.S. government agencies routinely audit, review, and investigate government contracts and government contractors’ administrative processes and systems. These agencies review our performance on contracts, pricing practices, cost structure, and compliance with applicable laws, regulations and standards, including applicable government cost accounting standards. These agencies also review our compliance with government regulations and policies, and the DCAA audits, among other areas, the adequacy of our internal control systems and policies, including our purchasing, property, estimating, earned value and accounting systems. These internal control systems could focus on significant elements of costs, such as executive compensation. Determination of a significant internal control deficiency by a government agency could result in increased payment withholding that might materially increase our accounts receivable days sales outstanding and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Recent legislation and regulations implementing new limitations on the amount of allowable executive compensation costs contribute to increased regulatory scrutiny of the allowability of employee compensation costs, which can lead to greater amounts of employee compensation cost being disallowed.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reserves established by management based on estimates and assumptions that are inherently uncertain. Moreover, if any of the administrative processes and business systems, some of which are currently certified as effective, are found not to comply with government imposed requirements, we may be subjected to increased government scrutiny and approval that could delay or otherwise adversely affect our ability to compete for or perform contracts or to be paid timely. Unfavorable U.S. government audit, review, or investigation results could subject us to civil or criminal penalties or administrative sanctions, and could harm our reputation and relationships with our clients and impair our ability to be awarded new contracts, which could affect our future sales and profitability by preventing us, by operation of law or in practice, from receiving new government contracts for some period of time. In addition, if our invoicing system were found to be inadequate following an audit by the DCAA, our ability to directly invoice U.S. government payment offices could be eliminated. As a result, we would be required to submit each invoice to the DCAA for approval prior to payment, which could materially increase our accounts receivable days sales outstanding and adversely affect our cash flow. In addition, proposed regulatory changes, if adopted, would require the Department of Defense’s contracting officers to impose contractual withholdings at no less than certain minimum levels based on assessments of a contractor’s business systems. An unfavorable outcome to an audit, review, or investigation by any U.S. government agency could materially and adversely affect our relationship with the U.S. government. If a government investigation uncovers improper or illegal activities, we may be subject to civil and criminal penalties and administrative sanctions, including termination of contracts, forfeitures of profits, withholding of payments, suspension of payments, fines, and suspension or debarment from doing business with the U.S. government. In addition, we could suffer serious reputational harm if allegations of impropriety were made against us. Provisions that we have recorded in our financial statements as a compliance reserve may not cover actual losses.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91" w:lineRule="exact"/>
        <w:rPr>
          <w:sz w:val="20"/>
          <w:szCs w:val="20"/>
          <w:color w:val="auto"/>
        </w:rPr>
      </w:pPr>
    </w:p>
    <w:p>
      <w:pPr>
        <w:ind w:right="1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96" w:right="239" w:bottom="1440" w:gutter="0" w:footer="0" w:header="0"/>
        </w:sectPr>
      </w:pPr>
    </w:p>
    <w:bookmarkStart w:id="33" w:name="page34"/>
    <w:bookmarkEnd w:id="33"/>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On an annual basis, the U.S. Congress must approve budgets that govern spending by each of the federal agencies we support. When the U.S. Congress is unable to agree on budget priorities, and thus is unable to pass the annual budget on a timely basis, the U.S. Congress typically enacts a continuing resolution. A continuing resolution allows government agencies to operate at spending levels approved in the previous budget cycle. Under a continuing resolution, funding may not be available for new projects. In addition, when government agencies operate on the basis of a continuing resolution, they may delay funding we expect to receive on contracts we are already performing. Any such delays would likely result in new business initiatives being delayed or canceled and a reduction in our backlog, and could have a material adverse effect on our revenue and operating results. In addition, a failure to complete the budget process and fund government operations pursuant to a continuing resolution may result in a federal government shutdown (such as that which occurred during government fiscal year 2014). A shutdown may result in us incurring substantial costs without reimbursement under our contracts and the delay or cancellation of key programs, which could have a material adverse effect on our revenue and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14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5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Further, our senior secured credit agreement significantly restricts the ability of our subsidiaries to pay dividends or otherwise transfer assets to us. In addition, Delaware law may impose requirements that may restrict our ability to pay dividends to holders of our common stock.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 could exert significant influence over our company.</w:t>
      </w:r>
    </w:p>
    <w:p>
      <w:pPr>
        <w:spacing w:after="0" w:line="121"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2016, Carlyle, through Coinvest, owned shares of our Class A Common Stock representing approximately 20% of our outstanding voting power.</w:t>
      </w:r>
    </w:p>
    <w:p>
      <w:pPr>
        <w:spacing w:after="0" w:line="5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Coinvest is a party to the amended and restated stockholders agreement pursuant to which Carlyle has the right to nominate two members of our board of directors. The number of directors that Carlyle is entitled to nominate will be</w:t>
      </w:r>
    </w:p>
    <w:p>
      <w:pPr>
        <w:ind w:right="20"/>
        <w:spacing w:after="0" w:line="252" w:lineRule="auto"/>
        <w:rPr>
          <w:sz w:val="20"/>
          <w:szCs w:val="20"/>
          <w:color w:val="auto"/>
        </w:rPr>
      </w:pPr>
      <w:r>
        <w:rPr>
          <w:rFonts w:ascii="Times New Roman" w:cs="Times New Roman" w:eastAsia="Times New Roman" w:hAnsi="Times New Roman"/>
          <w:sz w:val="18"/>
          <w:szCs w:val="18"/>
          <w:color w:val="auto"/>
        </w:rPr>
        <w:t>reduced to one director at such time as Carlyle holds less than 15%, but at least 5%, of our outstanding Class A Common Stock. Carlyle is in the business of making investments in companies, and may from time to time in the future acquire controlling interests in businesses engaged in management and technology consulting that complement or directly or indirectly compete with certain portions of our business. If Carlyle pursues such acquisitions in our industry, those acquisition opportunities may not be available to us. In addition, to the extent that Carlyle acquires a controlling interest in one or more companies that provide services or products to the U.S. government, our affiliation with any such company through Carlyle could create organizational conflicts of interest and similar issues for us under federal procurement laws and regulations. See “— Risks Related to Our Business — Recent efforts by the U.S. government to revise its organizational conflicts of interest rules could limit our ability to successfully compete for new contracts or task orders, which would adversely affect our results of operations.”</w:t>
      </w:r>
    </w:p>
    <w:p>
      <w:pPr>
        <w:spacing w:after="0" w:line="76" w:lineRule="exact"/>
        <w:rPr>
          <w:sz w:val="20"/>
          <w:szCs w:val="20"/>
          <w:color w:val="auto"/>
        </w:rPr>
      </w:pPr>
    </w:p>
    <w:p>
      <w:pPr>
        <w:ind w:right="2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51" w:lineRule="exact"/>
        <w:rPr>
          <w:sz w:val="20"/>
          <w:szCs w:val="20"/>
          <w:color w:val="auto"/>
        </w:rPr>
      </w:pPr>
    </w:p>
    <w:p>
      <w:pPr>
        <w:ind w:right="400" w:firstLine="432"/>
        <w:spacing w:after="0" w:line="266" w:lineRule="auto"/>
        <w:rPr>
          <w:sz w:val="20"/>
          <w:szCs w:val="20"/>
          <w:color w:val="auto"/>
        </w:rPr>
      </w:pPr>
      <w:r>
        <w:rPr>
          <w:rFonts w:ascii="Times New Roman" w:cs="Times New Roman" w:eastAsia="Times New Roman" w:hAnsi="Times New Roman"/>
          <w:sz w:val="18"/>
          <w:szCs w:val="18"/>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spacing w:after="0" w:line="68" w:lineRule="exact"/>
        <w:rPr>
          <w:sz w:val="20"/>
          <w:szCs w:val="20"/>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cause of reduction or delay in U.S. government funding;</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revenue earned on existing contracts;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completion, or termination of contracts during a particular period;</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decline in our overall profit margins if our other direct costs and subcontract revenue grow at a faster rate than labor-related revenue;</w:t>
      </w:r>
    </w:p>
    <w:p>
      <w:pPr>
        <w:spacing w:after="0" w:line="117" w:lineRule="exact"/>
        <w:rPr>
          <w:rFonts w:ascii="Times New Roman" w:cs="Times New Roman" w:eastAsia="Times New Roman" w:hAnsi="Times New Roman"/>
          <w:sz w:val="18"/>
          <w:szCs w:val="18"/>
          <w:color w:val="auto"/>
        </w:rPr>
      </w:pPr>
    </w:p>
    <w:p>
      <w:pPr>
        <w:ind w:left="640" w:right="40" w:hanging="321"/>
        <w:spacing w:after="0" w:line="282"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changes to business strategy, strategic investments, acquisitions, divestitures, spin offs, and joint ventures;</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contract mix to less profitable contracts;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policy or budgetary measures that adversely affect U.S. government contracts in general;</w:t>
      </w:r>
    </w:p>
    <w:p>
      <w:pPr>
        <w:spacing w:after="0" w:line="117" w:lineRule="exact"/>
        <w:rPr>
          <w:rFonts w:ascii="Times New Roman" w:cs="Times New Roman" w:eastAsia="Times New Roman" w:hAnsi="Times New Roman"/>
          <w:sz w:val="18"/>
          <w:szCs w:val="18"/>
          <w:color w:val="auto"/>
        </w:rPr>
      </w:pPr>
    </w:p>
    <w:p>
      <w:pPr>
        <w:ind w:left="640" w:right="80" w:hanging="321"/>
        <w:spacing w:after="0" w:line="282"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purchasing patterns under U.S. government GSA schedules, blanket purchase agreements, which are agreements that fulfill repetitive needs under GSA schedules, and ID/IQ contracts;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796" w:right="259" w:bottom="1440" w:gutter="0" w:footer="0" w:header="0"/>
        </w:sectPr>
      </w:pPr>
    </w:p>
    <w:bookmarkStart w:id="34" w:name="page35"/>
    <w:bookmarkEnd w:id="34"/>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services and solutions;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degree to which we are able to utilize our professionals;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associated with the U.S. government’s fiscal year;</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utilize existing or future tax benefits for any reason, including a change in law;</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alterations to contract requirements; and</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judgments or settlements in legal disputes.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we will pay special or regular dividends on our stock in the future.</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board of directors has authorized and declared a regular quarterly for each quarter in the last several years. The board of directors also authorized and declared a special cash dividend on May 29, 2012, July 30, 2012, October 29, 2013, January 30, 2014, and July 30, 2014. The declaration of any future dividends and the establishment of the per share amount, record dates and payment dates for any such future dividends are subject to the discretion of the board of directors taking into account future earnings, cash flows, financial requirements and other factors. There can be no assurance that the board of directors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74" w:lineRule="exact"/>
        <w:rPr>
          <w:sz w:val="20"/>
          <w:szCs w:val="20"/>
          <w:color w:val="auto"/>
        </w:rPr>
      </w:pPr>
    </w:p>
    <w:p>
      <w:pPr>
        <w:ind w:right="18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majority of our outstanding indebtedness is secured by substantially all of our consolidated assets. As a result of these security interests, such assets would only be available to satisfy claims of our general creditors or to holders of our equity securities if we were to become insolvent to the extent the value of such assets exceeded the amount of our indebtedness and other obligations. In addition, the existence of these security interests may adversely affect our financial flexibility.</w:t>
      </w:r>
    </w:p>
    <w:p>
      <w:pPr>
        <w:spacing w:after="0" w:line="73"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Indebtedness under our senior secured credit agreement is secured by a lien on substantially all of our assets. Accordingly, if an event of default were to occur under our senior secured credit agreement, the senior secured lenders under such facilities would have a prior right to our assets, to the exclusion of our general creditors in the event of our bankruptcy, insolvency, liquidation, or reorganization. In that event, our assets would first be used to repay in full all indebtedness and other obligations secured by them (including all amounts outstanding under our senior secured credit agreement),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 As of March 31, 2016, we had $1.6 billion of indebtedness outstanding under our senior secured credit agreement and had $463.2 million of capacity available for additional borrowings under the revolving portion of our senior secured credit agreement. In addition, we may, increase the borrowing capacity under our senior secured credit agreement without the consent of any person other than the institutions agreeing to provide all or any portion of such increase, to an amount not to exceed $300 million, subject to certain closing conditions including pro forma compliance with financial covenants.</w:t>
      </w:r>
    </w:p>
    <w:p>
      <w:pPr>
        <w:spacing w:after="0" w:line="79"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6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As a public company, the Sarbanes-Oxley Act of 2002 and the Dodd-Frank Wall Street Reform and Consumer Protection Act,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and accounting staff and on our financial, accounting, and information systems. We have hired additional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81"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In particular, the Sarbanes-Oxley Act of 2002 requires us to document and test the effectiveness of our internal control over financial reporting in accordance with an established internal control framework, and to report on our conclusions as to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96" w:right="239" w:bottom="1440" w:gutter="0" w:footer="0" w:header="0"/>
        </w:sectPr>
      </w:pPr>
    </w:p>
    <w:bookmarkStart w:id="35" w:name="page36"/>
    <w:bookmarkEnd w:id="35"/>
    <w:p>
      <w:pPr>
        <w:spacing w:after="0" w:line="255" w:lineRule="auto"/>
        <w:rPr>
          <w:sz w:val="20"/>
          <w:szCs w:val="20"/>
          <w:color w:val="auto"/>
        </w:rPr>
      </w:pPr>
      <w:r>
        <w:rPr>
          <w:rFonts w:ascii="Times New Roman" w:cs="Times New Roman" w:eastAsia="Times New Roman" w:hAnsi="Times New Roman"/>
          <w:sz w:val="18"/>
          <w:szCs w:val="18"/>
          <w:color w:val="auto"/>
        </w:rPr>
        <w:t>effectiveness of our internal controls. It also requires an independent registered public accounting firm to test our internal control over financial reporting and report on the effectiveness of such controls. In addition, we are required under the Securities Exchange Act of 1934, as amended, or the Exchange Act, to maintain disclosure controls and procedures and internal control over financial reporting. Any failure to maintain effective controls or implement new or improved controls, or difficulties encountered in their implementation, could harm our operating results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financial statements. This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73" w:lineRule="exact"/>
        <w:rPr>
          <w:sz w:val="20"/>
          <w:szCs w:val="20"/>
          <w:color w:val="auto"/>
        </w:rPr>
      </w:pPr>
    </w:p>
    <w:p>
      <w:pPr>
        <w:ind w:right="18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organizational documents and in the Delaware General Corporation Law may prevent takeover attempts that could be beneficial to our stockholders.</w:t>
      </w:r>
    </w:p>
    <w:p>
      <w:pPr>
        <w:spacing w:after="0" w:line="51" w:lineRule="exact"/>
        <w:rPr>
          <w:sz w:val="20"/>
          <w:szCs w:val="20"/>
          <w:color w:val="auto"/>
        </w:rPr>
      </w:pPr>
    </w:p>
    <w:p>
      <w:pPr>
        <w:jc w:val="both"/>
        <w:ind w:right="400" w:firstLine="432"/>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68" w:lineRule="exact"/>
        <w:rPr>
          <w:sz w:val="20"/>
          <w:szCs w:val="20"/>
          <w:color w:val="auto"/>
        </w:rPr>
      </w:pPr>
    </w:p>
    <w:p>
      <w:pPr>
        <w:ind w:left="640" w:hanging="3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classified Board, with staggered terms;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to the Board the sole power to set the number of directors and to fill any vacancy on the Board;</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of stockholders to remove directors;</w:t>
      </w:r>
    </w:p>
    <w:p>
      <w:pPr>
        <w:spacing w:after="0" w:line="117" w:lineRule="exact"/>
        <w:rPr>
          <w:rFonts w:ascii="Times New Roman" w:cs="Times New Roman" w:eastAsia="Times New Roman" w:hAnsi="Times New Roman"/>
          <w:sz w:val="18"/>
          <w:szCs w:val="18"/>
          <w:color w:val="auto"/>
        </w:rPr>
      </w:pPr>
    </w:p>
    <w:p>
      <w:pPr>
        <w:ind w:left="640" w:hanging="321"/>
        <w:spacing w:after="0" w:line="282"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to the Board the ability to designate and issue one or more series of preferred stock without stockholder approval, the terms of which may be determined at the sole discretion of the Board;</w:t>
      </w:r>
    </w:p>
    <w:p>
      <w:pPr>
        <w:spacing w:after="0" w:line="5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from calling special meetings of stockholders;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advance notice requirements for stockholder proposals and nominations for election to the Board at stockholder meetings;</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approval of two-thirds of stockholders to amend the bylaws; and</w:t>
      </w:r>
    </w:p>
    <w:p>
      <w:pPr>
        <w:spacing w:after="0" w:line="11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stockholders from acting by written consent.</w:t>
      </w:r>
    </w:p>
    <w:p>
      <w:pPr>
        <w:spacing w:after="0" w:line="11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imposes additional requirements regarding mergers and other business combinations. 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72"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64" w:lineRule="exact"/>
        <w:rPr>
          <w:sz w:val="20"/>
          <w:szCs w:val="20"/>
          <w:color w:val="auto"/>
        </w:rPr>
      </w:pPr>
    </w:p>
    <w:p>
      <w:pPr>
        <w:ind w:right="8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outstanding shares of our common stock into the market in the future could cause the market price of our common stock to drop significantly.</w:t>
      </w:r>
    </w:p>
    <w:p>
      <w:pPr>
        <w:spacing w:after="0" w:line="51"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As of March 31, 2016, Carlyle owned 29,660,000 shares of our Class A Common Stock, or approximately 20% of our outstanding Class A Common Stock. If Carlyle sells, or the market perceives that Carlyle intends to sell, a substantial portion of its beneficial ownership interest in us in the public market, the market price of our Class A Common Stock could decline significantly. The sales also could make it more difficult for us to sell equity or equity-related securities at a time and price that we deem appropriate.</w:t>
      </w:r>
    </w:p>
    <w:p>
      <w:pPr>
        <w:spacing w:after="0" w:line="7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 of March 31, 2016, 147,992,462 shares of our Class A Common Stock were outstanding. In addition to the shares owned by Carlyle, 4,219,924 shares of our Class A Common Stock which are held by directors, executive officers and other affiliates, are restricted securities within the meaning of Rule 144 under the Securities Act eligible for resale in the public market subject to volume, manner of sale and holding period limitations under Rule 144 under the Securities Act. In addition, 17,940,858 shares of our Class A Common Stock underlying equity awards that are either subject to the terms of our Equity Incentive Plan or reserved for future issuance under our Equity Incentive Plan, including 5,793,008 shares issuable upon the exercise of outstanding stock options at an average price of $11.82 and 769,494 shares issuable upon settlement of restricted stock units granted under our Equity Incentive Plan, are eligible for sale in the public market to the extent permitted by the provisions of various option agreements and, to the extent held by affiliates, the volume and manner of sale restrictions of Rule 144. If these additional shares are sold, or if it is perceived that they will be sold, in the public market, the price of our Class A Common Stock could decline substantially.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96" w:right="239" w:bottom="1440" w:gutter="0" w:footer="0" w:header="0"/>
        </w:sectPr>
      </w:pPr>
    </w:p>
    <w:bookmarkStart w:id="36" w:name="page37"/>
    <w:bookmarkEnd w:id="36"/>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Class A common stock may be adversely affected by the performance of other companies in the government services market.</w:t>
      </w:r>
    </w:p>
    <w:p>
      <w:pPr>
        <w:spacing w:after="0" w:line="121"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In addition to factors that may affect our financial results and operations, the price of our Class A common stock may be impacted by the financial performance and outlook of other companies in the government services market. While certain factors may affect all participants in the markets in which we operate, such as U.S. government spending conditions and changes in rules and regulations applicable to government contractors, the market for our Class A common stock may be adversely affected by financial results or negative events only affecting other market participants or financial results of such participants. While such events or results may not impact or be indicative of our current or future performance, the price of our securities may nonetheless may be adversely affected as a result thereof.</w:t>
      </w:r>
    </w:p>
    <w:p>
      <w:pPr>
        <w:spacing w:after="0" w:line="29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do not own any facilities or real estate. Our corporate headquarters is located at 8283 Greensboro Drive, McLean, Virginia 22102. We lease other operating offices and facilities throughout North America, and a limited number of overseas locations. Our principal offices outside of McLean, Virginia include: Annapolis Junction, Maryland; Rockville, Maryland; San Diego, California; Herndon, Virginia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2.45 million square feet. We believe our facilities meet our current needs.</w:t>
      </w:r>
    </w:p>
    <w:p>
      <w:pPr>
        <w:spacing w:after="0" w:line="29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$0 million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2016 and 2015, there are no material amounts accrued in the consolidated financial statements related to these proceedings.</w:t>
      </w:r>
    </w:p>
    <w:p>
      <w:pPr>
        <w:spacing w:after="0" w:line="83"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is on appeal before the United States Court of Appeals for the Ninth Circuit. The other three remaining suits that were previously consolidated on September 7, 2010 have been dismissed by the United States District Court for the Southern District of New York and are on appeal before the United States Court of Appeals for the Second Circuit. The aggregate alleged damages sought in these four remaining suits is approximately $291.7 million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792" w:right="259" w:bottom="1440" w:gutter="0" w:footer="0" w:header="0"/>
        </w:sectPr>
      </w:pPr>
    </w:p>
    <w:bookmarkStart w:id="37" w:name="page38"/>
    <w:bookmarkEnd w:id="3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about our executive officers as of the date hereof:</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00" w:type="dxa"/>
            <w:vAlign w:val="bottom"/>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rPr>
              <w:t>Age</w:t>
            </w:r>
          </w:p>
        </w:tc>
        <w:tc>
          <w:tcPr>
            <w:tcW w:w="67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5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Horacio D. Rozanski</w:t>
            </w:r>
          </w:p>
        </w:tc>
        <w:tc>
          <w:tcPr>
            <w:tcW w:w="17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48</w:t>
            </w: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Kevin L. Cook</w:t>
            </w:r>
          </w:p>
        </w:tc>
        <w:tc>
          <w:tcPr>
            <w:tcW w:w="17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61</w:t>
            </w: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Karen M. Dahut</w:t>
            </w:r>
          </w:p>
        </w:tc>
        <w:tc>
          <w:tcPr>
            <w:tcW w:w="17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52</w:t>
            </w: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Lloyd W. Howell, Jr.</w:t>
            </w:r>
          </w:p>
        </w:tc>
        <w:tc>
          <w:tcPr>
            <w:tcW w:w="17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49</w:t>
            </w: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Nancy J. Laben</w:t>
            </w:r>
          </w:p>
        </w:tc>
        <w:tc>
          <w:tcPr>
            <w:tcW w:w="17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54</w:t>
            </w: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Joseph Logue</w:t>
            </w:r>
          </w:p>
        </w:tc>
        <w:tc>
          <w:tcPr>
            <w:tcW w:w="17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51</w:t>
            </w: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Joseph W. Mahaffee</w:t>
            </w:r>
          </w:p>
        </w:tc>
        <w:tc>
          <w:tcPr>
            <w:tcW w:w="17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58</w:t>
            </w: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Executive Vice President, Chief Administrative Officer and Chief Information Security</w:t>
            </w:r>
          </w:p>
        </w:tc>
      </w:tr>
      <w:tr>
        <w:trPr>
          <w:trHeight w:val="234"/>
        </w:trPr>
        <w:tc>
          <w:tcPr>
            <w:tcW w:w="2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Officer</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John D. Mayer</w:t>
            </w:r>
          </w:p>
        </w:tc>
        <w:tc>
          <w:tcPr>
            <w:tcW w:w="17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70</w:t>
            </w: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Susan L. Penfield</w:t>
            </w:r>
          </w:p>
        </w:tc>
        <w:tc>
          <w:tcPr>
            <w:tcW w:w="17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54</w:t>
            </w: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Elizabeth M. Thompson</w:t>
            </w:r>
          </w:p>
        </w:tc>
        <w:tc>
          <w:tcPr>
            <w:tcW w:w="170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61</w:t>
            </w:r>
          </w:p>
        </w:tc>
        <w:tc>
          <w:tcPr>
            <w:tcW w:w="6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Vice President and Chief Personnel Officer</w:t>
            </w:r>
          </w:p>
        </w:tc>
      </w:tr>
    </w:tbl>
    <w:p>
      <w:pPr>
        <w:spacing w:after="0" w:line="115" w:lineRule="exact"/>
        <w:rPr>
          <w:sz w:val="20"/>
          <w:szCs w:val="20"/>
          <w:color w:val="auto"/>
        </w:rPr>
      </w:pPr>
    </w:p>
    <w:p>
      <w:pPr>
        <w:jc w:val="both"/>
        <w:ind w:firstLine="432"/>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Horacio D. Rozanski </w:t>
      </w:r>
      <w:r>
        <w:rPr>
          <w:rFonts w:ascii="Times New Roman" w:cs="Times New Roman" w:eastAsia="Times New Roman" w:hAnsi="Times New Roman"/>
          <w:sz w:val="17"/>
          <w:szCs w:val="17"/>
          <w:color w:val="auto"/>
        </w:rPr>
        <w:t>is our President and Chief Executive Officer and served as our Chief Operating Officer until January 1, 2015. Mr. Rozanski served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the Chief Strategy and Talent Officer in 2010 and, prior to that, Chief Personnel Officer of our company from 2002 through 2010. Mr. Rozanski joined our company in 1992. He serves on the boards of advisors for the Jewish Primary Day School of the Nation’s Capital and the Center for Talent Innovation.</w:t>
      </w:r>
    </w:p>
    <w:p>
      <w:pPr>
        <w:spacing w:after="0" w:line="48"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Kevin L. Cook </w:t>
      </w:r>
      <w:r>
        <w:rPr>
          <w:rFonts w:ascii="Times New Roman" w:cs="Times New Roman" w:eastAsia="Times New Roman" w:hAnsi="Times New Roman"/>
          <w:sz w:val="18"/>
          <w:szCs w:val="18"/>
          <w:color w:val="auto"/>
        </w:rPr>
        <w:t>is an Executive Vice President and our Chief Financial Officer and Treasurer. Mr. Cook has previously announced his retirement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positions of Chief Financial Officer and Treasurer effective July 1, 2016. He previously served as the company's Corporate Controller. Mr. Cook joined the company in 1986 as Manager, Project Cost Accounting. He left the company in 1996 to take on the role of Senior Vice President, Client Development for what is now JAMIS Software. Mr. Cook returned to Booz Allen in the spring of 2003 as Director, Financial Reporting Systems. In April of 2008, Mr. Cook was selected as the Corporate Controller for the company. Mr. Cook received his B.S. degree with a concentration in Accounting from Towson University in 1977, and an MBA with a concentration in Management in 1981 from the University of Baltimore. In 1982, he became a Certified Public Accountant (CPA) in the State of Maryland.</w:t>
      </w:r>
    </w:p>
    <w:p>
      <w:pPr>
        <w:spacing w:after="0" w:line="75"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Karen M. Dahut </w:t>
      </w:r>
      <w:r>
        <w:rPr>
          <w:rFonts w:ascii="Times New Roman" w:cs="Times New Roman" w:eastAsia="Times New Roman" w:hAnsi="Times New Roman"/>
          <w:sz w:val="18"/>
          <w:szCs w:val="18"/>
          <w:color w:val="auto"/>
        </w:rPr>
        <w:t>is an Executive Vice President and is the group leader for the company's Civil Commercial Group. Ms. Dahut joined our company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2002 and became a Senior Vice President in 2004. Ms. Dahut led the company's Strategic Innovations Group from 2012 to April 2016. Previously, she also led the company's Analytics business and its US Navy and Marine Corps business. She serves on the company's Employee Capital Accumulation Plan Board of Trustees. Ms. Dahut is a board member of the Northern Virginia Technology Council and serves on the board of trustees for Stone Ridge School of the Sacred Heart in Bethesda, Maryland.</w:t>
      </w:r>
    </w:p>
    <w:p>
      <w:pPr>
        <w:spacing w:after="0" w:line="72" w:lineRule="exact"/>
        <w:rPr>
          <w:sz w:val="20"/>
          <w:szCs w:val="20"/>
          <w:color w:val="auto"/>
        </w:rPr>
      </w:pPr>
    </w:p>
    <w:p>
      <w:pPr>
        <w:ind w:right="20" w:firstLine="432"/>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Lloyd W. Howell, Jr. </w:t>
      </w:r>
      <w:r>
        <w:rPr>
          <w:rFonts w:ascii="Times New Roman" w:cs="Times New Roman" w:eastAsia="Times New Roman" w:hAnsi="Times New Roman"/>
          <w:sz w:val="17"/>
          <w:szCs w:val="17"/>
          <w:color w:val="auto"/>
        </w:rPr>
        <w:t>is an Executive Vice President of our company and has been appointed to succeed Mr. Cook as our Chief Financial Officer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Treasurer effective July 1, 2016. Mr. Howell previously served as the group leader for our Civil Commercial Group. Mr. Howell joined our company in 1988, left in 1991, rejoined in 1995 and became an Executive Vice President in 2005. He served as chairman of our Ethics &amp; Compliance Committee for over seven years, until April 2014. Mr. Howell serves on the boards of directors of Integra Life Sciences (IART), Partnership for Public Service and Capital Partners for Education. Mr. Howell also serves on the board of overseers for the School of Engineering and Applied Science at the University of Pennsylvania.</w:t>
      </w:r>
    </w:p>
    <w:p>
      <w:pPr>
        <w:spacing w:after="0" w:line="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 xml:space="preserve">Nancy J. Laben </w:t>
      </w:r>
      <w:r>
        <w:rPr>
          <w:rFonts w:ascii="Times New Roman" w:cs="Times New Roman" w:eastAsia="Times New Roman" w:hAnsi="Times New Roman"/>
          <w:sz w:val="17"/>
          <w:szCs w:val="17"/>
          <w:color w:val="auto"/>
        </w:rPr>
        <w:t>is an Executive Vice President of our company and our Chief Legal Officer and Secretary. Ms. Laben joined our company in September</w:t>
      </w:r>
    </w:p>
    <w:p>
      <w:pPr>
        <w:spacing w:after="0" w:line="4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2013. Before joining our company, Ms. Laben served as General Counsel of AECOM Technology Corporation from June 2010 to August 2013, where she was responsible for all legal support. Prior to June 2010, Ms. Laben served as Deputy General Counsel at Accenture plc beginning in 1989. Prior to Accenture, Ms. Laben served in the law department at IBM Corporation.</w:t>
      </w:r>
    </w:p>
    <w:p>
      <w:pPr>
        <w:spacing w:after="0" w:line="76" w:lineRule="exact"/>
        <w:rPr>
          <w:sz w:val="20"/>
          <w:szCs w:val="20"/>
          <w:color w:val="auto"/>
        </w:rPr>
      </w:pPr>
    </w:p>
    <w:p>
      <w:pPr>
        <w:ind w:right="66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Joseph Logue </w:t>
      </w:r>
      <w:r>
        <w:rPr>
          <w:rFonts w:ascii="Times New Roman" w:cs="Times New Roman" w:eastAsia="Times New Roman" w:hAnsi="Times New Roman"/>
          <w:sz w:val="18"/>
          <w:szCs w:val="18"/>
          <w:color w:val="auto"/>
        </w:rPr>
        <w:t>is an Executive Vice President of our company and is the group leader for our Defense Intelligence Group. Mr. Logue joined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1997 and became an Executive Vice President in 2009. Previously, he led our former commercial Information Technology practice.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009" w:right="259" w:bottom="1440" w:gutter="0" w:footer="0" w:header="0"/>
        </w:sectPr>
      </w:pPr>
    </w:p>
    <w:bookmarkStart w:id="38" w:name="page39"/>
    <w:bookmarkEnd w:id="38"/>
    <w:p>
      <w:pPr>
        <w:ind w:right="6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Joseph W. Mahaffee </w:t>
      </w:r>
      <w:r>
        <w:rPr>
          <w:rFonts w:ascii="Times New Roman" w:cs="Times New Roman" w:eastAsia="Times New Roman" w:hAnsi="Times New Roman"/>
          <w:sz w:val="18"/>
          <w:szCs w:val="18"/>
          <w:color w:val="auto"/>
        </w:rPr>
        <w:t>is an Executive Vice President and our Chief Administrative Officer (CAO) and Chief Information Security Officer (CISO).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assuming his CAO and CISO roles, Mr. Mahaffee served in a variety of client/market-facing leadership roles to include Client Service Officer for our NSA account; Assurance and Resilience Capability Leader; and the Northeast Region Leader. Mr. Mahaffee has primarily focused his career serving clients in the Defense and Intelligence Community markets. Altogether, he has more than 36 years of professional experience in Cybersecurity, systems engineering, communications, information assurance, and signals intelligence. Prior to joining our company, Mr. Mahaffee was an information security engineer with the National Security Agency. He is presently serving as the company's representative to the Defense Industrial Base.</w:t>
      </w:r>
    </w:p>
    <w:p>
      <w:pPr>
        <w:spacing w:after="0" w:line="7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John D. Mayer </w:t>
      </w:r>
      <w:r>
        <w:rPr>
          <w:rFonts w:ascii="Times New Roman" w:cs="Times New Roman" w:eastAsia="Times New Roman" w:hAnsi="Times New Roman"/>
          <w:sz w:val="18"/>
          <w:szCs w:val="18"/>
          <w:color w:val="auto"/>
        </w:rPr>
        <w:t>is an Executive Vice President of our company and formerly the lead for the company's International business. Mr. Mayer joined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1997 and became an Executive Vice President in 2009. He is the former chairman of the board of directors of the Homeland Security and Defense Business Council, a member of the board of the Washington Education and Tennis Foundation, and was a former member of the Corporate Advisory Board for the Darden School of Business at the University of Virginia.</w:t>
      </w:r>
    </w:p>
    <w:p>
      <w:pPr>
        <w:spacing w:after="0" w:line="72"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Susan L. Penfield </w:t>
      </w:r>
      <w:r>
        <w:rPr>
          <w:rFonts w:ascii="Times New Roman" w:cs="Times New Roman" w:eastAsia="Times New Roman" w:hAnsi="Times New Roman"/>
          <w:sz w:val="18"/>
          <w:szCs w:val="18"/>
          <w:color w:val="auto"/>
        </w:rPr>
        <w:t>is an Executive Vice President of our company and is the group leader for our Strategic Innovation Group (SIG). Ms. Penfield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25 years of strategy, technology, marketing and solutions delivery experience. Prior to becoming the group leader for the SIG, Ms. Penfield led the company's Health business, where she drove technology and transformation initiatives across the Federal, commercial and non-profit health space. She serves on the board of directors of the Children's Inn at the National Institutes of Health and the national Chapter of the American Red Cross. Ms. Penfield is a member of the Washington Women's Forum and the National Association for Female Executives (NAFE), and was recognized by the NAFE as its 2015 Digital Trailblazer.</w:t>
      </w:r>
    </w:p>
    <w:p>
      <w:pPr>
        <w:spacing w:after="0" w:line="75" w:lineRule="exact"/>
        <w:rPr>
          <w:sz w:val="20"/>
          <w:szCs w:val="20"/>
          <w:color w:val="auto"/>
        </w:rPr>
      </w:pPr>
    </w:p>
    <w:p>
      <w:pPr>
        <w:ind w:right="20" w:firstLine="432"/>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Elizabeth M. Thompson </w:t>
      </w:r>
      <w:r>
        <w:rPr>
          <w:rFonts w:ascii="Times New Roman" w:cs="Times New Roman" w:eastAsia="Times New Roman" w:hAnsi="Times New Roman"/>
          <w:sz w:val="17"/>
          <w:szCs w:val="17"/>
          <w:color w:val="auto"/>
        </w:rPr>
        <w:t>is an Executive Vice President of our company and serves as our Chief Personnel Officer. Ms. Thompson joined our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2008. Ms. Thompson served as Vice President of Human Resources for Fannie Mae from 2000 to 2008. Ms. Thompson holds an M.S. in Human Resources and Personnel Management from American University. Ms. Thompson is also a member of the board of directors of the Thurgood Marshall College Fund.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794" w:right="23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9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Our Class A Common Stock began trading on the New York Stock Exchange on November 17, 2010. 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shares of Class B Non-Voting Common Stock and Class C Restricted Common Stock outstanding at such time. On September 30, 2015, the Company purchased, at par value, all issued and outstanding shares of Class E special voting common stock in connection with the exercise of the final tranche of rollover options during the second quarter of fiscal 2016. There is no established trading market for each of our Class B Non-Voting Common Stock, Class C Restricted Common Stock, or Class E Special Voting Common Stock. On May 10, 2016, there were 25,631 beneficial holders of our Class A Common Stock. The following table sets forth, for the periods indicated, the high and low sales price per share of our Class A Common Stock as reported by the New York Stock Exchange: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High</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2016</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70"/>
        </w:trPr>
        <w:tc>
          <w:tcPr>
            <w:tcW w:w="76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Quarter</w:t>
            </w:r>
          </w:p>
        </w:tc>
        <w:tc>
          <w:tcPr>
            <w:tcW w:w="118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23.87</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25.10</w:t>
            </w:r>
          </w:p>
        </w:tc>
      </w:tr>
      <w:tr>
        <w:trPr>
          <w:trHeight w:val="270"/>
        </w:trPr>
        <w:tc>
          <w:tcPr>
            <w:tcW w:w="76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Quarter</w:t>
            </w:r>
          </w:p>
        </w:tc>
        <w:tc>
          <w:tcPr>
            <w:tcW w:w="118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25.50</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25.03</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2015</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Quarter</w:t>
            </w:r>
          </w:p>
        </w:tc>
        <w:tc>
          <w:tcPr>
            <w:tcW w:w="118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20.84</w:t>
            </w:r>
          </w:p>
        </w:tc>
      </w:tr>
      <w:tr>
        <w:trPr>
          <w:trHeight w:val="270"/>
        </w:trPr>
        <w:tc>
          <w:tcPr>
            <w:tcW w:w="764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Quarter</w:t>
            </w:r>
          </w:p>
        </w:tc>
        <w:tc>
          <w:tcPr>
            <w:tcW w:w="118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20.65</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23.27</w:t>
            </w:r>
          </w:p>
        </w:tc>
      </w:tr>
      <w:tr>
        <w:trPr>
          <w:trHeight w:val="341"/>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Quarter</w:t>
            </w:r>
          </w:p>
        </w:tc>
        <w:tc>
          <w:tcPr>
            <w:tcW w:w="1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25.82</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right="100" w:firstLine="405"/>
        <w:spacing w:after="0" w:line="282" w:lineRule="auto"/>
        <w:rPr>
          <w:sz w:val="20"/>
          <w:szCs w:val="20"/>
          <w:color w:val="auto"/>
        </w:rPr>
      </w:pPr>
      <w:r>
        <w:rPr>
          <w:rFonts w:ascii="Times New Roman" w:cs="Times New Roman" w:eastAsia="Times New Roman" w:hAnsi="Times New Roman"/>
          <w:sz w:val="18"/>
          <w:szCs w:val="18"/>
          <w:color w:val="auto"/>
        </w:rPr>
        <w:t>On May 21, 2015, we announced a regular quarterly cash dividend in the amount of $0.13 per share. The quarterly dividend was paid on June 30, 2015 to stockholders of record on June 10, 2015.</w:t>
      </w:r>
    </w:p>
    <w:p>
      <w:pPr>
        <w:spacing w:after="0" w:line="5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On July 29, 2015, we announced a regular quarterly cash dividend in the amount of $0.13 per share. The quarterly dividend was paid on August 31, 2015 to stockholders of record on August 10, 2015.</w:t>
      </w:r>
    </w:p>
    <w:p>
      <w:pPr>
        <w:spacing w:after="0" w:line="54" w:lineRule="exact"/>
        <w:rPr>
          <w:sz w:val="20"/>
          <w:szCs w:val="20"/>
          <w:color w:val="auto"/>
        </w:rPr>
      </w:pPr>
    </w:p>
    <w:p>
      <w:pPr>
        <w:jc w:val="both"/>
        <w:ind w:right="100" w:firstLine="405"/>
        <w:spacing w:after="0" w:line="282" w:lineRule="auto"/>
        <w:rPr>
          <w:sz w:val="20"/>
          <w:szCs w:val="20"/>
          <w:color w:val="auto"/>
        </w:rPr>
      </w:pPr>
      <w:r>
        <w:rPr>
          <w:rFonts w:ascii="Times New Roman" w:cs="Times New Roman" w:eastAsia="Times New Roman" w:hAnsi="Times New Roman"/>
          <w:sz w:val="18"/>
          <w:szCs w:val="18"/>
          <w:color w:val="auto"/>
        </w:rPr>
        <w:t>On October 28, 2015, we announced a regular quarterly cash dividend in the amount of $0.13 per share. The quarterly dividend was paid on November 30, 2015 to stockholders of record on November 10, 2015.</w:t>
      </w:r>
    </w:p>
    <w:p>
      <w:pPr>
        <w:spacing w:after="0" w:line="5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On January 27, 2016, we announced a regular quarterly cash dividend in the amount of $0.15 per share. The quarterly dividend was paid on February 29, 2016 to stockholders of record on February 10,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684"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share repurchase activity for each of the three months in the quarter ended March 31, 2016:</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Value of Shares that May</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Yet Be Purchased Under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the Plans or Programs</w:t>
            </w:r>
          </w:p>
        </w:tc>
      </w:tr>
      <w:tr>
        <w:trPr>
          <w:trHeight w:val="212"/>
        </w:trPr>
        <w:tc>
          <w:tcPr>
            <w:tcW w:w="378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6"/>
              </w:rPr>
              <w:t>(1)</w:t>
            </w: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2016</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96,023,452</w:t>
            </w: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2016</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900,000</w:t>
            </w:r>
          </w:p>
        </w:tc>
        <w:tc>
          <w:tcPr>
            <w:tcW w:w="19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27.04</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900,000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71,670,717</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2016</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71,670,717</w:t>
            </w:r>
          </w:p>
        </w:tc>
      </w:tr>
      <w:tr>
        <w:trPr>
          <w:trHeight w:val="257"/>
        </w:trPr>
        <w:tc>
          <w:tcPr>
            <w:tcW w:w="378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900,000</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right="160" w:hanging="652"/>
        <w:spacing w:after="0" w:line="26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2011, the Board of Directors approved a $30.0 million share repurchase program. On January 27, 2015, the Board of Directors approved an increase to our share repurchase authorization from $30.0 million to up to $180.0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765"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Performance</w:t>
      </w:r>
    </w:p>
    <w:p>
      <w:pPr>
        <w:spacing w:after="0" w:line="94" w:lineRule="exact"/>
        <w:rPr>
          <w:sz w:val="20"/>
          <w:szCs w:val="20"/>
          <w:color w:val="auto"/>
        </w:rPr>
      </w:pPr>
    </w:p>
    <w:p>
      <w:pPr>
        <w:jc w:val="both"/>
        <w:ind w:right="400" w:firstLine="432"/>
        <w:spacing w:after="0" w:line="281" w:lineRule="auto"/>
        <w:rPr>
          <w:sz w:val="20"/>
          <w:szCs w:val="20"/>
          <w:color w:val="auto"/>
        </w:rPr>
      </w:pPr>
      <w:r>
        <w:rPr>
          <w:rFonts w:ascii="Times New Roman" w:cs="Times New Roman" w:eastAsia="Times New Roman" w:hAnsi="Times New Roman"/>
          <w:sz w:val="17"/>
          <w:szCs w:val="17"/>
          <w:color w:val="auto"/>
        </w:rPr>
        <w:t>The graph set forth below compares the cumulative shareholder return on our Common Stock between March 31, 2011 and March 31, 2016, to the cumulative return of (i) the Russell 1000 Index and (ii) the Dow Jones US Computer Services Index over the same period. This graph assumes an initial investment of $100 on March 31, 2011 in our common stock, the Russell 1000 Index, and the Dow Jones US Computer Services Index and assumes the reinvestment of dividends, if any. The stock price performance included in this graph is not necessarily indicative of future stock price performance.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363220</wp:posOffset>
            </wp:positionV>
            <wp:extent cx="5385435" cy="272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85435"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ASSUMES $100 INVESTED ON MARCH 31, 2011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ASSUMES DIVIDEND REINVESTED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Company/Market/Peer Group</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3/31/2011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3/31/2012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3/31/2013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3/31/2014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3/31/2015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3/31/2016</w:t>
            </w:r>
          </w:p>
        </w:tc>
      </w:tr>
      <w:tr>
        <w:trPr>
          <w:trHeight w:val="249"/>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Booz Allen Hamilton Holding Corp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365.29</w:t>
            </w:r>
          </w:p>
        </w:tc>
      </w:tr>
      <w:tr>
        <w:trPr>
          <w:trHeight w:val="24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Russell 1000 Index</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123.42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170.33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171.18</w:t>
            </w: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DJ US Computer Services Index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121.86</w:t>
            </w:r>
          </w:p>
        </w:tc>
      </w:tr>
      <w:tr>
        <w:trPr>
          <w:trHeight w:val="27"/>
        </w:trPr>
        <w:tc>
          <w:tcPr>
            <w:tcW w:w="3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Selected Financial Data</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selected consolidated statements of operations data for fiscal 2016, fiscal 2015, and fiscal 2014 and the selected consolidated balance sheet data as of March 31, 2016 and 2015 have been derived from our audited consolidated financial statements included elsewhere in this Annual Report. The selected consolidated statement of operations data for fiscal 2013 and fiscal 2012 and the selected consolidated balance sheet data as of March 31, 2014, 2013 and 2012 have been derived from audited consolidated financial statements which are not included in this Annual Report. Our historical results are not necessarily indicative of the results that may be expected for any future period. The selected financial data should be read in conjunction with “Item 7. Management’s Discussion and Analysis of Financial Condition and Results of Operations” and our consolidated financial statements and related notes included elsewhere in this Annual Report.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684" w:right="259" w:bottom="1440" w:gutter="0" w:footer="0" w:header="0"/>
        </w:sectPr>
      </w:pPr>
    </w:p>
    <w:bookmarkStart w:id="42" w:name="page43"/>
    <w:bookmarkEnd w:id="42"/>
    <w:tbl>
      <w:tblPr>
        <w:tblLayout w:type="fixed"/>
        <w:tblInd w:w="40" w:type="dxa"/>
        <w:tblCellMar>
          <w:top w:w="0" w:type="dxa"/>
          <w:left w:w="0" w:type="dxa"/>
          <w:bottom w:w="0" w:type="dxa"/>
          <w:right w:w="0" w:type="dxa"/>
        </w:tblCellMar>
      </w:tblPr>
      <w:tr>
        <w:trPr>
          <w:trHeight w:val="195"/>
        </w:trPr>
        <w:tc>
          <w:tcPr>
            <w:tcW w:w="54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2"/>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5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22"/>
                <w:szCs w:val="22"/>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79"/>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Revenue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Operating costs and expenses: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Cost of revenue</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Billable expenses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General and administrative expenses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Restructuring charge</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Total operating costs and expenses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Operating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net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tax expense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Earnings per common share (1):</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5,405,738</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5,274,770</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5,478,693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5,758,059</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5,859,218</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2,580,026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2,593,849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2,716,113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2,871,240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2,934,378</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1,513,083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1,406,527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1,487,115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1,532,590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1,542,822</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806,509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752,912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742,527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833,986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903,721</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61,536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62,660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72,327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74,009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75,205</w:t>
            </w:r>
          </w:p>
        </w:tc>
      </w:tr>
      <w:tr>
        <w:trPr>
          <w:trHeight w:val="275"/>
        </w:trPr>
        <w:tc>
          <w:tcPr>
            <w:tcW w:w="2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15,660</w:t>
            </w:r>
          </w:p>
        </w:tc>
      </w:tr>
      <w:tr>
        <w:trPr>
          <w:trHeight w:val="250"/>
        </w:trPr>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4,961,154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4,815,948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5,018,082</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5,311,825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5,471,786</w:t>
            </w:r>
          </w:p>
        </w:tc>
      </w:tr>
      <w:tr>
        <w:trPr>
          <w:trHeight w:val="245"/>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444,584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458,822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460,611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446,234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387,432</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(48,078)</w:t>
            </w:r>
          </w:p>
        </w:tc>
      </w:tr>
      <w:tr>
        <w:trPr>
          <w:trHeight w:val="275"/>
        </w:trPr>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5,693</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(7,639)</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4,520</w:t>
            </w:r>
          </w:p>
        </w:tc>
      </w:tr>
      <w:tr>
        <w:trPr>
          <w:trHeight w:val="245"/>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379,462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385,918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380,787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368,311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343,874</w:t>
            </w:r>
          </w:p>
        </w:tc>
      </w:tr>
      <w:tr>
        <w:trPr>
          <w:trHeight w:val="275"/>
        </w:trPr>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85,368</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153,349</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148,599</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149,253</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103,919</w:t>
            </w:r>
          </w:p>
        </w:tc>
      </w:tr>
      <w:tr>
        <w:trPr>
          <w:trHeight w:val="237"/>
        </w:trPr>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294,094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232,569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232,188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219,058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239,955</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-2074545</wp:posOffset>
            </wp:positionV>
            <wp:extent cx="72034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-1731645</wp:posOffset>
            </wp:positionV>
            <wp:extent cx="72034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-1388745</wp:posOffset>
            </wp:positionV>
            <wp:extent cx="72034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-1045845</wp:posOffset>
            </wp:positionV>
            <wp:extent cx="72034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-702310</wp:posOffset>
            </wp:positionV>
            <wp:extent cx="72034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-359410</wp:posOffset>
            </wp:positionV>
            <wp:extent cx="72034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-16510</wp:posOffset>
            </wp:positionV>
            <wp:extent cx="720344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274" w:lineRule="exact"/>
        <w:rPr>
          <w:sz w:val="20"/>
          <w:szCs w:val="20"/>
          <w:color w:val="auto"/>
        </w:rPr>
      </w:pPr>
    </w:p>
    <w:p>
      <w:pPr>
        <w:sectPr>
          <w:pgSz w:w="11900" w:h="16838" w:orient="portrait"/>
          <w:cols w:equalWidth="0" w:num="2">
            <w:col w:w="4740" w:space="720"/>
            <w:col w:w="5960"/>
          </w:cols>
          <w:pgMar w:left="240" w:top="912"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spacing w:after="0"/>
              <w:rPr>
                <w:sz w:val="16"/>
                <w:szCs w:val="16"/>
                <w:color w:val="auto"/>
              </w:rPr>
            </w:pP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900" w:type="dxa"/>
            <w:vAlign w:val="bottom"/>
            <w:vMerge w:val="restart"/>
          </w:tcPr>
          <w:p>
            <w:pPr>
              <w:jc w:val="center"/>
              <w:ind w:right="347"/>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1.56</w:t>
            </w:r>
          </w:p>
        </w:tc>
        <w:tc>
          <w:tcPr>
            <w:tcW w:w="3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1.83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6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900" w:type="dxa"/>
            <w:vAlign w:val="bottom"/>
            <w:vMerge w:val="restart"/>
            <w:shd w:val="clear" w:color="auto" w:fill="CCEEFF"/>
          </w:tcPr>
          <w:p>
            <w:pPr>
              <w:jc w:val="center"/>
              <w:ind w:right="347"/>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1.54</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w:t>
            </w:r>
          </w:p>
        </w:tc>
        <w:tc>
          <w:tcPr>
            <w:tcW w:w="3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 average common shares outstanding (1):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146,494,407</w:t>
            </w:r>
          </w:p>
        </w:tc>
        <w:tc>
          <w:tcPr>
            <w:tcW w:w="1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145,414,120</w:t>
            </w:r>
          </w:p>
        </w:tc>
        <w:tc>
          <w:tcPr>
            <w:tcW w:w="13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141,314,544</w:t>
            </w:r>
          </w:p>
        </w:tc>
        <w:tc>
          <w:tcPr>
            <w:tcW w:w="2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134,402,729</w:t>
            </w:r>
          </w:p>
        </w:tc>
        <w:tc>
          <w:tcPr>
            <w:tcW w:w="3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130,145,689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180" w:type="dxa"/>
            <w:vAlign w:val="bottom"/>
            <w:gridSpan w:val="3"/>
            <w:vMerge w:val="continue"/>
            <w:shd w:val="clear" w:color="auto" w:fill="CCEEFF"/>
          </w:tcPr>
          <w:p>
            <w:pPr>
              <w:spacing w:after="0"/>
              <w:rPr>
                <w:sz w:val="6"/>
                <w:szCs w:val="6"/>
                <w:color w:val="auto"/>
              </w:rPr>
            </w:pPr>
          </w:p>
        </w:tc>
        <w:tc>
          <w:tcPr>
            <w:tcW w:w="1300" w:type="dxa"/>
            <w:vAlign w:val="bottom"/>
            <w:gridSpan w:val="3"/>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149,719,137</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150,375,531</w:t>
            </w:r>
          </w:p>
        </w:tc>
        <w:tc>
          <w:tcPr>
            <w:tcW w:w="13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148,681,074</w:t>
            </w:r>
          </w:p>
        </w:tc>
        <w:tc>
          <w:tcPr>
            <w:tcW w:w="220" w:type="dxa"/>
            <w:vAlign w:val="bottom"/>
          </w:tcPr>
          <w:p>
            <w:pPr>
              <w:spacing w:after="0"/>
              <w:rPr>
                <w:sz w:val="16"/>
                <w:szCs w:val="16"/>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144,854,724</w:t>
            </w:r>
          </w:p>
        </w:tc>
        <w:tc>
          <w:tcPr>
            <w:tcW w:w="360" w:type="dxa"/>
            <w:vAlign w:val="bottom"/>
          </w:tcPr>
          <w:p>
            <w:pPr>
              <w:spacing w:after="0"/>
              <w:rPr>
                <w:sz w:val="16"/>
                <w:szCs w:val="16"/>
                <w:color w:val="auto"/>
              </w:rPr>
            </w:pPr>
          </w:p>
        </w:tc>
        <w:tc>
          <w:tcPr>
            <w:tcW w:w="94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140,812,012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3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6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900" w:type="dxa"/>
            <w:vAlign w:val="bottom"/>
            <w:vMerge w:val="restart"/>
            <w:shd w:val="clear" w:color="auto" w:fill="CCEEFF"/>
          </w:tcPr>
          <w:p>
            <w:pPr>
              <w:jc w:val="center"/>
              <w:ind w:right="347"/>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8.36</w:t>
            </w:r>
          </w:p>
        </w:tc>
        <w:tc>
          <w:tcPr>
            <w:tcW w:w="3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0.09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6"/>
        </w:trPr>
        <w:tc>
          <w:tcPr>
            <w:tcW w:w="4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387"/>
              <w:spacing w:after="0"/>
              <w:rPr>
                <w:sz w:val="20"/>
                <w:szCs w:val="20"/>
                <w:color w:val="auto"/>
              </w:rPr>
            </w:pPr>
            <w:r>
              <w:rPr>
                <w:rFonts w:ascii="Times New Roman" w:cs="Times New Roman" w:eastAsia="Times New Roman" w:hAnsi="Times New Roman"/>
                <w:sz w:val="16"/>
                <w:szCs w:val="16"/>
                <w:b w:val="1"/>
                <w:bCs w:val="1"/>
                <w:color w:val="auto"/>
                <w:w w:val="99"/>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w w:val="93"/>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2012</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187,529</w:t>
            </w:r>
          </w:p>
        </w:tc>
        <w:tc>
          <w:tcPr>
            <w:tcW w:w="120" w:type="dxa"/>
            <w:vAlign w:val="bottom"/>
          </w:tcPr>
          <w:p>
            <w:pPr>
              <w:spacing w:after="0"/>
              <w:rPr>
                <w:sz w:val="16"/>
                <w:szCs w:val="16"/>
                <w:color w:val="auto"/>
              </w:rPr>
            </w:pPr>
          </w:p>
        </w:tc>
        <w:tc>
          <w:tcPr>
            <w:tcW w:w="780" w:type="dxa"/>
            <w:vAlign w:val="bottom"/>
            <w:vMerge w:val="restart"/>
          </w:tcPr>
          <w:p>
            <w:pPr>
              <w:jc w:val="right"/>
              <w:ind w:right="607"/>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207,217</w:t>
            </w:r>
          </w:p>
        </w:tc>
        <w:tc>
          <w:tcPr>
            <w:tcW w:w="120" w:type="dxa"/>
            <w:vAlign w:val="bottom"/>
          </w:tcPr>
          <w:p>
            <w:pPr>
              <w:spacing w:after="0"/>
              <w:rPr>
                <w:sz w:val="16"/>
                <w:szCs w:val="16"/>
                <w:color w:val="auto"/>
              </w:rPr>
            </w:pP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259,994</w:t>
            </w: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350,384</w:t>
            </w:r>
          </w:p>
        </w:tc>
        <w:tc>
          <w:tcPr>
            <w:tcW w:w="10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484,368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Working capital</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249,858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299,675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309,186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469,992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798,704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Pr>
          <w:p>
            <w:pPr>
              <w:spacing w:after="0"/>
              <w:rPr>
                <w:sz w:val="16"/>
                <w:szCs w:val="16"/>
                <w:color w:val="auto"/>
              </w:rPr>
            </w:pPr>
          </w:p>
        </w:tc>
        <w:tc>
          <w:tcPr>
            <w:tcW w:w="108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3,010,171</w:t>
            </w:r>
          </w:p>
        </w:tc>
        <w:tc>
          <w:tcPr>
            <w:tcW w:w="120" w:type="dxa"/>
            <w:vAlign w:val="bottom"/>
          </w:tcPr>
          <w:p>
            <w:pPr>
              <w:spacing w:after="0"/>
              <w:rPr>
                <w:sz w:val="16"/>
                <w:szCs w:val="16"/>
                <w:color w:val="auto"/>
              </w:rPr>
            </w:pPr>
          </w:p>
        </w:tc>
        <w:tc>
          <w:tcPr>
            <w:tcW w:w="14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2,863,982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2,915,229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3,144,983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3,293,974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color w:val="auto"/>
              </w:rPr>
              <w:t>1,484,448</w:t>
            </w:r>
          </w:p>
        </w:tc>
        <w:tc>
          <w:tcPr>
            <w:tcW w:w="1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1,555,761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1,567,893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1,637,098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909,898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320" w:type="dxa"/>
            <w:vAlign w:val="bottom"/>
          </w:tcPr>
          <w:p>
            <w:pPr>
              <w:spacing w:after="0"/>
              <w:rPr>
                <w:sz w:val="16"/>
                <w:szCs w:val="16"/>
                <w:color w:val="auto"/>
              </w:rPr>
            </w:pPr>
          </w:p>
        </w:tc>
        <w:tc>
          <w:tcPr>
            <w:tcW w:w="1080" w:type="dxa"/>
            <w:vAlign w:val="bottom"/>
            <w:vMerge w:val="restart"/>
          </w:tcPr>
          <w:p>
            <w:pPr>
              <w:jc w:val="right"/>
              <w:ind w:right="47"/>
              <w:spacing w:after="0"/>
              <w:rPr>
                <w:sz w:val="20"/>
                <w:szCs w:val="20"/>
                <w:color w:val="auto"/>
              </w:rPr>
            </w:pPr>
            <w:r>
              <w:rPr>
                <w:rFonts w:ascii="Times New Roman" w:cs="Times New Roman" w:eastAsia="Times New Roman" w:hAnsi="Times New Roman"/>
                <w:sz w:val="14"/>
                <w:szCs w:val="14"/>
                <w:color w:val="auto"/>
              </w:rPr>
              <w:t>408,488</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186,498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171,636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226,793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1,185,185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60" w:right="120" w:hanging="330"/>
        <w:spacing w:after="0" w:line="249" w:lineRule="auto"/>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earnings per share for the Company has been computed using the weighted average number of shares of Class A Common Stock, Class B Non- Voting Common Stock, and Class C Restricted Common Stock outstanding during the period. The Company’s diluted earnings per share has been computed using the weighted average number of shares of Class A Common Stock, Class B Non-Voting Common Stock, and Class C Restricted Common Stock including the dilutive effect of outstanding common stock options and other stock-based awards. For the purposes of calculating basic and diluted earnings per share, the Company has utilized the two class method, given non-forfeitable dividends declared on unvested Class A Restricted Common Stock. The weighted average number of Class E Special Voting Common Stock has not been included in the calculation of either basic earnings per share or diluted earnings per share due to the terms of such common stock.</w:t>
      </w:r>
    </w:p>
    <w:p>
      <w:pPr>
        <w:spacing w:after="0" w:line="18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92"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“Item 6. Selected Financial Data,” and our consolidated financial statements and the related notes contained elsewhere in this Annual Report.</w:t>
      </w:r>
    </w:p>
    <w:p>
      <w:pPr>
        <w:spacing w:after="0" w:line="120"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7"/>
          <w:szCs w:val="17"/>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108" w:lineRule="exact"/>
        <w:rPr>
          <w:sz w:val="20"/>
          <w:szCs w:val="20"/>
          <w:color w:val="auto"/>
        </w:rPr>
      </w:pPr>
    </w:p>
    <w:p>
      <w:pPr>
        <w:ind w:right="6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ends March 31 and, unless otherwise noted, references to years or fiscal are for fiscal years ended March 31. See “—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912" w:right="2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We are a leading provider of management and technology, consulting, and engineering services to the U.S. and international governments, major corporations, and not-for-profit organizations. Our ability to deliver value to our clients has always been, and continues to be, a product of the character and expertise of our people. Our talent base of approximately 22,600 people deliver value and results to our clients by combining core consulting skills and domain expertise with functional expertise in areas such as engineering and science, systems delivery, cyber, and analytics, all fostered by a culture of innovation that extends to all reaches of the company.</w:t>
      </w:r>
    </w:p>
    <w:p>
      <w:pPr>
        <w:spacing w:after="0" w:line="13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Through our dedication to our clients' missions, and a commitment to evolving our business to address client's needs, we have longstanding and deep relationships with our clients -- some more than 75 years. We support critical missions for a diverse base of federal government clients, including nearly all of the U.S. government's cabinet-level departments, and federal contract vehicles, as well as increasingly for top-tier commercial and international clients. We support these clients by addressing complex and pressing challenges such as combating global terrorism, improving cyber capabilities, transforming the healthcare system, improving efficiency and managing change within the government. Our U.S. commercial clients are primarily in the financial services, healthcare and life sciences, energy, high-tech manufacturing, retail, and automotive industries. Our international clients are primarily in the Middle East, along with a new and growing presence in Southeast Asia.</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Other Highlights</w:t>
      </w:r>
    </w:p>
    <w:p>
      <w:pPr>
        <w:spacing w:after="0" w:line="121"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fiscal 2016, the Company invested in its long term growth strategy by investing in key capabilities and markets while also increasing spending on bid and proposal activity to address a strong pipeline of opportunities that translated into an increase in total backlog. The Company's focus on innovation and business development also resulted in increased indirect spending over the comparable prior year period.</w:t>
      </w:r>
    </w:p>
    <w:p>
      <w:pPr>
        <w:spacing w:after="0" w:line="12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Revenue increased 2.5% from fiscal 2015 to fiscal 2016 as a result of an increase in client demand, which includes an increase in billable expenses, as well as the increase in indirect spending over the prior year period which had the effect of increasing revenue on cost reimbursable contracts. The increase in billable expenses was due to an increased use of subcontractors on contracts, which includes the impact of an increase in small business procurement goals set by the U.S. government. In addition, contracts that require the Company to incur direct expenses on behalf of our clients increased over the prior year period. The growth in indirect spending for the year was primarily driven by increased marketing, administrative, and bid and proposal activities in order to drive continued growth in fiscal 2017.</w:t>
      </w:r>
    </w:p>
    <w:p>
      <w:pPr>
        <w:spacing w:after="0" w:line="13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Operating income decreased 3.1% to $444.6 million in fiscal 2016 from $458.8 million in fiscal 2015, which reflects a 50 basis point decrease in operating margin to 8.2% from 8.7% in the comparable period. The decrease in operating income was primarily attributable to the increase in indirect spending during fiscal 2016, and to a smaller degree the increase in billable expenses, both factors of which are discussed above. These decreases in operating income were partially offset by a net decrease in the Company's provisions for the potential recovery of allowable expenses recorded during fiscal 2016 without a similar net change for fiscal 2015.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publicly disclose certain non-GAAP financial measurements, including Adjusted Operating Income, Adjusted EBITDA,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847" w:right="259" w:bottom="1440" w:gutter="0" w:footer="0" w:header="0"/>
        </w:sectPr>
      </w:pPr>
    </w:p>
    <w:bookmarkStart w:id="44" w:name="page45"/>
    <w:bookmarkEnd w:id="44"/>
    <w:p>
      <w:pPr>
        <w:ind w:right="20"/>
        <w:spacing w:after="0" w:line="258" w:lineRule="auto"/>
        <w:rPr>
          <w:sz w:val="20"/>
          <w:szCs w:val="20"/>
          <w:color w:val="auto"/>
        </w:rPr>
      </w:pPr>
      <w:r>
        <w:rPr>
          <w:rFonts w:ascii="Times New Roman" w:cs="Times New Roman" w:eastAsia="Times New Roman" w:hAnsi="Times New Roman"/>
          <w:sz w:val="18"/>
          <w:szCs w:val="18"/>
          <w:color w:val="auto"/>
        </w:rPr>
        <w:t>Adjusted EBITDA and Adjusted Net Income, and net cash provided by operating activities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measures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76" w:lineRule="exact"/>
        <w:rPr>
          <w:sz w:val="20"/>
          <w:szCs w:val="20"/>
          <w:color w:val="auto"/>
        </w:rPr>
      </w:pPr>
    </w:p>
    <w:p>
      <w:pPr>
        <w:ind w:left="1300" w:right="240" w:hanging="644"/>
        <w:spacing w:after="0" w:line="258"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represents operating income before (i) certain stock option-based and other equity-based compensation expenses, (ii) adjustments related to the amortization of intangible assets, and (iii)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5"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net income before income taxes, net interest and other expense, and depreciation and amortization and before certain other items, including: (i) certain stock option-based and other equity-based compensation expenses, and (ii) transaction costs, fees, losses, and expenses, including fees associated with debt prepayments.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75" w:lineRule="exact"/>
        <w:rPr>
          <w:rFonts w:ascii="Times New Roman" w:cs="Times New Roman" w:eastAsia="Times New Roman" w:hAnsi="Times New Roman"/>
          <w:sz w:val="18"/>
          <w:szCs w:val="18"/>
          <w:color w:val="auto"/>
        </w:rPr>
      </w:pPr>
    </w:p>
    <w:p>
      <w:pPr>
        <w:ind w:left="1300" w:right="160" w:hanging="644"/>
        <w:spacing w:after="0" w:line="25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79"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6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represents the net cash generated from operating activities less the impact of purchases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796" w:right="259" w:bottom="1440" w:gutter="0" w:footer="0" w:header="0"/>
        </w:sectPr>
      </w:pPr>
    </w:p>
    <w:bookmarkStart w:id="45" w:name="page46"/>
    <w:bookmarkEnd w:id="45"/>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60" w:type="dxa"/>
            <w:vAlign w:val="bottom"/>
            <w:gridSpan w:val="6"/>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Fiscal Year Ended March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444,584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458,822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460,611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Certain stock-based compensation expense (a)</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Transaction expenses (c)</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448,809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465,086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470,155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EBITDA &amp; Adjusted EBITDA</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294,094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232,569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232,188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153,349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148,599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other, net</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72,904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72,327</w:t>
            </w:r>
          </w:p>
        </w:tc>
        <w:tc>
          <w:tcPr>
            <w:tcW w:w="0" w:type="dxa"/>
            <w:vAlign w:val="bottom"/>
          </w:tcPr>
          <w:p>
            <w:pPr>
              <w:spacing w:after="0"/>
              <w:rPr>
                <w:sz w:val="1"/>
                <w:szCs w:val="1"/>
                <w:color w:val="auto"/>
              </w:rPr>
            </w:pPr>
          </w:p>
        </w:tc>
      </w:tr>
      <w:tr>
        <w:trPr>
          <w:trHeight w:val="237"/>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EBITDA</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506,120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521,482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532,938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Certain stock-based compensation expense (a)</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Transaction expenses (c)</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506,120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523,521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534,032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232,569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232,188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stock-based compensation expense (a)</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Transaction expenses (c)</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Release of income tax reserves (d)</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or write-off of debt issuance costs and write-off of original issue</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discount</w:t>
            </w:r>
          </w:p>
        </w:tc>
        <w:tc>
          <w:tcPr>
            <w:tcW w:w="4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for tax effect (e)</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0" w:type="dxa"/>
            <w:vAlign w:val="bottom"/>
          </w:tcPr>
          <w:p>
            <w:pPr>
              <w:spacing w:after="0"/>
              <w:rPr>
                <w:sz w:val="1"/>
                <w:szCs w:val="1"/>
                <w:color w:val="auto"/>
              </w:rPr>
            </w:pPr>
          </w:p>
        </w:tc>
      </w:tr>
      <w:tr>
        <w:trPr>
          <w:trHeight w:val="237"/>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Adjusted Net Income</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246,449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240,254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241,946</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Diluted Earnings Per Share</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Weighted-average number of diluted shares outstanding</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149,719,137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150,375,531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148,681,074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Adjusted Net Income Per Diluted Share (f)</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309,958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332,718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Free Cash Flow</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182,599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273,917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311,813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80" w:hanging="652"/>
        <w:spacing w:after="0" w:line="255"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pacing w:after="0" w:line="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amortization of intangible assets resulting from the Acquisition.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2015 reflects debt refinancing costs incurred in connection with the refinancing transaction consummated on May 7, 2014.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pre-acquisition income tax reserves assumed by the Company in connection with the Acquisition of our Company by The Carlyle Group.</w:t>
      </w:r>
    </w:p>
    <w:p>
      <w:pPr>
        <w:spacing w:after="0" w:line="2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tax effect of adjustments at an assumed marginal tax rate of 40%.</w:t>
      </w:r>
    </w:p>
    <w:p>
      <w:pPr>
        <w:sectPr>
          <w:pgSz w:w="11900" w:h="16838" w:orient="portrait"/>
          <w:cols w:equalWidth="0" w:num="1">
            <w:col w:w="11420"/>
          </w:cols>
          <w:pgMar w:left="240" w:top="688"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688" w:right="239" w:bottom="1440" w:gutter="0" w:footer="0" w:header="0"/>
          <w:type w:val="continuous"/>
        </w:sectPr>
      </w:pPr>
    </w:p>
    <w:bookmarkStart w:id="46" w:name="page47"/>
    <w:bookmarkEnd w:id="46"/>
    <w:p>
      <w:pPr>
        <w:ind w:left="660" w:right="20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adjustment of approximately $3.5 million, $3.4 million, and $3.1 million of net earnings for fiscal 2016, 2015, and 2014, respectively, associated with the application of the two-class method for computing diluted earnings per share.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75"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 and Key Trends in Our Markets</w:t>
      </w:r>
    </w:p>
    <w:p>
      <w:pPr>
        <w:spacing w:after="0" w:line="175"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We believe that the following trends and developments in the U.S. government services industry and our markets may influence our future results of operations:</w:t>
      </w:r>
    </w:p>
    <w:p>
      <w:pPr>
        <w:spacing w:after="0" w:line="108" w:lineRule="exact"/>
        <w:rPr>
          <w:sz w:val="20"/>
          <w:szCs w:val="20"/>
          <w:color w:val="auto"/>
        </w:rPr>
      </w:pPr>
    </w:p>
    <w:p>
      <w:pPr>
        <w:ind w:left="1300" w:right="320" w:hanging="644"/>
        <w:spacing w:after="0" w:line="258"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the timing, extent, nature and effect of Congressional and other U.S. government actions to address budgetary constraints, caps on the discretionary budget for defense non-defense departments and agencies, as established by the Bipartisan Budget Control Act 2011 and subsequently adjusted by the American Tax Payer Relief Act of 2012, the Bipartisan Budget Act of 2013 and the Bipartisan Budget Act of 2015, and the ability of Congress to determine how to allocate the available budget authority and pass appropriations bills to fund both U.S. government departments and agencies that are, and those that are not, subject to the caps;</w:t>
      </w:r>
    </w:p>
    <w:p>
      <w:pPr>
        <w:spacing w:after="0" w:line="75"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53" w:lineRule="exact"/>
        <w:rPr>
          <w:rFonts w:ascii="Times New Roman" w:cs="Times New Roman" w:eastAsia="Times New Roman" w:hAnsi="Times New Roman"/>
          <w:sz w:val="18"/>
          <w:szCs w:val="18"/>
          <w:color w:val="auto"/>
        </w:rPr>
      </w:pPr>
    </w:p>
    <w:p>
      <w:pPr>
        <w:ind w:left="1300" w:hanging="644"/>
        <w:spacing w:after="0" w:line="254"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81"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future U.S. government’s budget processes, which have in the past and could in the future delay procurement of the products, services, and solutions we provide;</w:t>
      </w:r>
    </w:p>
    <w:p>
      <w:pPr>
        <w:spacing w:after="0" w:line="53"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1"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published on June 24, 2014, which substantially further reduce the amount of allowable executive compensation under these contracts and extend these limitations to a larger segment of our executives and our entire contract base;</w:t>
      </w:r>
    </w:p>
    <w:p>
      <w:pPr>
        <w:spacing w:after="0" w:line="71"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the U.S. government to address organizational conflicts of interest and related issues and the impact of those efforts on us and our competitors;</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688" w:right="239" w:bottom="1440" w:gutter="0" w:footer="0" w:header="0"/>
        </w:sectPr>
      </w:pPr>
    </w:p>
    <w:bookmarkStart w:id="47" w:name="page48"/>
    <w:bookmarkEnd w:id="47"/>
    <w:p>
      <w:pPr>
        <w:ind w:left="1300" w:right="60" w:hanging="644"/>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6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53"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agencies awarding contracts on a technically acceptable/lowest cost basis, which could have a negative impact on our ability to win certain contracts;</w:t>
      </w:r>
    </w:p>
    <w:p>
      <w:pPr>
        <w:spacing w:after="0" w:line="53" w:lineRule="exact"/>
        <w:rPr>
          <w:rFonts w:ascii="Times New Roman" w:cs="Times New Roman" w:eastAsia="Times New Roman" w:hAnsi="Times New Roman"/>
          <w:sz w:val="18"/>
          <w:szCs w:val="18"/>
          <w:color w:val="auto"/>
        </w:rPr>
      </w:pPr>
    </w:p>
    <w:p>
      <w:pPr>
        <w:ind w:left="1300" w:hanging="644"/>
        <w:spacing w:after="0" w:line="313" w:lineRule="auto"/>
        <w:tabs>
          <w:tab w:leader="none" w:pos="1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other government contractors and market entrants seeking to take advantage of certain of the trends identified above, and industry trend towards consolidation, which may result in the emergence of companies that are better able to compete against us;</w:t>
      </w:r>
    </w:p>
    <w:p>
      <w:pPr>
        <w:spacing w:after="0" w:line="30" w:lineRule="exact"/>
        <w:rPr>
          <w:rFonts w:ascii="Times New Roman" w:cs="Times New Roman" w:eastAsia="Times New Roman" w:hAnsi="Times New Roman"/>
          <w:sz w:val="17"/>
          <w:szCs w:val="17"/>
          <w:color w:val="auto"/>
        </w:rPr>
      </w:pPr>
    </w:p>
    <w:p>
      <w:pPr>
        <w:ind w:left="1300" w:right="200" w:hanging="644"/>
        <w:spacing w:after="0" w:line="289" w:lineRule="auto"/>
        <w:tabs>
          <w:tab w:leader="none" w:pos="1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0" w:lineRule="exact"/>
        <w:rPr>
          <w:rFonts w:ascii="Times New Roman" w:cs="Times New Roman" w:eastAsia="Times New Roman" w:hAnsi="Times New Roman"/>
          <w:sz w:val="17"/>
          <w:szCs w:val="17"/>
          <w:color w:val="auto"/>
        </w:rPr>
      </w:pPr>
    </w:p>
    <w:p>
      <w:pPr>
        <w:ind w:left="1300" w:right="400" w:hanging="644"/>
        <w:spacing w:after="0" w:line="313" w:lineRule="auto"/>
        <w:tabs>
          <w:tab w:leader="none" w:pos="1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 and</w:t>
      </w:r>
    </w:p>
    <w:p>
      <w:pPr>
        <w:spacing w:after="0" w:line="30" w:lineRule="exact"/>
        <w:rPr>
          <w:rFonts w:ascii="Times New Roman" w:cs="Times New Roman" w:eastAsia="Times New Roman" w:hAnsi="Times New Roman"/>
          <w:sz w:val="17"/>
          <w:szCs w:val="17"/>
          <w:color w:val="auto"/>
        </w:rPr>
      </w:pPr>
    </w:p>
    <w:p>
      <w:pPr>
        <w:ind w:left="1300" w:right="40" w:hanging="644"/>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the Bipartisan Budget Act of 2013 and the Bipartisan Budget Act of 2015), provides for automatic spending cuts totaling approximately $1.2 trillion between 2013 and 2021, and requires an estimated $500 billion in federal defense spending cuts over this time period. The Bipartisan Budget Act of 2015 raised existing spending caps on defense spending by $25 billion and $15 billion for government fiscal years 2016 and 2017, respectively, but did not address spending caps beyond fiscal 2017.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Types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generate revenue under the following three basic types of contracts:</w:t>
      </w:r>
    </w:p>
    <w:p>
      <w:pPr>
        <w:spacing w:after="0" w:line="169" w:lineRule="exact"/>
        <w:rPr>
          <w:sz w:val="20"/>
          <w:szCs w:val="20"/>
          <w:color w:val="auto"/>
        </w:rPr>
      </w:pPr>
    </w:p>
    <w:p>
      <w:pPr>
        <w:ind w:left="1960" w:right="20" w:hanging="655"/>
        <w:spacing w:after="0" w:line="254" w:lineRule="auto"/>
        <w:tabs>
          <w:tab w:leader="none" w:pos="196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Cost-Reimbursable Contracts. </w:t>
      </w:r>
      <w:r>
        <w:rPr>
          <w:rFonts w:ascii="Times New Roman" w:cs="Times New Roman" w:eastAsia="Times New Roman" w:hAnsi="Times New Roman"/>
          <w:sz w:val="18"/>
          <w:szCs w:val="18"/>
          <w:color w:val="auto"/>
        </w:rPr>
        <w:t>Cost-reimbursable contracts provide for the payment of allowable costs incurred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797" w:right="259" w:bottom="1440" w:gutter="0" w:footer="0" w:header="0"/>
        </w:sectPr>
      </w:pPr>
    </w:p>
    <w:bookmarkStart w:id="48" w:name="page49"/>
    <w:bookmarkEnd w:id="48"/>
    <w:p>
      <w:pPr>
        <w:ind w:left="1960" w:right="80" w:hanging="655"/>
        <w:spacing w:after="0" w:line="259" w:lineRule="auto"/>
        <w:tabs>
          <w:tab w:leader="none" w:pos="196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Time-and-Materials Contracts. </w:t>
      </w:r>
      <w:r>
        <w:rPr>
          <w:rFonts w:ascii="Times New Roman" w:cs="Times New Roman" w:eastAsia="Times New Roman" w:hAnsi="Times New Roman"/>
          <w:sz w:val="18"/>
          <w:szCs w:val="18"/>
          <w:color w:val="auto"/>
        </w:rPr>
        <w:t>Under a time-and-materials contract, we are paid a fixed hourly rate for each direct labor hour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71" w:lineRule="exact"/>
        <w:rPr>
          <w:rFonts w:ascii="Times New Roman" w:cs="Times New Roman" w:eastAsia="Times New Roman" w:hAnsi="Times New Roman"/>
          <w:sz w:val="18"/>
          <w:szCs w:val="18"/>
          <w:i w:val="1"/>
          <w:iCs w:val="1"/>
          <w:color w:val="auto"/>
        </w:rPr>
      </w:pPr>
    </w:p>
    <w:p>
      <w:pPr>
        <w:ind w:left="1960" w:right="100" w:hanging="655"/>
        <w:spacing w:after="0" w:line="257" w:lineRule="auto"/>
        <w:tabs>
          <w:tab w:leader="none" w:pos="196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Under a fixed-price contract, we agree to perform the specified work for a pre-determined price.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31"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During our fiscal year 2015 we realized the conversion of a material cost reimbursable contract in the U.S. government market to fixed price. Additionally, we continue to generate an increasing fixed price contract base in our commercial and international markets. In the immediate forseeable future, we do not anticipate any macro drivers that will cause our fixed price percentage to materially increase or decrease, and we expect our percentage of fixed price work to be roughly 20%-25% of our total revenue mix. Changes in contract type as a result of re-competes and new business could influence the percentage/mix in an unanticipated way.</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percentage of total revenue for each type of contract:</w:t>
      </w:r>
    </w:p>
    <w:p>
      <w:pPr>
        <w:spacing w:after="0" w:line="327" w:lineRule="exact"/>
        <w:rPr>
          <w:sz w:val="20"/>
          <w:szCs w:val="20"/>
          <w:color w:val="auto"/>
        </w:rPr>
      </w:pPr>
    </w:p>
    <w:tbl>
      <w:tblPr>
        <w:tblLayout w:type="fixed"/>
        <w:tblInd w:w="240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20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Cost-reimbursable (1)</w:t>
            </w:r>
          </w:p>
        </w:tc>
        <w:tc>
          <w:tcPr>
            <w:tcW w:w="1140" w:type="dxa"/>
            <w:vAlign w:val="bottom"/>
            <w:tcBorders>
              <w:bottom w:val="single" w:sz="8" w:color="CCEEFF"/>
            </w:tcBorders>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w w:val="96"/>
              </w:rPr>
              <w:t>51%</w:t>
            </w:r>
          </w:p>
        </w:tc>
        <w:tc>
          <w:tcPr>
            <w:tcW w:w="1860" w:type="dxa"/>
            <w:vAlign w:val="bottom"/>
            <w:tcBorders>
              <w:bottom w:val="single" w:sz="8" w:color="CCEEFF"/>
            </w:tcBorders>
            <w:gridSpan w:val="3"/>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214"/>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11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w w:val="96"/>
              </w:rPr>
              <w:t>26%</w:t>
            </w:r>
          </w:p>
        </w:tc>
        <w:tc>
          <w:tcPr>
            <w:tcW w:w="1860" w:type="dxa"/>
            <w:vAlign w:val="bottom"/>
            <w:gridSpan w:val="3"/>
          </w:tcPr>
          <w:p>
            <w:pPr>
              <w:jc w:val="center"/>
              <w:ind w:left="31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center"/>
              <w:ind w:right="214"/>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(2)</w:t>
            </w:r>
          </w:p>
        </w:tc>
        <w:tc>
          <w:tcPr>
            <w:tcW w:w="1140" w:type="dxa"/>
            <w:vAlign w:val="bottom"/>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w w:val="96"/>
              </w:rPr>
              <w:t>23%</w:t>
            </w:r>
          </w:p>
        </w:tc>
        <w:tc>
          <w:tcPr>
            <w:tcW w:w="1860" w:type="dxa"/>
            <w:vAlign w:val="bottom"/>
            <w:gridSpan w:val="3"/>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right="214"/>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20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cost-plus-fixed-fee and cost-plus-award-fee contracts.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fixed-price level of effort contracts.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Diversity and Revenue Mix</w:t>
      </w:r>
    </w:p>
    <w:p>
      <w:pPr>
        <w:spacing w:after="0" w:line="173"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 No single task order under any ID/IQ contract represented more than 2.4% of our revenue in fiscal 2016. No single definite contract accounted for more than 3% of our revenue in fiscal 2016.</w:t>
      </w:r>
    </w:p>
    <w:p>
      <w:pPr>
        <w:spacing w:after="0" w:line="13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2016, 2015, and 2014, 90%, 91%, and 91%, respectively, of our revenue was generated by</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794" w:right="279" w:bottom="1440" w:gutter="0" w:footer="0" w:header="0"/>
        </w:sectPr>
      </w:pPr>
    </w:p>
    <w:bookmarkStart w:id="49" w:name="page50"/>
    <w:bookmarkEnd w:id="49"/>
    <w:p>
      <w:pPr>
        <w:spacing w:after="0" w:line="256" w:lineRule="auto"/>
        <w:rPr>
          <w:sz w:val="20"/>
          <w:szCs w:val="20"/>
          <w:color w:val="auto"/>
        </w:rPr>
      </w:pPr>
      <w:r>
        <w:rPr>
          <w:rFonts w:ascii="Times New Roman" w:cs="Times New Roman" w:eastAsia="Times New Roman" w:hAnsi="Times New Roman"/>
          <w:sz w:val="18"/>
          <w:szCs w:val="18"/>
          <w:color w:val="auto"/>
        </w:rPr>
        <w:t>contracts and task orders for which we served as a prime contractor; 10%, 9%, and 9%, respectively, of our revenue was generated by contracts and task orders for which we served as a subcontractor; and 24%, 23%, and 23%, respectively, of our revenue was generated by services provided by our subcontractors.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17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March 31, 2016, 2015, and 2014 we employed approximately 22,600, 22,500, and 22,700 people, respectively, of which approximately 20,300, 20,500, and 20,600, respectively, were consulting staff.</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Contract Backlog</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define backlog to include the following three components:</w:t>
      </w:r>
    </w:p>
    <w:p>
      <w:pPr>
        <w:spacing w:after="0" w:line="169" w:lineRule="exact"/>
        <w:rPr>
          <w:sz w:val="20"/>
          <w:szCs w:val="20"/>
          <w:color w:val="auto"/>
        </w:rPr>
      </w:pPr>
    </w:p>
    <w:p>
      <w:pPr>
        <w:ind w:left="1300" w:right="760" w:hanging="644"/>
        <w:spacing w:after="0" w:line="284"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Funded Backlog. </w:t>
      </w:r>
      <w:r>
        <w:rPr>
          <w:rFonts w:ascii="Times New Roman" w:cs="Times New Roman" w:eastAsia="Times New Roman" w:hAnsi="Times New Roman"/>
          <w:sz w:val="18"/>
          <w:szCs w:val="18"/>
          <w:color w:val="auto"/>
        </w:rPr>
        <w:t>Funded backlog represents the revenue value of orders for services under existing contracts for which funding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appropriated or otherwise authorized less revenue previously recognized on these contracts.</w:t>
      </w:r>
    </w:p>
    <w:p>
      <w:pPr>
        <w:spacing w:after="0" w:line="104" w:lineRule="exact"/>
        <w:rPr>
          <w:rFonts w:ascii="Times New Roman" w:cs="Times New Roman" w:eastAsia="Times New Roman" w:hAnsi="Times New Roman"/>
          <w:sz w:val="18"/>
          <w:szCs w:val="18"/>
          <w:color w:val="auto"/>
        </w:rPr>
      </w:pPr>
    </w:p>
    <w:p>
      <w:pPr>
        <w:ind w:left="1300" w:right="20" w:hanging="644"/>
        <w:spacing w:after="0" w:line="284"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Unfunded Backlog. </w:t>
      </w:r>
      <w:r>
        <w:rPr>
          <w:rFonts w:ascii="Times New Roman" w:cs="Times New Roman" w:eastAsia="Times New Roman" w:hAnsi="Times New Roman"/>
          <w:sz w:val="18"/>
          <w:szCs w:val="18"/>
          <w:color w:val="auto"/>
        </w:rPr>
        <w:t>Unfunded backlog represents the revenue value of orders for services under existing contracts for which funding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appropriated or otherwise authorized.</w:t>
      </w:r>
    </w:p>
    <w:p>
      <w:pPr>
        <w:spacing w:after="0" w:line="104" w:lineRule="exact"/>
        <w:rPr>
          <w:rFonts w:ascii="Times New Roman" w:cs="Times New Roman" w:eastAsia="Times New Roman" w:hAnsi="Times New Roman"/>
          <w:sz w:val="18"/>
          <w:szCs w:val="18"/>
          <w:color w:val="auto"/>
        </w:rPr>
      </w:pPr>
    </w:p>
    <w:p>
      <w:pPr>
        <w:ind w:left="1300" w:right="220" w:hanging="644"/>
        <w:spacing w:after="0" w:line="284"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Priced Options. </w:t>
      </w:r>
      <w:r>
        <w:rPr>
          <w:rFonts w:ascii="Times New Roman" w:cs="Times New Roman" w:eastAsia="Times New Roman" w:hAnsi="Times New Roman"/>
          <w:sz w:val="18"/>
          <w:szCs w:val="18"/>
          <w:color w:val="auto"/>
        </w:rPr>
        <w:t>Priced contract options represent 100% of the revenue value of all future contract option periods under existing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exercised at our clients’ option and for which funding has not been appropriated or otherwise authorized.</w:t>
      </w:r>
    </w:p>
    <w:p>
      <w:pPr>
        <w:spacing w:after="0" w:line="10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Backlog does not include any task orders under ID/IQ contracts, including GWACs and GSA schedules, except to the extent that task orders have been awarded to us under those contracts.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value of our contract backlog at the respective dates presented:</w:t>
      </w:r>
    </w:p>
    <w:p>
      <w:pPr>
        <w:spacing w:after="0" w:line="3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24765</wp:posOffset>
            </wp:positionV>
            <wp:extent cx="2992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03" w:lineRule="exact"/>
        <w:rPr>
          <w:sz w:val="20"/>
          <w:szCs w:val="20"/>
          <w:color w:val="auto"/>
        </w:rPr>
      </w:pPr>
    </w:p>
    <w:tbl>
      <w:tblPr>
        <w:tblLayout w:type="fixed"/>
        <w:tblInd w:w="74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1"/>
        </w:trPr>
        <w:tc>
          <w:tcPr>
            <w:tcW w:w="5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Funded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2,290</w:t>
            </w: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Unfunded (1)</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2,343</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Priced options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4,548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5,205</w:t>
            </w:r>
          </w:p>
        </w:tc>
      </w:tr>
      <w:tr>
        <w:trPr>
          <w:trHeight w:val="237"/>
        </w:trPr>
        <w:tc>
          <w:tcPr>
            <w:tcW w:w="5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backlog</w:t>
            </w: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11,814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9,360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9,838</w:t>
            </w:r>
          </w:p>
        </w:tc>
      </w:tr>
      <w:tr>
        <w:trPr>
          <w:trHeight w:val="27"/>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left="1300" w:right="160" w:hanging="644"/>
        <w:spacing w:after="0" w:line="266"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 of fiscal 2015 and 2014 reflect a reduction by management to the revenue value of orders for services under one then-existing single award ID/IQ contract the Company had for several years, based on an established pattern of funding under this contract by the U.S. government.</w:t>
      </w:r>
    </w:p>
    <w:p>
      <w:pPr>
        <w:spacing w:after="0" w:line="6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26"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850" w:right="239" w:bottom="1440" w:gutter="0" w:footer="0" w:header="0"/>
        </w:sectPr>
      </w:pPr>
    </w:p>
    <w:bookmarkStart w:id="50" w:name="page51"/>
    <w:bookmarkEnd w:id="50"/>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increased revenue. Total backlog increased by 26.2% from March 31, 2015 to March 31, 2016 and decreased 4.9% from March 31, 2014 to March 31, 2015. Additions to funded backlog, during fiscal 2016 and 2015 totaled $5.4 billion and $5.7 billion, respectively, </w:t>
      </w:r>
      <w:r>
        <w:rPr>
          <w:rFonts w:ascii="Times New Roman" w:cs="Times New Roman" w:eastAsia="Times New Roman" w:hAnsi="Times New Roman"/>
          <w:sz w:val="18"/>
          <w:szCs w:val="18"/>
          <w:color w:val="231F20"/>
        </w:rPr>
        <w:t>with the decrease from fiscal 2015 to fiscal 2016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due to </w:t>
      </w:r>
      <w:r>
        <w:rPr>
          <w:rFonts w:ascii="Times New Roman" w:cs="Times New Roman" w:eastAsia="Times New Roman" w:hAnsi="Times New Roman"/>
          <w:sz w:val="18"/>
          <w:szCs w:val="18"/>
          <w:color w:val="000000"/>
        </w:rPr>
        <w:t>the increase in burn rate of funded backlog compared to awarded task orders under which funding was appropriated. We report internally on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backlog on a monthly basis and review backlog upon occurrence of certain events to determine if any adjustments are necessary.</w:t>
      </w:r>
    </w:p>
    <w:p>
      <w:pPr>
        <w:spacing w:after="0" w:line="12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7.9% of funded backlog as of the end of any of the four fiscal quarters preceding the fiscal quarter ended March 31, 2016.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most significant operating costs and expenses are described below.</w:t>
      </w:r>
    </w:p>
    <w:p>
      <w:pPr>
        <w:spacing w:after="0" w:line="115" w:lineRule="exact"/>
        <w:rPr>
          <w:sz w:val="20"/>
          <w:szCs w:val="20"/>
          <w:color w:val="auto"/>
        </w:rPr>
      </w:pPr>
    </w:p>
    <w:p>
      <w:pPr>
        <w:ind w:left="1300" w:right="560" w:hanging="644"/>
        <w:spacing w:after="0" w:line="284"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includes direct labor, related employee benefits, and overhead. Overhead consists of indirect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indirect labor relating to infrastructure, management and administration, and other expenses.</w:t>
      </w:r>
    </w:p>
    <w:p>
      <w:pPr>
        <w:spacing w:after="0" w:line="50" w:lineRule="exact"/>
        <w:rPr>
          <w:rFonts w:ascii="Times New Roman" w:cs="Times New Roman" w:eastAsia="Times New Roman" w:hAnsi="Times New Roman"/>
          <w:sz w:val="18"/>
          <w:szCs w:val="18"/>
          <w:color w:val="auto"/>
        </w:rPr>
      </w:pPr>
    </w:p>
    <w:p>
      <w:pPr>
        <w:ind w:left="1300" w:right="380" w:hanging="644"/>
        <w:spacing w:after="0" w:line="284"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Billable Expenses. </w:t>
      </w:r>
      <w:r>
        <w:rPr>
          <w:rFonts w:ascii="Times New Roman" w:cs="Times New Roman" w:eastAsia="Times New Roman" w:hAnsi="Times New Roman"/>
          <w:sz w:val="18"/>
          <w:szCs w:val="18"/>
          <w:color w:val="auto"/>
        </w:rPr>
        <w:t>Billable expenses include direct subcontractor expenses, travel expenses, and other expenses incurred to perform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w:t>
      </w:r>
    </w:p>
    <w:p>
      <w:pPr>
        <w:spacing w:after="0" w:line="50" w:lineRule="exact"/>
        <w:rPr>
          <w:rFonts w:ascii="Times New Roman" w:cs="Times New Roman" w:eastAsia="Times New Roman" w:hAnsi="Times New Roman"/>
          <w:sz w:val="18"/>
          <w:szCs w:val="18"/>
          <w:color w:val="auto"/>
        </w:rPr>
      </w:pPr>
    </w:p>
    <w:p>
      <w:pPr>
        <w:ind w:left="1300" w:right="120" w:hanging="644"/>
        <w:spacing w:after="0" w:line="284"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indirect labor of executive management and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marketing and bid and proposal costs, and other discretionary spending.</w:t>
      </w:r>
    </w:p>
    <w:p>
      <w:pPr>
        <w:spacing w:after="0" w:line="50" w:lineRule="exact"/>
        <w:rPr>
          <w:rFonts w:ascii="Times New Roman" w:cs="Times New Roman" w:eastAsia="Times New Roman" w:hAnsi="Times New Roman"/>
          <w:sz w:val="18"/>
          <w:szCs w:val="18"/>
          <w:color w:val="auto"/>
        </w:rPr>
      </w:pPr>
    </w:p>
    <w:p>
      <w:pPr>
        <w:ind w:left="1300" w:right="180" w:hanging="644"/>
        <w:spacing w:after="0" w:line="267"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includes the depreciation of computers, leasehold improvements, furniture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135"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Seasonality is just one of a number of factors, many of which are outside of our control, which may affect our results in any period. See "Item 1A. Risk Factors."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851" w:right="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right="240" w:firstLine="432"/>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or GAAP. The preparation of these consolidated financial statements in accordance with GAAP requires management to make estimates and assumptions that affect the reported amounts of assets and liabilities and the disclosure of contingencies at the date of the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80"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Cost Estimation</w:t>
      </w:r>
    </w:p>
    <w:p>
      <w:pPr>
        <w:spacing w:after="0" w:line="12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Substantially all of our revenue is derived from contracts to provide professional services to the U.S. government and its agencies. In most cases, we recognize revenue as work is performed. We recognize revenue for cost-reimbursable-plus-fixed-fee contracts with the U.S. government as hours are worked based on reimbursable and allowable costs, recoverable indirect costs and an accrual for the fixed fee component of these contracts. Executive compensation that we determine to be allowable for cost reimbursement based on management's estimates is recognized as revenue, net of reserves.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Many of our</w:t>
      </w:r>
    </w:p>
    <w:p>
      <w:pPr>
        <w:ind w:right="60"/>
        <w:spacing w:after="0" w:line="253" w:lineRule="auto"/>
        <w:rPr>
          <w:sz w:val="20"/>
          <w:szCs w:val="20"/>
          <w:color w:val="auto"/>
        </w:rPr>
      </w:pPr>
      <w:r>
        <w:rPr>
          <w:rFonts w:ascii="Times New Roman" w:cs="Times New Roman" w:eastAsia="Times New Roman" w:hAnsi="Times New Roman"/>
          <w:sz w:val="18"/>
          <w:szCs w:val="18"/>
          <w:color w:val="auto"/>
        </w:rPr>
        <w:t>U.S. government contracts include award fees, which are earned based on the client’s evaluation of our performance. We have significant history with the client for the majority of contracts on which we earn award fees. That history and management's evaluation and monitoring of performance form the basis for our ability to estimate such fees over the life of the contract. Based on these estimates, we recognize award fees as work on the contracts is performed. Revisions to these estimates may result in increases or decreases to revenue and income, and are reflected in the financial statements in periods in which they are identified. Historically, revisions to these estimates have not had a material effect on our results of operations.</w:t>
      </w:r>
    </w:p>
    <w:p>
      <w:pPr>
        <w:spacing w:after="0" w:line="79" w:lineRule="exact"/>
        <w:rPr>
          <w:sz w:val="20"/>
          <w:szCs w:val="20"/>
          <w:color w:val="auto"/>
        </w:rPr>
      </w:pPr>
    </w:p>
    <w:p>
      <w:pPr>
        <w:ind w:right="460" w:firstLine="432"/>
        <w:spacing w:after="0" w:line="266" w:lineRule="auto"/>
        <w:rPr>
          <w:sz w:val="20"/>
          <w:szCs w:val="20"/>
          <w:color w:val="auto"/>
        </w:rPr>
      </w:pPr>
      <w:r>
        <w:rPr>
          <w:rFonts w:ascii="Times New Roman" w:cs="Times New Roman" w:eastAsia="Times New Roman" w:hAnsi="Times New Roman"/>
          <w:sz w:val="18"/>
          <w:szCs w:val="18"/>
          <w:color w:val="auto"/>
        </w:rPr>
        <w:t>Revenue for time-and-materials contracts is recognized as services are performed, generally on the basis of contract allowable labor hours worked multiplied by the contract-defined billing rates, plus allowable direct costs and indirect cost allocations associated with materials used and other direct expenses incurred in connection with the performance of the contract.</w:t>
      </w:r>
    </w:p>
    <w:p>
      <w:pPr>
        <w:spacing w:after="0" w:line="68"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For fixed-price contracts, we primarily recognize revenue on the percentage-of-completion basis with progress toward completion of a particular contract based on actual costs incurred relative to total estimated costs to be incurred over the life of the contract. On some fixed-price contracts we may use an alternative input method to calculate the percent complete, such as labor hours or labor dollars. This method is used when a contract contains significant, up-front material purchases resulting in costs incurred that are not representative of the actual progress on the contract. Profits on fixed-price contracts result from the difference between the incurred costs used to calculate the percentage of completion and the revenue earned. These methods are followed where reasonably dependable estimates of revenue and costs under the contract can be made. If we are unable to reasonably estimate revenue or cost, the completed contract method is used. Historically, we have been able to reasonably estimate total contract revenue and costs and such estimates are regularly reviewed. Recorded revenue and costs are subject to revision as the contract progresses. Such revisions may result in increases or decreases to revenue and income, and are reflected in the financial statements in the periods in which they are first identified. If our estimates indicate that a contract loss will occur, a loss provision is recorded in the period in which the loss first becomes probable and reasonably estimable. Estimating costs under our long-term contracts is complex and involves significant judgment. Factors that must be considered in making estimates include labor productivity and availability, the nature and technical complexity of the work to be performed, potential performance delays, warranty obligations, availability and timing of funding from the client, progress toward completion, and recoverability of claims. Adjustments to original estimates are often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 such as in the case of a contract modification. We have procedures and processes in place to monitor the actual progress of a project against estimates and our estimates are updated if circumstances are warranted. Historically, revisions to our estimates have not had a material effect on our results of operations.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792" w:right="239" w:bottom="1440" w:gutter="0" w:footer="0" w:header="0"/>
        </w:sectPr>
      </w:pPr>
    </w:p>
    <w:bookmarkStart w:id="52" w:name="page53"/>
    <w:bookmarkEnd w:id="52"/>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accounting for the Company's business combinations consists of allocating the purchase price to tangible and intangible assets acquired and liabilities assumed based on their fair values, with the excess recorded as goodwill. Certain fair value measurements include inputs that are unobservable, requiring management to make judgments and estimates that can be affected by contract performance and other factors over time, which may cause final amounts to differ materially from original estimates. We have one year from the acquisition date to use additional information obtained to adjust the fair value of the acquired assets and liabilities which may result in changes to the recorded values with an offsetting adjustment to goodwill.</w:t>
      </w:r>
    </w:p>
    <w:p>
      <w:pPr>
        <w:spacing w:after="0" w:line="7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have a contingent consideration arrangement in connection with a business acquisition which requires a fair value measurement using inputs such as projected cash flows and volatility. The use of different values for these inputs could have a material impact on the valuation. Any adjustment to the fair value of contingent consideration is recorded in earnings. See Note 17 to our consolidated financial statements for further information about the valuation of the contingent consideration liability and the inputs used in the fair value measurement.</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Impairment</w:t>
      </w:r>
    </w:p>
    <w:p>
      <w:pPr>
        <w:spacing w:after="0" w:line="121" w:lineRule="exact"/>
        <w:rPr>
          <w:sz w:val="20"/>
          <w:szCs w:val="20"/>
          <w:color w:val="auto"/>
        </w:rPr>
      </w:pPr>
    </w:p>
    <w:p>
      <w:pPr>
        <w:ind w:right="320" w:firstLine="432"/>
        <w:spacing w:after="0" w:line="258" w:lineRule="auto"/>
        <w:rPr>
          <w:sz w:val="20"/>
          <w:szCs w:val="20"/>
          <w:color w:val="auto"/>
        </w:rPr>
      </w:pPr>
      <w:r>
        <w:rPr>
          <w:rFonts w:ascii="Times New Roman" w:cs="Times New Roman" w:eastAsia="Times New Roman" w:hAnsi="Times New Roman"/>
          <w:sz w:val="18"/>
          <w:szCs w:val="18"/>
          <w:color w:val="auto"/>
        </w:rPr>
        <w:t>We test goodwill for impairment at the reporting unit level on an annual basis and more frequently if an event occurs or circumstances change that would more likely than not reduce the fair value of a reporting unit below its carrying value. A significant amount of management judgment is required to determine if an event representing an impairment indicator has occurred during the year, including but not limited to: a decline in forecasted cash flows; a sustained, material decline in the stock price and market capitalization; a significant adverse change in the business climate or economy; or unanticipated competition. An adverse change in any of these factors could have a significant impact on the recoverability of goodwill and other intangible assets.</w:t>
      </w:r>
    </w:p>
    <w:p>
      <w:pPr>
        <w:spacing w:after="0" w:line="7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As our business is highly integrated and all of our components have similar economic characteristics, we concluded that we have one reporting unit at the consolidated entity level, which is the same as our single operating segment. We test goodwill for impairment using the quantitative method (primarily based on market capitalization). We test the trade name for impairment using the relief from royalty method. Our other amortizable intangible assets are tested by comparing revenue projections to actuals and assessing qualitative factors. We perform our annual testing for impairment of goodwill, the trade name, and other amortizable intangible assets as of January 1 of each year.</w:t>
      </w:r>
    </w:p>
    <w:p>
      <w:pPr>
        <w:spacing w:after="0" w:line="76"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During the fiscal years ended March 31, 2016, 2015, and 2014, we did not record any impairment of goodwill, our trade name or other amortizable intangible assets. Further, we do not consider any of the goodwill, trade name, or other amortizable intangible assets at risk of impairment.</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121"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We use the Black-Scholes option-pricing model to estimate the fair value for stock options. Critical inputs into the Black-Scholes option-pricing model include the following: option exercise price, fair value of the stock price, expected life of the option, annualized volatility of the stock, annual rate of quarterly dividends on the stock, and the risk-free interest rate.</w:t>
      </w:r>
    </w:p>
    <w:p>
      <w:pPr>
        <w:spacing w:after="0" w:line="68"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During fiscal 2016, the Company’s Board of Directors authorized and declared recurring cash dividends in the amount of $0.13 per share (declared in the first three quarters) and $0.15 per share (declared in the fourth quarter) to holders of Booz Allen Holding’s Class A Common Stock. Therefore, an annualized dividend yield between 1.79% and 2.27% was used in the Black-Scholes option-pricing model for all grants made during the fiscal year. Implied volatility is calculated as of each grant date based on our historical volatility along with an assessment of the historical volatility of a peer group of publicly traded companies. Until the historical volatility of the Company is available for a period consistent with the expected option term, we will continue to compare to a peer group volatility data to estimate expected volatility for future option grants. Other than the expected life of the option, volatility is the most sensitive input to our option grants. To be consistent with all other implied calculations, the same peer group used to calculate other implied metrics is also used to calculate implied volatility. The expected term is estimated using historical exercise patterns of our equity award recipients.</w:t>
      </w:r>
    </w:p>
    <w:p>
      <w:pPr>
        <w:spacing w:after="0" w:line="77"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The risk-free interest rate used in the Black-Scholes option-pricing model is determined by referencing the U.S. Treasury yield curve rates with the remaining term equal to the expected life assumed at the date of grant.</w:t>
      </w:r>
    </w:p>
    <w:p>
      <w:pPr>
        <w:spacing w:after="0" w:line="54"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Forfeitures are estimated based on our historical analysis of attrition levels. Forfeiture estimates are updated quarterly for actual forfeitures. We do not expect this assumption to change materially, as attrition levels associated with new option grants have not materially changed.</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public company, we use the closing price of our Class A Common Stock on the grant date for valuation purposes.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792" w:right="239" w:bottom="1440" w:gutter="0" w:footer="0" w:header="0"/>
        </w:sectPr>
      </w:pPr>
    </w:p>
    <w:bookmarkStart w:id="53" w:name="page54"/>
    <w:bookmarkEnd w:id="53"/>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121"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Provisions for federal, state, and foreign income taxes are calculated from the income reported on our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financial statements than for income tax purposes.</w:t>
      </w:r>
    </w:p>
    <w:p>
      <w:pPr>
        <w:spacing w:after="0" w:line="7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financial statement period may be materially impacted.</w:t>
      </w:r>
    </w:p>
    <w:p>
      <w:pPr>
        <w:spacing w:after="0" w:line="80"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 new standard that will replace existing revenue recognition standards and significantly expand the disclosure requirements for revenue arrangements. In July 2015, the FASB approved a one-year delay in the effective date of the standard to January 1, 2018, with an option that would permit companies to adopt the standard as early as the original effective date. Early adoption prior to the original effective date is not permitted.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 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We are still in the process of determining which transition method to utilize in order to adopt the new standard and still assessing what effect the adoption of this standard may have on the timing of our revenue recognition and our consolidated financial statements.</w:t>
      </w:r>
    </w:p>
    <w:p>
      <w:pPr>
        <w:spacing w:after="0" w:line="83"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Accounting Standards Update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which simplifies several aspects of the accounting for share-based payment transactions including the accounting for income taxes, forfeitures, and statutory tax withholding requirements. The ASU is effective for annual reporting periods beginning after December 15, 2016, with early adoption permitted. We are assessing what effect the adoption of this standard may have on our consolidated financial statements.</w:t>
      </w:r>
    </w:p>
    <w:p>
      <w:pPr>
        <w:spacing w:after="0" w:line="7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increase transparency and comparability of accounting for lease transactions. The new standard requires lessees to recognize lease assets and lease liabilities on their balance sheet for all leases with a lease term of greater than 12 months. Lessor accounting is largely unchanged. ASU 2016-02 is effective for fiscal years beginning after December 15, 2018, with early adoption permitted. We are assessing what effect the adoption of this standard may have on our consolidated financial statements.</w:t>
      </w:r>
    </w:p>
    <w:p>
      <w:pPr>
        <w:spacing w:after="0" w:line="7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November 2015, the FASB issued Accounting Standards Update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ASU 2015-17 simplifies the presentation of deferred income taxes and requires that deferred tax assets and liabilities, as well as any related valuation allowance, be classified as non-current in a classified balance sheet. We adopted ASU 2015-17 retrospectively during the fourth quarter of fiscal 2016. As a result, we now classify deferred tax assets and liabilities as non-current on our consolidated balance sheet for all periods presented. This change resulted in a reclassification of $14.5 million of current deferred tax assets reported in our March 31, 2015 consolidated balance sheet to non-current deferred tax assets, with no impact on total assets or the consolidated statement of operations.</w:t>
      </w:r>
    </w:p>
    <w:p>
      <w:pPr>
        <w:spacing w:after="0" w:line="7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The new standard requires debt issuance costs to be classified as a direct reduction of the related debt liability. The ASU is effective for annual reporting periods beginning after December 15, 2015, with early adoption permitted. We adopted ASU 2015-03 retrospectively during the fourth quarter of fiscal 2016, and reclassified $13.5 million of debt issuance costs previously reported as other long term assets as a reduction of the debt liability as of March 31, 2015. Debt issuance costs related to the Company's revolving credit facility continue to be classified as a long-term asset.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792" w:right="239" w:bottom="1440" w:gutter="0" w:footer="0" w:header="0"/>
        </w:sectPr>
      </w:pPr>
    </w:p>
    <w:bookmarkStart w:id="54" w:name="page55"/>
    <w:bookmarkEnd w:id="54"/>
    <w:p>
      <w:pPr>
        <w:ind w:right="80" w:firstLine="180"/>
        <w:spacing w:after="0" w:line="282" w:lineRule="auto"/>
        <w:rPr>
          <w:sz w:val="20"/>
          <w:szCs w:val="20"/>
          <w:color w:val="auto"/>
        </w:rPr>
      </w:pPr>
      <w:r>
        <w:rPr>
          <w:rFonts w:ascii="Times New Roman" w:cs="Times New Roman" w:eastAsia="Times New Roman" w:hAnsi="Times New Roman"/>
          <w:sz w:val="18"/>
          <w:szCs w:val="18"/>
          <w:color w:val="auto"/>
        </w:rPr>
        <w:t>Recent accounting pronouncements issued by the FASB during fiscal 2016 and through the filing date did not and are not believed by management to have a material impact on the Company's present or historical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7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and have been prepared in accordance with accounting principles generally accepted in the United States, or GAAP. All intercompany balances and transactions have been eliminated in consolidation.</w:t>
      </w:r>
    </w:p>
    <w:p>
      <w:pPr>
        <w:spacing w:after="0" w:line="122"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2016 and 2015 and the Company’s results of operations for fiscal 2016, fiscal 2015, and fiscal 2014.</w:t>
      </w:r>
    </w:p>
    <w:p>
      <w:pPr>
        <w:spacing w:after="0" w:line="122"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in accordance with our adoption of ASU 2015-03 and ASU 2015-17. See Note 2 in our notes to our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items from our consolidated statements of operations for the periods indicated: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0" w:type="dxa"/>
            <w:vAlign w:val="bottom"/>
            <w:gridSpan w:val="6"/>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2016</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2015</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6"/>
              </w:rPr>
              <w:t>Versus</w:t>
            </w:r>
          </w:p>
        </w:tc>
        <w:tc>
          <w:tcPr>
            <w:tcW w:w="14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Versus</w:t>
            </w:r>
          </w:p>
        </w:tc>
        <w:tc>
          <w:tcPr>
            <w:tcW w:w="0" w:type="dxa"/>
            <w:vAlign w:val="bottom"/>
          </w:tcPr>
          <w:p>
            <w:pPr>
              <w:spacing w:after="0"/>
              <w:rPr>
                <w:sz w:val="1"/>
                <w:szCs w:val="1"/>
                <w:color w:val="auto"/>
              </w:rPr>
            </w:pPr>
          </w:p>
        </w:tc>
      </w:tr>
      <w:tr>
        <w:trPr>
          <w:trHeight w:val="63"/>
        </w:trPr>
        <w:tc>
          <w:tcPr>
            <w:tcW w:w="4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2015</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5,405,738</w:t>
            </w:r>
          </w:p>
        </w:tc>
        <w:tc>
          <w:tcPr>
            <w:tcW w:w="3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5,274,770</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5,478,693</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78"/>
        </w:trPr>
        <w:tc>
          <w:tcPr>
            <w:tcW w:w="404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380" w:type="dxa"/>
            <w:vAlign w:val="bottom"/>
            <w:gridSpan w:val="3"/>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Cost of revenue</w:t>
            </w:r>
          </w:p>
        </w:tc>
        <w:tc>
          <w:tcPr>
            <w:tcW w:w="3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2,580,026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2,593,849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2,716,113</w:t>
            </w:r>
          </w:p>
        </w:tc>
        <w:tc>
          <w:tcPr>
            <w:tcW w:w="10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78"/>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Billable expenses</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1,513,083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1,406,527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1,487,115</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73"/>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806,509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752,912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742,527</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78"/>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61,536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62,660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72,327</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73"/>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4,961,154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4,815,948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5,018,082</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78"/>
        </w:trPr>
        <w:tc>
          <w:tcPr>
            <w:tcW w:w="404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4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income</w:t>
            </w:r>
          </w:p>
        </w:tc>
        <w:tc>
          <w:tcPr>
            <w:tcW w:w="3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444,584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458,822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460,611</w:t>
            </w:r>
          </w:p>
        </w:tc>
        <w:tc>
          <w:tcPr>
            <w:tcW w:w="1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73"/>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(78,030)</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78"/>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net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(631.1)%</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73"/>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385,918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380,787</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78"/>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153,349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148,599</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73"/>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294,094</w:t>
            </w:r>
          </w:p>
        </w:tc>
        <w:tc>
          <w:tcPr>
            <w:tcW w:w="3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232,569</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232,188</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59"/>
        </w:trPr>
        <w:tc>
          <w:tcPr>
            <w:tcW w:w="404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380" w:type="dxa"/>
            <w:vAlign w:val="bottom"/>
            <w:gridSpan w:val="3"/>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2016 Compared to Fiscal 2015</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6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Revenue increased to $5,405.7 million from $5,274.8 million, or a 2.5% increase as a result of an increase in client demand, which includes an increase in billable expenses, as well as the increase in indirect spending over the prior year period which had the effect of increasing revenue on cost reimbursable contracts. The increase in billable expenses was due to an increased use of subcontractors on contracts, which includes the impact of an increase in small business procurement goals set by the government. In addition, contracts which require the Company to incur direct expenses on behalf of our clients increased over the prior year period. The growth in indirect spending for the year was primarily driven by increased marketing, administrative, and bid and proposal activities in order to drive continued growth in fiscal 2017. The increase in revenue also benefitted from a net decrease in the Company's provisions for the potential recovery of allowable expenses recorded during fiscal 2016 without a similar net change for fiscal 2015. Conversions to funded backlog during fiscal 2016 totaled $5.4 billion</w:t>
      </w:r>
    </w:p>
    <w:p>
      <w:pPr>
        <w:sectPr>
          <w:pgSz w:w="11900" w:h="16838" w:orient="portrait"/>
          <w:cols w:equalWidth="0" w:num="1">
            <w:col w:w="11420"/>
          </w:cols>
          <w:pgMar w:left="240" w:top="796"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796" w:right="239" w:bottom="1440" w:gutter="0" w:footer="0" w:header="0"/>
          <w:type w:val="continuous"/>
        </w:sectPr>
      </w:pPr>
    </w:p>
    <w:bookmarkStart w:id="55" w:name="page56"/>
    <w:bookmarkEnd w:id="55"/>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in comparison to $5.7 billion for the comparable year </w:t>
      </w:r>
      <w:r>
        <w:rPr>
          <w:rFonts w:ascii="Times New Roman" w:cs="Times New Roman" w:eastAsia="Times New Roman" w:hAnsi="Times New Roman"/>
          <w:sz w:val="18"/>
          <w:szCs w:val="18"/>
          <w:color w:val="231F20"/>
        </w:rPr>
        <w:t>with the decrease from fiscal 2015 to fiscal 2016 due to</w:t>
      </w:r>
      <w:r>
        <w:rPr>
          <w:rFonts w:ascii="Times New Roman" w:cs="Times New Roman" w:eastAsia="Times New Roman" w:hAnsi="Times New Roman"/>
          <w:sz w:val="18"/>
          <w:szCs w:val="18"/>
          <w:color w:val="auto"/>
        </w:rPr>
        <w:t xml:space="preserve"> the increase in burn rate of funded backlog compared to awarded task orders under which funding was appropriated.</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65"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Cost of revenue decreased to $2,580.0 million from $2,593.8 million, or a 0.5% decrease. This decrease was primarily due to a decrease in salaries and salary-related benefits of $5.8 million and a decrease in incentive compensation of $10.1 million. The decrease in salaries and salary-related benefits was due to a decrease in medical insurance expense as well as an increase in consulting staff time spent on strategic investment and bid and proposal activities, in lieu of direct contract activities, over the prior year. As proposal activity is a general and administrative activity, this contributes to a decrease within cost of revenue. Cost of revenue as a percentage of revenue was 47.7% and 49.2% in fiscal 2016 and fiscal 2015, respectively.</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6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Billable expenses increased to $1,513.1 million from $1,406.5 million, or a 7.6% increase. The overall increase was primarily attributable to an increase in small business procurement goals set by the government which required the Company to utilize more subcontractors in the current year. In addition, contracts which require the Company to incur direct expenses on behalf of our clients has increased over the prior year period. Billable expenses as a percentage of revenue was 28.0% and 26.7% in fiscal 2016 and fiscal 2015, respectively.</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6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to $806.5 million from $752.9 million, or a 7.1% increase. This increase was mainly due to an increase in salaries and salary-related benefits of $43.5 million, primarily due to an increase in consulting staff time spent on strategic investment and bid and proposal activities, in lieu of direct contract activities, over the prior year. In addition, there was an increase in professional fees and other business expenses of $18.5 million. The increases were partially offset by a decrease in incentive compensation of $6.4 million. General and administrative expenses as a percentage of revenue were 14.9% and 14.3% for fiscal 2016 and fiscal 2015, respectively.</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 decreased to $61.5 million from $62.7 million, or a 1.8% decrease.</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expense decreased to $70.8 million from $71.8 million, or a 1.4% decrease.</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Income tax expense decreased to $85.4 million from $153.3 million, or a 44.3% decrease, primarily due to a decrease in the effective tax rate in fiscal</w:t>
      </w:r>
    </w:p>
    <w:p>
      <w:pPr>
        <w:spacing w:after="0" w:line="2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2016 from 39.7% to 22.5%. The effective tax rate decreased primarily due to the release of uncertain tax position reserves and certain income tax credits recognized in the current year.</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Fiscal 2015 Compared to Fiscal 2014</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65"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Revenue decreased to $5,274.8 million from $5,478.7 million, or a 3.7% decrease, as a result of lower demand, primarily driven by the continuing effect of macro challenges in the federal government spending environment. However, maintaining solid productivity and deployment of consulting staff on billable work mitigated the impact of these conditions on our revenue performance. In addition, the Company reported a second sequential quarter of headcount increases to deploy against existing and future funded work. Although headcount has increased in the most recent months, the average headcount over the last twelve months declined which led to fewer billable hours in total and an overall decrease in revenue for fiscal 2015. The revenue decline year over year was also attributable to a reduction in billable expenses due to a decline in our use of subcontractors and other direct expenses incurred to perform on contracts. Conversions to funded backlog during fiscal 2015 totaled $5.7 billion in comparison to $5.3 billion for the comparable year. The revenue conversion was a result of the conversion of unfunded backlog to funded backlog, the award of new contracts and task orders under which funding was appropriated, and the exercise and subsequent funding of priced options.</w:t>
      </w:r>
    </w:p>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65"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Cost of revenue decreased to $2,593.8 million from $2,716.1 million, or a 4.5% decrease. This decrease was primarily due to a decrease in salaries and salary-related benefits of $96.6 million and a decrease in employer retirement plan contributions of $52.0 million. The decrease in salaries and salary-related benefits was primarily due to reduced headcount in direct consulting staff throughout fiscal 2015. The decrease in employer retirement plan contributions was due to a decrease in the Company's expected discretionary employer contribution percentage due to a change to the matching program effective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742" w:right="259" w:bottom="1440" w:gutter="0" w:footer="0" w:header="0"/>
        </w:sectPr>
      </w:pPr>
    </w:p>
    <w:bookmarkStart w:id="56" w:name="page57"/>
    <w:bookmarkEnd w:id="56"/>
    <w:p>
      <w:pPr>
        <w:ind w:right="80"/>
        <w:spacing w:after="0" w:line="282" w:lineRule="auto"/>
        <w:rPr>
          <w:sz w:val="20"/>
          <w:szCs w:val="20"/>
          <w:color w:val="auto"/>
        </w:rPr>
      </w:pPr>
      <w:r>
        <w:rPr>
          <w:rFonts w:ascii="Times New Roman" w:cs="Times New Roman" w:eastAsia="Times New Roman" w:hAnsi="Times New Roman"/>
          <w:sz w:val="18"/>
          <w:szCs w:val="18"/>
          <w:color w:val="auto"/>
        </w:rPr>
        <w:t>April 1, 2014 as well as the reduced headcount noted above. Cost of revenue as a percentage of revenue was 49.2% and 49.6% in fiscal 2015 and fiscal 2014, respectively.</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Billable Expenses</w:t>
      </w:r>
    </w:p>
    <w:p>
      <w:pPr>
        <w:spacing w:after="0" w:line="65"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Billable expenses decreased to $1,406.5 million from $1,487.1 million, or a 5.4% decrease. The overall decrease was primarily due to decreases in subcontractor-related expenses and other direct expenses of $91.4 million incurred to perform on contracts. Direct subcontractor related expenses decreased due to lower demand. Billable expenses as a percentage of revenue was 26.7% and 27.1% in fiscal 2015 and fiscal 2014, respectively.</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6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to $752.9 million from $742.5 million, or a 1.4% increase. This increase was primarily due to an increase in incentive and stock-based compensation of $3.5 million and an increase in professional fees and other business expenses of $12.0 million. This was partially offset by decreases in employer retirement plan contribution of $2.9 million. The decrease in employer retirement plan contributions was due to a decrease in the Company's expected discretionary employer contribution percentage due to a change to the matching program effective April 1, 2014 as well as the reduced headcount. General and administrative expenses as a percentage of revenue were 14.3% and 13.6% for fiscal 2015 and fiscal 2014, respectively.</w:t>
      </w:r>
    </w:p>
    <w:p>
      <w:pPr>
        <w:spacing w:after="0" w:line="1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65"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to $62.7 million from $72.3 million, or a 13.4% decrease, primarily due to a reduction in amortization of intangible assets, as well as a decrease in depreciation expense resulting from the effect of lower capital expenditures in prior years.</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65"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Interest expense decreased to $71.8 million from $78.0 million, or a 7.9% decrease, primarily as a result of the Second Amendment to the Credit Agreement consummated in May 2014. The Company increased its borrowing under Term Loan A by approximately $168.4 million, the proceeds of which were used to pay outstanding principal on the Term Loan B. As the interest rates for Term Loan A are lower than those for Term Loan B, total interest expense decreased for fiscal 2015 as compared to fiscal 2014.</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65"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Income tax expense increased to $153.3 million from $148.6 million, or a 3.2% increase, due to an increase in pre-tax income and to an increase in the effective tax rate in fiscal 2015 from 39.0% to 39.7%. The increase in the effective tax rate primarily relates to income tax credits recognized during fiscal 2015 that were lower than that recognized in fiscal 2014, as well as an increase in foreign tax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for the periods presented:</w:t>
      </w:r>
    </w:p>
    <w:p>
      <w:pPr>
        <w:spacing w:after="0" w:line="381"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40" w:type="dxa"/>
            <w:vAlign w:val="bottom"/>
            <w:tcBorders>
              <w:bottom w:val="single" w:sz="8" w:color="auto"/>
            </w:tcBorders>
          </w:tcPr>
          <w:p>
            <w:pPr>
              <w:spacing w:after="0"/>
              <w:rPr>
                <w:sz w:val="16"/>
                <w:szCs w:val="16"/>
                <w:color w:val="auto"/>
              </w:rPr>
            </w:pPr>
          </w:p>
        </w:tc>
      </w:tr>
      <w:tr>
        <w:trPr>
          <w:trHeight w:val="264"/>
        </w:trPr>
        <w:tc>
          <w:tcPr>
            <w:tcW w:w="5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5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5"/>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187,529</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207,217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259,994</w:t>
            </w: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1,597,261</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1,612,824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1,658,919</w:t>
            </w:r>
          </w:p>
        </w:tc>
      </w:tr>
      <w:tr>
        <w:trPr>
          <w:trHeight w:val="27"/>
        </w:trPr>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5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249,234</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309,958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332,718</w:t>
            </w:r>
          </w:p>
        </w:tc>
      </w:tr>
      <w:tr>
        <w:trPr>
          <w:trHeight w:val="27"/>
        </w:trPr>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w:t>
            </w: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(409,552)</w:t>
            </w:r>
          </w:p>
        </w:tc>
      </w:tr>
      <w:tr>
        <w:trPr>
          <w:trHeight w:val="27"/>
        </w:trPr>
        <w:tc>
          <w:tcPr>
            <w:tcW w:w="5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decrease in 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shareholders in the form of payment of recurring and special dividends and share repurchases.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742" w:right="239" w:bottom="1440" w:gutter="0" w:footer="0" w:header="0"/>
        </w:sectPr>
      </w:pPr>
    </w:p>
    <w:bookmarkStart w:id="57" w:name="page58"/>
    <w:bookmarkEnd w:id="57"/>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We have historically been able to generate sufficient cash to fund our operations, debt payments, capital expenditures, and discretionary funding needs.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88"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including salaries;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to fund the growth of our business;</w:t>
      </w:r>
    </w:p>
    <w:p>
      <w:pPr>
        <w:spacing w:after="0" w:line="225" w:lineRule="exact"/>
        <w:rPr>
          <w:rFonts w:ascii="Times New Roman" w:cs="Times New Roman" w:eastAsia="Times New Roman" w:hAnsi="Times New Roman"/>
          <w:sz w:val="18"/>
          <w:szCs w:val="18"/>
          <w:color w:val="auto"/>
        </w:rPr>
      </w:pPr>
    </w:p>
    <w:p>
      <w:pPr>
        <w:ind w:left="1300" w:right="56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primarily relate to the purchase of computers, business systems, furniture and leasehold improvements to support our operations;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for borrowings under our senior secured loan facilities;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taxes to be paid.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8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60 and 59 as of March 31, 2016 and 2015, respectively.</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22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Net cash from operations is primarily affected by the overall profitability of our contracts, our ability to invoice and collect from clients in a timely manner, and our ability to manage our vendor payments. Net cash provided by operations was $249.2 million in fiscal 2016 compared to $310.0 million in the same prior year period, or a 19.6% decrease. The decrease in net cash provided by operations was primarily due to the following:</w:t>
      </w:r>
    </w:p>
    <w:p>
      <w:pPr>
        <w:spacing w:after="0" w:line="176"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working capital needs as a result of higher indirect spending during fiscal 2016;</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days sales outstanding as a result of an increase in accounts receivable relative to our increase in revenue, driven by higher spending and changes in certain new contract billing terms;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taxes paid due to the timing of estimated tax payments.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Cash from Investing Activities</w:t>
      </w:r>
    </w:p>
    <w:p>
      <w:pPr>
        <w:spacing w:after="0" w:line="227"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$117.8 million in fiscal 2016 compared to $60.6 million in the prior year period, or a 94.4% increase. The increase in net cash used in investing activities was due to the Company's acquisition of the software services unit of SPARC, LLC as well as an increase in capital expenditures over the prior year primarily due to leasehold improvements related to the reconfiguration of our facilities footprint.</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797" w:right="259" w:bottom="1440" w:gutter="0" w:footer="0" w:header="0"/>
        </w:sectPr>
      </w:pPr>
    </w:p>
    <w:bookmarkStart w:id="58" w:name="page59"/>
    <w:bookmarkEnd w:id="58"/>
    <w:p>
      <w:pPr>
        <w:ind w:left="260"/>
        <w:spacing w:after="0"/>
        <w:rPr>
          <w:sz w:val="20"/>
          <w:szCs w:val="20"/>
          <w:color w:val="auto"/>
        </w:rPr>
      </w:pPr>
      <w:r>
        <w:rPr>
          <w:rFonts w:ascii="Times New Roman" w:cs="Times New Roman" w:eastAsia="Times New Roman" w:hAnsi="Times New Roman"/>
          <w:sz w:val="18"/>
          <w:szCs w:val="18"/>
          <w:i w:val="1"/>
          <w:iCs w:val="1"/>
          <w:color w:val="auto"/>
        </w:rPr>
        <w:t>Net Cash from Financing Activities</w:t>
      </w:r>
    </w:p>
    <w:p>
      <w:pPr>
        <w:spacing w:after="0" w:line="227"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was $151.2 million in fiscal 2016 compared to $302.2 million in the prior year period, or a 50.0% decrease. The decrease in net cash used in financing activities was primarily due to a lack of a special cash dividend paid in fiscal 2016 as compared to fiscal 2015 and a decrease in the payment of dividend equivalents to option holders primarily due to the timing of such payments. These decreases were partially offset by increased principal payments of $57.1 million on our debt in fiscal 2016 as compared to $31.1 million in the prior year period. With the May 2014 debt amendment, there were no quarterly principal payments required in the first quarter of fiscal 2015, which results in one less quarterly payment in the first half of fiscal 2015 in comparison to the first half of fiscal 2016. In addition, beginning in September of fiscal 2016 the quarterly payment increased by an additional $5 million. In addition, on March 30, 2016, the Company borrowed $35.0 million against its revolving credit facility which was repaid on April 5, 2016.</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Share Repurchases</w:t>
      </w:r>
    </w:p>
    <w:p>
      <w:pPr>
        <w:spacing w:after="0" w:line="22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Company paid $0.54 in dividends per share to shareholders of record in fiscal 2016. On May 18, 2016, the Company announced a regular quarterly cash dividend in the amount of $0.15 per share. The quarterly dividend is payable on June 30, 2016 to stockholders of record on June 10, 2016.</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cash distributions recognized in the consolidated statement of cash flows:</w:t>
      </w:r>
    </w:p>
    <w:p>
      <w:pPr>
        <w:spacing w:after="0" w:line="200" w:lineRule="exact"/>
        <w:rPr>
          <w:sz w:val="20"/>
          <w:szCs w:val="20"/>
          <w:color w:val="auto"/>
        </w:rPr>
      </w:pPr>
    </w:p>
    <w:p>
      <w:pPr>
        <w:spacing w:after="0" w:line="248" w:lineRule="exact"/>
        <w:rPr>
          <w:sz w:val="20"/>
          <w:szCs w:val="20"/>
          <w:color w:val="auto"/>
        </w:rPr>
      </w:pPr>
    </w:p>
    <w:tbl>
      <w:tblPr>
        <w:tblLayout w:type="fixed"/>
        <w:tblInd w:w="142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0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Recurring dividends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dividends (2)</w:t>
            </w:r>
          </w:p>
        </w:tc>
        <w:tc>
          <w:tcPr>
            <w:tcW w:w="3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288,739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equivalents (3)</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56,138</w:t>
            </w:r>
          </w:p>
        </w:tc>
      </w:tr>
      <w:tr>
        <w:trPr>
          <w:trHeight w:val="257"/>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distributions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262,204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401,940</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recurring dividends that were declared and paid for during each quarter of fiscal 2016, fiscal 2015, and fiscal 2014.</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aggregate special dividends of $1.00 per share ($1.00 paid on August 29, 2014) and $2.00 per share ($1.00 paid November 29, 2013 and $1.00 paid February 28, 2014) that were declared and paid for during fiscal 2015 and fiscal 2014, respectively.</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are distributions made to option holders equal to the previously declared special dividends.</w:t>
      </w:r>
    </w:p>
    <w:p>
      <w:pPr>
        <w:spacing w:after="0" w:line="22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December 12, 2011, the Board of Directors authorized the repurchase of up to $30.0 million of our shares. On January 27, 2015, the share repurchase authorization was increased to $180.0 million. During fiscal 2016 and fiscal 2015, the Company purchased 2.1 million and 2.0 million shares of the Company’s Class A Common Stock for an aggregate of $54.9 million and $53.5 million respectively. Following the aforementioned repurchases, the Company currently has $71.7 million remaining under the repurchase program.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Our debt totaled $1,597.3 million and $1,612.8 million as of March 31, 2016 and 2015, respectively. Our debt bears interest at specified rates and is held by a syndicate of lenders (see Note 10 in our consolidated financial statements).</w:t>
      </w:r>
    </w:p>
    <w:p>
      <w:pPr>
        <w:spacing w:after="0" w:line="16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May 7, 2014, the Company entered into the Second Amendment to the Credit Agreement, dated as of July 31, 2012 (as previously amended by the First Amendment to the Credit Agreement, dated as of August 16, 2013). Following the Second Amendment, the interest rates for the Term Loan A facility and Term Loan B facility remain unchanged. The Second Amendment extended the maturity date of the Term Loan A and the revolving credit facility to May 31, 2019. The maturity date for the Term Loan B facility remained unchanged. The Company also amended its existing debt covenants to provide for greater operational and financial flexibility. As of March 31, 2016, the Credit Agreement, as amended, provided the Company with a $830.0 million Term Loan A facility and a $841.2 million Term Loan B facility, and a $500.0 million revolving credit facility with a $100.0 million sublimit for letters of credit. As of March 31, 2016, we had $741.8 million and $841.2 million principal outstanding under the Term Loan A facility and Term Loan B facility, respectively. As of March 31, 2015, we had $798.9 million and $841.2 million principal outstanding under the Term Loan A facility and Term Loan B facility, respectively, of our prior credit facility.</w:t>
      </w:r>
    </w:p>
    <w:p>
      <w:pPr>
        <w:sectPr>
          <w:pgSz w:w="11900" w:h="16838" w:orient="portrait"/>
          <w:cols w:equalWidth="0" w:num="1">
            <w:col w:w="11420"/>
          </w:cols>
          <w:pgMar w:left="240" w:top="794"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794" w:right="239" w:bottom="1440" w:gutter="0" w:footer="0" w:header="0"/>
          <w:type w:val="continuous"/>
        </w:sectPr>
      </w:pPr>
    </w:p>
    <w:bookmarkStart w:id="59" w:name="page60"/>
    <w:bookmarkEnd w:id="59"/>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occasionally borrow under our revolving credit facility in anticipation of cash demands. During the second, third, and fourth quarters of fiscal 2016, the Company's wholly-owned subsidiary Booz Allen Hamilton Inc. accessed a total of $25.0 million, $123.0 million, and $125.0 million respectively, of its $500.0 million revolving credit facility. As of March 31, 2016, $35 million was outstanding on the revolving credit facility, which was repaid on April 5, 2016. During the second and fourth quarters of fiscal 2015 the Company's wholly-owned subsidiary Booz Allen Hamilton, Inc. accessed a total of $30.0 million and $50.0 million, respectively, of the revolving credit facility. As of March 31, 2015, no amounts were outstanding on the revolving credit facility.</w:t>
      </w:r>
    </w:p>
    <w:p>
      <w:pPr>
        <w:spacing w:after="0" w:line="184"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Second Amendment, no additional principal payments are required until the remaining balance is due on Term Loan B's maturity date of July 31, 2019. The revolving credit facility matures on May 31, 2019, at which time any outstanding principal balance is due in full.</w:t>
      </w:r>
    </w:p>
    <w:p>
      <w:pPr>
        <w:spacing w:after="0" w:line="184"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interest rate on borrowings under Term Loan A is LIBOR plus 2.50% spread. The spread ranges from 2.00% to 2.75% based on the Company's total leverage ratio. The interest rate on borrowings under Term Loan B is LIBOR plus 3.0% spread with a 0.75% floor. The spread ranges from 2.00% to 3.00% based upon either an ABR or LIBOR borrowing. The revolving credit facility margin and commitment fee are subject to the leveraged based pricing grid, as set forth in the Credit Agreement, as amended. As of March 31, 2016 and 2015, we were contingently liable under open standby letters of credit and bank guarantees issued by our banks in favor of third parties that totaled $6.6 million and $5.3 million, respectively. These letters of credit and bank guarantees primarily support insurance and bid and performance obligations. At March 31, 2016 and 2015, approximately $1.8 million and $5.2 million of these instruments reduce our available borrowings under the revolving credit facility. The remainder are guaranteed under a separate $10.0 million facility established in fiscal 2015, of which $5.2 million and $4.9 million, respectively, was available to us at March 31, 2016 and 2015. As of March 31, 2016, we had $463.2 million of capacity available for additional borrowings under the revolving credit facility.</w:t>
      </w:r>
    </w:p>
    <w:p>
      <w:pPr>
        <w:spacing w:after="0" w:line="18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March 31, 2016, we were compliant with these covenants.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fiscal 2016, interest payments of $22.0 million and $34.7 million were made for the Term Loan A and Term Loan B facilities,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2015, interest payments of $21.0 million and $29.0 million were made for the Term Loan A and Term Loan B facilities, respectively.</w:t>
      </w:r>
    </w:p>
    <w:p>
      <w:pPr>
        <w:spacing w:after="0" w:line="207"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total outstanding debt balance is recorded in the accompanying consolidated balance sheets net of unamortized discount and debt issuance costs of $20.7 million and $27.2 million as of March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 and Resources</w:t>
      </w:r>
    </w:p>
    <w:p>
      <w:pPr>
        <w:spacing w:after="0" w:line="1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Our stockholders’ equity amounted to $408.5 million as of March 31, 2016, an increase of $222.0 million compared to stockholders’ equity of $186.5 million as of March 31, 2015. The increase was </w:t>
      </w:r>
      <w:r>
        <w:rPr>
          <w:rFonts w:ascii="Times New Roman" w:cs="Times New Roman" w:eastAsia="Times New Roman" w:hAnsi="Times New Roman"/>
          <w:sz w:val="18"/>
          <w:szCs w:val="18"/>
          <w:color w:val="231F20"/>
        </w:rPr>
        <w:t>primarily due to</w:t>
      </w:r>
      <w:r>
        <w:rPr>
          <w:rFonts w:ascii="Times New Roman" w:cs="Times New Roman" w:eastAsia="Times New Roman" w:hAnsi="Times New Roman"/>
          <w:sz w:val="18"/>
          <w:szCs w:val="18"/>
          <w:color w:val="auto"/>
        </w:rPr>
        <w:t xml:space="preserve"> net income of $294.1 million in fiscal 2016, $31.9 million in excess tax benefits for the exercise of stock options, and stock-based compensation expense of $25.0 million, partially offset by $80.0 million in recurring dividends and a $63.2 million increase in treasury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2016, we did not have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4"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that require us to make future cash payments as of March 31, 2016. For contractual obligations, we included payments that we have an unconditional obligation to make.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796"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980" w:type="dxa"/>
            <w:vAlign w:val="bottom"/>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1 to 3</w:t>
            </w:r>
          </w:p>
        </w:tc>
        <w:tc>
          <w:tcPr>
            <w:tcW w:w="280" w:type="dxa"/>
            <w:vAlign w:val="bottom"/>
          </w:tcPr>
          <w:p>
            <w:pPr>
              <w:spacing w:after="0"/>
              <w:rPr>
                <w:sz w:val="12"/>
                <w:szCs w:val="12"/>
                <w:color w:val="auto"/>
              </w:rPr>
            </w:pPr>
          </w:p>
        </w:tc>
        <w:tc>
          <w:tcPr>
            <w:tcW w:w="1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3 to 5</w:t>
            </w:r>
          </w:p>
        </w:tc>
        <w:tc>
          <w:tcPr>
            <w:tcW w:w="200" w:type="dxa"/>
            <w:vAlign w:val="bottom"/>
          </w:tcPr>
          <w:p>
            <w:pPr>
              <w:spacing w:after="0"/>
              <w:rPr>
                <w:sz w:val="12"/>
                <w:szCs w:val="12"/>
                <w:color w:val="auto"/>
              </w:rPr>
            </w:pPr>
          </w:p>
        </w:tc>
        <w:tc>
          <w:tcPr>
            <w:tcW w:w="1060" w:type="dxa"/>
            <w:vAlign w:val="bottom"/>
          </w:tcPr>
          <w:p>
            <w:pPr>
              <w:jc w:val="right"/>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1,583,001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448,201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1,056,987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362,971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109,940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112,584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indebtedness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161,671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96,610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payment obligation (b)</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Revolver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to option holders (c)</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liabilities for uncertain tax positions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2,236,144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316,192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657,106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1,056,987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112,584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hanging="316"/>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10 to our consolidated financial statements for additional information regarding debt and related matters.</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 million deferred payment obligation balance plus interest due within the next year.</w:t>
      </w:r>
    </w:p>
    <w:p>
      <w:pPr>
        <w:spacing w:after="0" w:line="9" w:lineRule="exact"/>
        <w:rPr>
          <w:rFonts w:ascii="Times New Roman" w:cs="Times New Roman" w:eastAsia="Times New Roman" w:hAnsi="Times New Roman"/>
          <w:sz w:val="18"/>
          <w:szCs w:val="18"/>
          <w:color w:val="auto"/>
        </w:rPr>
      </w:pPr>
    </w:p>
    <w:p>
      <w:pPr>
        <w:ind w:left="540" w:right="60" w:hanging="316"/>
        <w:spacing w:after="0" w:line="255"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liabilities to holders of stock options issued under our Officers’ Rollover Stock Plan and the Equity Incentive Plan, as amended, related to the reduction in the exercise price of such options as a result of special dividends paid in July and December 2009, June and August 2012, November 2013, and February and August 2014.</w:t>
      </w:r>
    </w:p>
    <w:p>
      <w:pPr>
        <w:spacing w:after="0" w:line="132"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fiscal 2016 and 2015 were $66.6 million and $36.0 million, respectively, and the majority of such capital expenditures related to facilities infrastructure and the reconfiguration of our Washington, D.C. area facilities,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 are subject to a number of reviews, investigations, claims, lawsuits, and other uncertainties related to our business. For a discussion of these items, refer to Note 19 to our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912" w:right="239" w:bottom="1440" w:gutter="0" w:footer="0" w:header="0"/>
        </w:sectPr>
      </w:pPr>
    </w:p>
    <w:bookmarkStart w:id="61" w:name="page62"/>
    <w:bookmarkEnd w:id="61"/>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9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outstanding debt and cash equivalents, which consist primarily of funds invested in U.S. government insured money-market accounts and prime money-market funds. As of March 31, 2016 and 2015, we had $187.5 million and $207.2 million, respectively, in cash and cash equivalents. The interest expense associated with our term loans and any loans under our revolving credit facility will vary with market rates.</w:t>
      </w:r>
    </w:p>
    <w:p>
      <w:pPr>
        <w:spacing w:after="0" w:line="12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related to our outstanding debt will impact our senior secured loan facilities. A hypothetical 1% increase in interest rates would have increased interest expense related to the term facilities under our senior secured loan facilities by approximately $6.2 million in fiscal 2016 and $8.7 million in fiscal 2015, and likewise decreased our income and cash flows. A hypothetical increase of LIBOR to 4%, the average historical three-month LIBOR, would have increased interest expense related to all term facilities under our senior secured loan facilities by approximately $53.7 million in fiscal 2016 and $57.9 million in fiscal 2015, and likewise decreased our income and cash flows. The year over year decrease in interest expense is primarily due to the Second Amendment to the Credit Agreement consummated in May 2014. The Company increased its borrowing under Term Loan A, the proceeds of which were used to pay outstanding principal on the Term Loan B. As the interest rates for Term Loan A are lower than those for Term Loan B, total interest expense decreased for fiscal 2016 as compared to fiscal 2015.</w:t>
      </w:r>
    </w:p>
    <w:p>
      <w:pPr>
        <w:spacing w:after="0" w:line="131" w:lineRule="exact"/>
        <w:rPr>
          <w:sz w:val="20"/>
          <w:szCs w:val="20"/>
          <w:color w:val="auto"/>
        </w:rPr>
      </w:pPr>
    </w:p>
    <w:p>
      <w:pPr>
        <w:jc w:val="both"/>
        <w:ind w:right="340" w:firstLine="432"/>
        <w:spacing w:after="0" w:line="313" w:lineRule="auto"/>
        <w:rPr>
          <w:sz w:val="20"/>
          <w:szCs w:val="20"/>
          <w:color w:val="auto"/>
        </w:rPr>
      </w:pPr>
      <w:r>
        <w:rPr>
          <w:rFonts w:ascii="Times New Roman" w:cs="Times New Roman" w:eastAsia="Times New Roman" w:hAnsi="Times New Roman"/>
          <w:sz w:val="17"/>
          <w:szCs w:val="17"/>
          <w:color w:val="auto"/>
        </w:rPr>
        <w:t>The return on our cash and cash equivalents balance as of March 31, 2016 and 2015 was less than 1%. Therefore, although investment interest rates may continue to decrease in the future, the corresponding impact to our interest income, and likewise to our income and cash flow, would not be material.</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use derivative financial instruments in our investment portfolio and have not entered into any hedging transactions.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684"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r>
              <w:rPr>
                <w:rFonts w:ascii="Times New Roman" w:cs="Times New Roman" w:eastAsia="Times New Roman" w:hAnsi="Times New Roman"/>
                <w:sz w:val="18"/>
                <w:szCs w:val="18"/>
                <w:b w:val="1"/>
                <w:bCs w:val="1"/>
                <w:i w:val="1"/>
                <w:iCs w:val="1"/>
                <w:color w:val="auto"/>
              </w:rPr>
              <w:t>.</w:t>
            </w:r>
          </w:p>
        </w:tc>
        <w:tc>
          <w:tcPr>
            <w:tcW w:w="942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INDEX TO THE 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9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80" w:type="dxa"/>
            <w:vAlign w:val="bottom"/>
            <w:gridSpan w:val="8"/>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Report of Ernst &amp; Young LLP, Independent Registered Public Accounting Firm</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F-2</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40" w:type="dxa"/>
            <w:vAlign w:val="bottom"/>
            <w:gridSpan w:val="3"/>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Consolidated Balance Sheets as of March 31, 2016 and 2015</w:t>
              </w:r>
            </w:hyperlink>
          </w:p>
        </w:tc>
        <w:tc>
          <w:tcPr>
            <w:tcW w:w="344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F-3</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20" w:type="dxa"/>
            <w:vAlign w:val="bottom"/>
            <w:gridSpan w:val="4"/>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Consolidated Statements of Operations for the Fiscal Years Ended March 31, 2016, 2015 and 2014</w:t>
              </w:r>
            </w:hyperlink>
          </w:p>
        </w:tc>
        <w:tc>
          <w:tcPr>
            <w:tcW w:w="20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F-4</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Comprehensive Income for the Fiscal Years Ended March 31, 2016, 2015 and 2014</w:t>
              </w:r>
            </w:hyperlink>
          </w:p>
        </w:tc>
        <w:tc>
          <w:tcPr>
            <w:tcW w:w="500" w:type="dxa"/>
            <w:vAlign w:val="bottom"/>
          </w:tcPr>
          <w:p>
            <w:pPr>
              <w:spacing w:after="0"/>
              <w:rPr>
                <w:sz w:val="24"/>
                <w:szCs w:val="24"/>
                <w:color w:val="auto"/>
              </w:rPr>
            </w:pPr>
          </w:p>
        </w:tc>
        <w:tc>
          <w:tcPr>
            <w:tcW w:w="740" w:type="dxa"/>
            <w:vAlign w:val="bottom"/>
            <w:gridSpan w:val="3"/>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F-5</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5"/>
          </w:tcPr>
          <w:p>
            <w:pPr>
              <w:spacing w:after="0"/>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Consolidated Statements of Cash Flows for the Fiscal Years Ended March 31, 2016, 2015 and 2014</w:t>
              </w:r>
            </w:hyperlink>
          </w:p>
        </w:tc>
        <w:tc>
          <w:tcPr>
            <w:tcW w:w="86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F-6</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Statements of Stockholders' Equity for the Fiscal Years Ended March 31, 2016, 2015 and 2014</w:t>
              </w:r>
            </w:hyperlink>
          </w:p>
        </w:tc>
        <w:tc>
          <w:tcPr>
            <w:tcW w:w="500" w:type="dxa"/>
            <w:vAlign w:val="bottom"/>
          </w:tcPr>
          <w:p>
            <w:pPr>
              <w:spacing w:after="0"/>
              <w:rPr>
                <w:sz w:val="24"/>
                <w:szCs w:val="24"/>
                <w:color w:val="auto"/>
              </w:rPr>
            </w:pPr>
          </w:p>
        </w:tc>
        <w:tc>
          <w:tcPr>
            <w:tcW w:w="740" w:type="dxa"/>
            <w:vAlign w:val="bottom"/>
            <w:gridSpan w:val="3"/>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F-7</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660" w:type="dxa"/>
            <w:vAlign w:val="bottom"/>
            <w:gridSpan w:val="5"/>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gridSpan w:val="6"/>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Notes to Consolidated Financial Statements</w:t>
              </w:r>
            </w:hyperlink>
          </w:p>
        </w:tc>
        <w:tc>
          <w:tcPr>
            <w:tcW w:w="13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F-8</w:t>
              </w:r>
            </w:hyperlink>
          </w:p>
        </w:tc>
      </w:tr>
      <w:tr>
        <w:trPr>
          <w:trHeight w:val="723"/>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4800" w:type="dxa"/>
            <w:vAlign w:val="bottom"/>
            <w:gridSpan w:val="6"/>
          </w:tcPr>
          <w:p>
            <w:pPr>
              <w:jc w:val="center"/>
              <w:ind w:right="4140"/>
              <w:spacing w:after="0"/>
              <w:rPr>
                <w:sz w:val="20"/>
                <w:szCs w:val="20"/>
                <w:color w:val="auto"/>
              </w:rPr>
            </w:pPr>
            <w:r>
              <w:rPr>
                <w:rFonts w:ascii="Times New Roman" w:cs="Times New Roman" w:eastAsia="Times New Roman" w:hAnsi="Times New Roman"/>
                <w:sz w:val="18"/>
                <w:szCs w:val="18"/>
                <w:color w:val="auto"/>
              </w:rPr>
              <w:t>F-1</w:t>
            </w:r>
          </w:p>
        </w:tc>
        <w:tc>
          <w:tcPr>
            <w:tcW w:w="5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Ernst &amp; Young LLP,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Booz Allen Hamilton Holding Corporation</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Booz Allen Hamilton Holding Corporation as of March 31, 2016 and 2015, and the related consolidated statements of operations, comprehensive income, stockholders’ equity and cash flows for each of the three years in the period ended March 31, 2016.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Booz Allen Hamilton Holding Corporation at March 31, 2016 and 2015, and the consolidated results of its operations and its cash flows for each of the three years in the period ended March 31, 2016, in conformity with U.S. generally accepted accounting principles.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Booz Allen Hamilton Holding Corporation’s internal control over financial reporting as of March 31, 2016, based on criteria established in Internal Control-Integrated Framework issued by the Committee of Sponsoring Organizations of the Treadway Commission (2013 framework) and our report dated May 19, 2016 expressed an unqualified opinion thereon.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2016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80"/>
          </w:cols>
          <w:pgMar w:left="240" w:top="901" w:right="2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2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20" w:type="dxa"/>
            <w:vAlign w:val="bottom"/>
            <w:gridSpan w:val="4"/>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(Amounts in thousands, except</w:t>
            </w: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share and per share data)</w:t>
            </w:r>
          </w:p>
        </w:tc>
        <w:tc>
          <w:tcPr>
            <w:tcW w:w="0" w:type="dxa"/>
            <w:vAlign w:val="bottom"/>
          </w:tcPr>
          <w:p>
            <w:pPr>
              <w:spacing w:after="0"/>
              <w:rPr>
                <w:sz w:val="1"/>
                <w:szCs w:val="1"/>
                <w:color w:val="auto"/>
              </w:rPr>
            </w:pPr>
          </w:p>
        </w:tc>
      </w:tr>
      <w:tr>
        <w:trPr>
          <w:trHeight w:val="253"/>
        </w:trPr>
        <w:tc>
          <w:tcPr>
            <w:tcW w:w="834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187,529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207,217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892,289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857,310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109,953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84,142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1,189,771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1,148,669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111,367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29,297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219,382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1,361,913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1,304,231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51,036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3,010,171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2,863,982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112,813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484,769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481,815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241,367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279,239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100,964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30,877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939,913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848,994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1,484,448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1,555,761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reserves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58,444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175,805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214,285</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2,601,683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2,677,484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19)</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Class A — $0.01 par value — authorized, 600,000,000 shares; issued, 153,391,058 shares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March 31, 2016 and 150,237,675 shares at March 31, 2015; outstanding, 147,992,462 shares at March 31,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2016 and 147,238,282 shares at March 31, 2015</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25"/>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Special voting common stock, Class E — $0.003 par value — authorized, 25,000,000 shares; issued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outstanding, 0 shares at March 31, 2016 and 1,851,589 shares at March 31, 2015</w:t>
            </w: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 — 5,398,596 shares at March 31, 2016 and 2,999,393 shares at March 31, 2015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174,985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318,537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104,457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408,488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186,498</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3,010,171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2,863,982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840" w:type="dxa"/>
            <w:vAlign w:val="bottom"/>
            <w:gridSpan w:val="3"/>
          </w:tcPr>
          <w:p>
            <w:pPr>
              <w:ind w:left="25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83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F-3</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3" w:right="2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0" w:type="dxa"/>
            <w:vAlign w:val="bottom"/>
            <w:gridSpan w:val="8"/>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tc>
        <w:tc>
          <w:tcPr>
            <w:tcW w:w="0" w:type="dxa"/>
            <w:vAlign w:val="bottom"/>
          </w:tcPr>
          <w:p>
            <w:pPr>
              <w:spacing w:after="0"/>
              <w:rPr>
                <w:sz w:val="1"/>
                <w:szCs w:val="1"/>
                <w:color w:val="auto"/>
              </w:rPr>
            </w:pPr>
          </w:p>
        </w:tc>
      </w:tr>
      <w:tr>
        <w:trPr>
          <w:trHeight w:val="255"/>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5,405,738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5,274,770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5,478,693</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2,593,849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2,716,113</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Billable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1,513,083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1,406,527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1,487,115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752,912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742,527</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72,327</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4,961,154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4,815,948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5,018,082</w:t>
            </w: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444,584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458,822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460,611</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(78,030)</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379,462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380,787</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153,349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148,599</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294,094</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232,569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(Note 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0320"/>
          </w:cols>
          <w:pgMar w:left="240" w:top="1090" w:right="1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5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294,094</w:t>
            </w:r>
          </w:p>
        </w:tc>
        <w:tc>
          <w:tcPr>
            <w:tcW w:w="5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232,188</w:t>
            </w: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postretirement plan costs, net of tax</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7,151</w:t>
            </w:r>
          </w:p>
        </w:tc>
      </w:tr>
      <w:tr>
        <w:trPr>
          <w:trHeight w:val="27"/>
        </w:trPr>
        <w:tc>
          <w:tcPr>
            <w:tcW w:w="5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296,640</w:t>
            </w:r>
          </w:p>
        </w:tc>
        <w:tc>
          <w:tcPr>
            <w:tcW w:w="5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239,339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0260"/>
          </w:cols>
          <w:pgMar w:left="240" w:top="1090" w:right="139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w w:val="99"/>
              </w:rPr>
              <w:t>Fiscal Year Ended March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294,094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232,569</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232,188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62,660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72,327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24,992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20,065</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(38,185)</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Amortization of debt issuance costs and loss on extinguishment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11,582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11,682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Losses on dispositions and impairments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60,533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110,308</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Income taxes receivable / payable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36,456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(72,881)</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 and other accrued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39,178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Accrued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Income tax reserves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249,234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309,958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332,718</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(20,905)</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3,563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Escrow receipts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3,786</w:t>
            </w:r>
          </w:p>
        </w:tc>
        <w:tc>
          <w:tcPr>
            <w:tcW w:w="0" w:type="dxa"/>
            <w:vAlign w:val="bottom"/>
          </w:tcPr>
          <w:p>
            <w:pPr>
              <w:spacing w:after="0"/>
              <w:rPr>
                <w:sz w:val="1"/>
                <w:szCs w:val="1"/>
                <w:color w:val="auto"/>
              </w:rPr>
            </w:pPr>
          </w:p>
        </w:tc>
      </w:tr>
      <w:tr>
        <w:trPr>
          <w:trHeight w:val="217"/>
        </w:trPr>
        <w:tc>
          <w:tcPr>
            <w:tcW w:w="74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(117,753)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(60,575)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proceeds from issuance of common stock</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5,078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Stock option exercises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14,620</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Excess tax benefits from stock-based compensation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31,924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50,800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38,185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(345,802)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Dividend equivalents paid to option holders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(56,138)</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Repayment of 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(355,563)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debt issuance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239,828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293,777</w:t>
            </w:r>
          </w:p>
        </w:tc>
        <w:tc>
          <w:tcPr>
            <w:tcW w:w="0" w:type="dxa"/>
            <w:vAlign w:val="bottom"/>
          </w:tcPr>
          <w:p>
            <w:pPr>
              <w:spacing w:after="0"/>
              <w:rPr>
                <w:sz w:val="1"/>
                <w:szCs w:val="1"/>
                <w:color w:val="auto"/>
              </w:rPr>
            </w:pPr>
          </w:p>
        </w:tc>
      </w:tr>
      <w:tr>
        <w:trPr>
          <w:trHeight w:val="217"/>
        </w:trPr>
        <w:tc>
          <w:tcPr>
            <w:tcW w:w="74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(151,169)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(302,160)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(409,552)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(90,390)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equivalents––beginning of year</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207,217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259,994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350,384</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equivalents––end of year</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207,217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259,994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57,068</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50,074</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61,050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143,083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122,912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178,411</w:t>
            </w:r>
          </w:p>
        </w:tc>
        <w:tc>
          <w:tcPr>
            <w:tcW w:w="0" w:type="dxa"/>
            <w:vAlign w:val="bottom"/>
          </w:tcPr>
          <w:p>
            <w:pPr>
              <w:spacing w:after="0"/>
              <w:rPr>
                <w:sz w:val="1"/>
                <w:szCs w:val="1"/>
                <w:color w:val="auto"/>
              </w:rPr>
            </w:pPr>
          </w:p>
        </w:tc>
      </w:tr>
      <w:tr>
        <w:trPr>
          <w:trHeight w:val="33"/>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873" w:right="239" w:bottom="1440" w:gutter="0" w:footer="0" w:header="0"/>
        </w:sectPr>
      </w:pPr>
    </w:p>
    <w:bookmarkStart w:id="68" w:name="page69"/>
    <w:bookmarkEnd w:id="68"/>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4"/>
              </w:rPr>
              <w:t>Class C</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left="366"/>
              <w:spacing w:after="0"/>
              <w:rPr>
                <w:sz w:val="20"/>
                <w:szCs w:val="20"/>
                <w:color w:val="auto"/>
              </w:rPr>
            </w:pPr>
            <w:r>
              <w:rPr>
                <w:rFonts w:ascii="Times New Roman" w:cs="Times New Roman" w:eastAsia="Times New Roman" w:hAnsi="Times New Roman"/>
                <w:sz w:val="11"/>
                <w:szCs w:val="11"/>
                <w:b w:val="1"/>
                <w:bCs w:val="1"/>
                <w:color w:val="auto"/>
                <w:w w:val="96"/>
              </w:rPr>
              <w:t>Class E</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780" w:type="dxa"/>
            <w:vAlign w:val="bottom"/>
            <w:gridSpan w:val="3"/>
          </w:tcPr>
          <w:p>
            <w:pPr>
              <w:jc w:val="center"/>
              <w:ind w:left="366"/>
              <w:spacing w:after="0" w:line="12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Non-Voting</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left="206"/>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Restricted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Special Voting</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4"/>
          </w:tcPr>
          <w:p>
            <w:pPr>
              <w:jc w:val="right"/>
              <w:ind w:right="386"/>
              <w:spacing w:after="0" w:line="122"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132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1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2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960" w:type="dxa"/>
            <w:vAlign w:val="bottom"/>
            <w:gridSpan w:val="3"/>
            <w:vMerge w:val="restart"/>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Stock</w:t>
            </w: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1540" w:type="dxa"/>
            <w:vAlign w:val="bottom"/>
          </w:tcPr>
          <w:p>
            <w:pPr>
              <w:ind w:left="40"/>
              <w:spacing w:after="0" w:line="124" w:lineRule="exact"/>
              <w:rPr>
                <w:sz w:val="20"/>
                <w:szCs w:val="20"/>
                <w:color w:val="auto"/>
              </w:rPr>
            </w:pPr>
            <w:r>
              <w:rPr>
                <w:rFonts w:ascii="Times New Roman" w:cs="Times New Roman" w:eastAsia="Times New Roman" w:hAnsi="Times New Roman"/>
                <w:sz w:val="11"/>
                <w:szCs w:val="11"/>
                <w:b w:val="1"/>
                <w:bCs w:val="1"/>
                <w:color w:val="auto"/>
              </w:rPr>
              <w:t>(Amounts in thousands,</w:t>
            </w:r>
          </w:p>
        </w:tc>
        <w:tc>
          <w:tcPr>
            <w:tcW w:w="1320" w:type="dxa"/>
            <w:vAlign w:val="bottom"/>
            <w:gridSpan w:val="5"/>
            <w:vMerge w:val="continue"/>
          </w:tcPr>
          <w:p>
            <w:pPr>
              <w:spacing w:after="0"/>
              <w:rPr>
                <w:sz w:val="10"/>
                <w:szCs w:val="10"/>
                <w:color w:val="auto"/>
              </w:rPr>
            </w:pPr>
          </w:p>
        </w:tc>
        <w:tc>
          <w:tcPr>
            <w:tcW w:w="1180" w:type="dxa"/>
            <w:vAlign w:val="bottom"/>
            <w:gridSpan w:val="5"/>
            <w:vMerge w:val="continue"/>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540" w:type="dxa"/>
            <w:vAlign w:val="bottom"/>
          </w:tcPr>
          <w:p>
            <w:pPr>
              <w:jc w:val="right"/>
              <w:ind w:right="166"/>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99"/>
        </w:trPr>
        <w:tc>
          <w:tcPr>
            <w:tcW w:w="1540" w:type="dxa"/>
            <w:vAlign w:val="bottom"/>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except</w:t>
            </w: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100" w:type="dxa"/>
            <w:vAlign w:val="bottom"/>
          </w:tcPr>
          <w:p>
            <w:pPr>
              <w:spacing w:after="0"/>
              <w:rPr>
                <w:sz w:val="8"/>
                <w:szCs w:val="8"/>
                <w:color w:val="auto"/>
              </w:rPr>
            </w:pPr>
          </w:p>
        </w:tc>
        <w:tc>
          <w:tcPr>
            <w:tcW w:w="66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88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66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Stockholders’</w:t>
            </w:r>
          </w:p>
        </w:tc>
        <w:tc>
          <w:tcPr>
            <w:tcW w:w="0" w:type="dxa"/>
            <w:vAlign w:val="bottom"/>
          </w:tcPr>
          <w:p>
            <w:pPr>
              <w:spacing w:after="0"/>
              <w:rPr>
                <w:sz w:val="1"/>
                <w:szCs w:val="1"/>
                <w:color w:val="auto"/>
              </w:rPr>
            </w:pPr>
          </w:p>
        </w:tc>
      </w:tr>
      <w:tr>
        <w:trPr>
          <w:trHeight w:val="142"/>
        </w:trPr>
        <w:tc>
          <w:tcPr>
            <w:tcW w:w="15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share data)</w:t>
            </w: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20" w:type="dxa"/>
            <w:vAlign w:val="bottom"/>
          </w:tcPr>
          <w:p>
            <w:pPr>
              <w:spacing w:after="0"/>
              <w:rPr>
                <w:sz w:val="12"/>
                <w:szCs w:val="12"/>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Balance at March 31, 2013</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136,457,444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0"/>
              </w:rPr>
              <w:t>$ 1,364</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1,451,600</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1,224,319</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7,478,522</w:t>
            </w: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0"/>
              </w:rPr>
              <w:t>22</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(405,843)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(6,444)</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120,836</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124,775</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(13,787)</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226,793</w:t>
            </w:r>
          </w:p>
        </w:tc>
        <w:tc>
          <w:tcPr>
            <w:tcW w:w="0" w:type="dxa"/>
            <w:vAlign w:val="bottom"/>
          </w:tcPr>
          <w:p>
            <w:pPr>
              <w:spacing w:after="0"/>
              <w:rPr>
                <w:sz w:val="1"/>
                <w:szCs w:val="1"/>
                <w:color w:val="auto"/>
              </w:rPr>
            </w:pPr>
          </w:p>
        </w:tc>
      </w:tr>
      <w:tr>
        <w:trPr>
          <w:trHeight w:val="117"/>
        </w:trPr>
        <w:tc>
          <w:tcPr>
            <w:tcW w:w="154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2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Issuance of common stock</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1,047,160</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vMerge w:val="restart"/>
          </w:tcPr>
          <w:p>
            <w:pPr>
              <w:spacing w:after="0"/>
              <w:rPr>
                <w:sz w:val="11"/>
                <w:szCs w:val="11"/>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5,068</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5,078</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 options exercised</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5,299,501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(3,053,708)</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14,575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14,620</w:t>
            </w:r>
          </w:p>
        </w:tc>
        <w:tc>
          <w:tcPr>
            <w:tcW w:w="0" w:type="dxa"/>
            <w:vAlign w:val="bottom"/>
          </w:tcPr>
          <w:p>
            <w:pPr>
              <w:spacing w:after="0"/>
              <w:rPr>
                <w:sz w:val="1"/>
                <w:szCs w:val="1"/>
                <w:color w:val="auto"/>
              </w:rPr>
            </w:pPr>
          </w:p>
        </w:tc>
      </w:tr>
      <w:tr>
        <w:trPr>
          <w:trHeight w:val="97"/>
        </w:trPr>
        <w:tc>
          <w:tcPr>
            <w:tcW w:w="154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Excess tax benefits from the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38,185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38,185</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Share exchange</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1,157,968</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(869,520)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(288,448)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7"/>
        </w:trPr>
        <w:tc>
          <w:tcPr>
            <w:tcW w:w="154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Repurchase of common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(203,782)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(3,709)</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Recognition of liability</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1"/>
                <w:szCs w:val="11"/>
                <w:color w:val="auto"/>
              </w:rPr>
              <w:t>related to future stock</w:t>
            </w: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option exercises (Note 16)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(22,933)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(22,933)</w:t>
            </w:r>
          </w:p>
        </w:tc>
        <w:tc>
          <w:tcPr>
            <w:tcW w:w="0" w:type="dxa"/>
            <w:vAlign w:val="bottom"/>
          </w:tcPr>
          <w:p>
            <w:pPr>
              <w:spacing w:after="0"/>
              <w:rPr>
                <w:sz w:val="1"/>
                <w:szCs w:val="1"/>
                <w:color w:val="auto"/>
              </w:rPr>
            </w:pPr>
          </w:p>
        </w:tc>
      </w:tr>
      <w:tr>
        <w:trPr>
          <w:trHeight w:val="154"/>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232,188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232,188</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postretirement</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plan costs, net of tax</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7,151</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7,151</w:t>
            </w:r>
          </w:p>
        </w:tc>
        <w:tc>
          <w:tcPr>
            <w:tcW w:w="0" w:type="dxa"/>
            <w:vAlign w:val="bottom"/>
          </w:tcPr>
          <w:p>
            <w:pPr>
              <w:spacing w:after="0"/>
              <w:rPr>
                <w:sz w:val="1"/>
                <w:szCs w:val="1"/>
                <w:color w:val="auto"/>
              </w:rPr>
            </w:pPr>
          </w:p>
        </w:tc>
      </w:tr>
      <w:tr>
        <w:trPr>
          <w:trHeight w:val="134"/>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Comprehensive income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239,339</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Dividends paid (Note 15)</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(31,527)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(314,275)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(345,802)</w:t>
            </w:r>
          </w:p>
        </w:tc>
        <w:tc>
          <w:tcPr>
            <w:tcW w:w="0" w:type="dxa"/>
            <w:vAlign w:val="bottom"/>
          </w:tcPr>
          <w:p>
            <w:pPr>
              <w:spacing w:after="0"/>
              <w:rPr>
                <w:sz w:val="1"/>
                <w:szCs w:val="1"/>
                <w:color w:val="auto"/>
              </w:rPr>
            </w:pPr>
          </w:p>
        </w:tc>
      </w:tr>
      <w:tr>
        <w:trPr>
          <w:trHeight w:val="97"/>
        </w:trPr>
        <w:tc>
          <w:tcPr>
            <w:tcW w:w="154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20,065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20,065</w:t>
            </w: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Balance at March 31, 2014</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143,962,073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0"/>
              </w:rPr>
              <w:t>$ 1,440</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582,080</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935,871</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4,424,814</w:t>
            </w: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0"/>
              </w:rPr>
              <w:t>13</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(609,625)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(10,153)</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144,269</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42,688</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(6,636)</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171,636</w:t>
            </w:r>
          </w:p>
        </w:tc>
        <w:tc>
          <w:tcPr>
            <w:tcW w:w="0" w:type="dxa"/>
            <w:vAlign w:val="bottom"/>
          </w:tcPr>
          <w:p>
            <w:pPr>
              <w:spacing w:after="0"/>
              <w:rPr>
                <w:sz w:val="1"/>
                <w:szCs w:val="1"/>
                <w:color w:val="auto"/>
              </w:rPr>
            </w:pPr>
          </w:p>
        </w:tc>
      </w:tr>
      <w:tr>
        <w:trPr>
          <w:trHeight w:val="117"/>
        </w:trPr>
        <w:tc>
          <w:tcPr>
            <w:tcW w:w="154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2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Issuance of common stock</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1,365,008</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vMerge w:val="restart"/>
          </w:tcPr>
          <w:p>
            <w:pPr>
              <w:spacing w:after="0"/>
              <w:rPr>
                <w:sz w:val="11"/>
                <w:szCs w:val="11"/>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5,006</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5,020</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 options exercised</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3,392,643</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(2,573,225)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6,073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6,099</w:t>
            </w:r>
          </w:p>
        </w:tc>
        <w:tc>
          <w:tcPr>
            <w:tcW w:w="0" w:type="dxa"/>
            <w:vAlign w:val="bottom"/>
          </w:tcPr>
          <w:p>
            <w:pPr>
              <w:spacing w:after="0"/>
              <w:rPr>
                <w:sz w:val="1"/>
                <w:szCs w:val="1"/>
                <w:color w:val="auto"/>
              </w:rPr>
            </w:pPr>
          </w:p>
        </w:tc>
      </w:tr>
      <w:tr>
        <w:trPr>
          <w:trHeight w:val="97"/>
        </w:trPr>
        <w:tc>
          <w:tcPr>
            <w:tcW w:w="154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Excess tax benefits from the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50,800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50,800</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Share exchange</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1,517,951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(582,080)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(935,871)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7"/>
        </w:trPr>
        <w:tc>
          <w:tcPr>
            <w:tcW w:w="154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Repurchase of common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(2,389,768)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(62,140)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(62,140)</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Recognition of liability</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1"/>
                <w:szCs w:val="11"/>
                <w:color w:val="auto"/>
              </w:rPr>
              <w:t>related to future stock</w:t>
            </w: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option exercises (Note 16)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(13,032)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(13,032)</w:t>
            </w:r>
          </w:p>
        </w:tc>
        <w:tc>
          <w:tcPr>
            <w:tcW w:w="0" w:type="dxa"/>
            <w:vAlign w:val="bottom"/>
          </w:tcPr>
          <w:p>
            <w:pPr>
              <w:spacing w:after="0"/>
              <w:rPr>
                <w:sz w:val="1"/>
                <w:szCs w:val="1"/>
                <w:color w:val="auto"/>
              </w:rPr>
            </w:pPr>
          </w:p>
        </w:tc>
      </w:tr>
      <w:tr>
        <w:trPr>
          <w:trHeight w:val="154"/>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232,569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232,569</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postretirement</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plan costs, net of tax</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(15,523)</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(15,523)</w:t>
            </w:r>
          </w:p>
        </w:tc>
        <w:tc>
          <w:tcPr>
            <w:tcW w:w="0" w:type="dxa"/>
            <w:vAlign w:val="bottom"/>
          </w:tcPr>
          <w:p>
            <w:pPr>
              <w:spacing w:after="0"/>
              <w:rPr>
                <w:sz w:val="1"/>
                <w:szCs w:val="1"/>
                <w:color w:val="auto"/>
              </w:rPr>
            </w:pPr>
          </w:p>
        </w:tc>
      </w:tr>
      <w:tr>
        <w:trPr>
          <w:trHeight w:val="134"/>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Comprehensive income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217,046</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Dividends paid (Note 15)</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(44,294)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(170,800)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(215,094)</w:t>
            </w:r>
          </w:p>
        </w:tc>
        <w:tc>
          <w:tcPr>
            <w:tcW w:w="0" w:type="dxa"/>
            <w:vAlign w:val="bottom"/>
          </w:tcPr>
          <w:p>
            <w:pPr>
              <w:spacing w:after="0"/>
              <w:rPr>
                <w:sz w:val="1"/>
                <w:szCs w:val="1"/>
                <w:color w:val="auto"/>
              </w:rPr>
            </w:pPr>
          </w:p>
        </w:tc>
      </w:tr>
      <w:tr>
        <w:trPr>
          <w:trHeight w:val="97"/>
        </w:trPr>
        <w:tc>
          <w:tcPr>
            <w:tcW w:w="154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26,163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26,163</w:t>
            </w: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Balance at March 31, 2015</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150,237,675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0"/>
              </w:rPr>
              <w:t>$ 1,502</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1,851,589</w:t>
            </w: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(2,999,393)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(72,293)</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174,985</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104,457</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(22,159)</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186,498</w:t>
            </w:r>
          </w:p>
        </w:tc>
        <w:tc>
          <w:tcPr>
            <w:tcW w:w="0" w:type="dxa"/>
            <w:vAlign w:val="bottom"/>
          </w:tcPr>
          <w:p>
            <w:pPr>
              <w:spacing w:after="0"/>
              <w:rPr>
                <w:sz w:val="1"/>
                <w:szCs w:val="1"/>
                <w:color w:val="auto"/>
              </w:rPr>
            </w:pPr>
          </w:p>
        </w:tc>
      </w:tr>
      <w:tr>
        <w:trPr>
          <w:trHeight w:val="117"/>
        </w:trPr>
        <w:tc>
          <w:tcPr>
            <w:tcW w:w="154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34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380" w:type="dxa"/>
            <w:vAlign w:val="bottom"/>
            <w:tcBorders>
              <w:bottom w:val="single" w:sz="8" w:color="CCEEFF"/>
            </w:tcBorders>
            <w:gridSpan w:val="2"/>
            <w:vMerge w:val="continue"/>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gridSpan w:val="2"/>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Issuance of common stock</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443,813</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vMerge w:val="restart"/>
          </w:tcPr>
          <w:p>
            <w:pPr>
              <w:spacing w:after="0"/>
              <w:rPr>
                <w:sz w:val="11"/>
                <w:szCs w:val="11"/>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5,973</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5,977</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 options exercised</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2,709,570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(1,851,589)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7,940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7,962</w:t>
            </w:r>
          </w:p>
        </w:tc>
        <w:tc>
          <w:tcPr>
            <w:tcW w:w="0" w:type="dxa"/>
            <w:vAlign w:val="bottom"/>
          </w:tcPr>
          <w:p>
            <w:pPr>
              <w:spacing w:after="0"/>
              <w:rPr>
                <w:sz w:val="1"/>
                <w:szCs w:val="1"/>
                <w:color w:val="auto"/>
              </w:rPr>
            </w:pPr>
          </w:p>
        </w:tc>
      </w:tr>
      <w:tr>
        <w:trPr>
          <w:trHeight w:val="97"/>
        </w:trPr>
        <w:tc>
          <w:tcPr>
            <w:tcW w:w="154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Excess tax benefits from the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31,924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31,924</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Repurchase of common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(2,399,203)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(63,152)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(63,152)</w:t>
            </w:r>
          </w:p>
        </w:tc>
        <w:tc>
          <w:tcPr>
            <w:tcW w:w="0" w:type="dxa"/>
            <w:vAlign w:val="bottom"/>
          </w:tcPr>
          <w:p>
            <w:pPr>
              <w:spacing w:after="0"/>
              <w:rPr>
                <w:sz w:val="1"/>
                <w:szCs w:val="1"/>
                <w:color w:val="auto"/>
              </w:rPr>
            </w:pPr>
          </w:p>
        </w:tc>
      </w:tr>
      <w:tr>
        <w:trPr>
          <w:trHeight w:val="135"/>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Recognition of liability</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tcPr>
          <w:p>
            <w:pPr>
              <w:ind w:left="180"/>
              <w:spacing w:after="0" w:line="122" w:lineRule="exact"/>
              <w:rPr>
                <w:sz w:val="20"/>
                <w:szCs w:val="20"/>
                <w:color w:val="auto"/>
              </w:rPr>
            </w:pPr>
            <w:r>
              <w:rPr>
                <w:rFonts w:ascii="Times New Roman" w:cs="Times New Roman" w:eastAsia="Times New Roman" w:hAnsi="Times New Roman"/>
                <w:sz w:val="11"/>
                <w:szCs w:val="11"/>
                <w:color w:val="auto"/>
              </w:rPr>
              <w:t>related to future stock</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option exercises (Note 16)</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(2,339)</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294,094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294,094</w:t>
            </w:r>
          </w:p>
        </w:tc>
        <w:tc>
          <w:tcPr>
            <w:tcW w:w="0" w:type="dxa"/>
            <w:vAlign w:val="bottom"/>
          </w:tcPr>
          <w:p>
            <w:pPr>
              <w:spacing w:after="0"/>
              <w:rPr>
                <w:sz w:val="1"/>
                <w:szCs w:val="1"/>
                <w:color w:val="auto"/>
              </w:rPr>
            </w:pPr>
          </w:p>
        </w:tc>
      </w:tr>
      <w:tr>
        <w:trPr>
          <w:trHeight w:val="97"/>
        </w:trPr>
        <w:tc>
          <w:tcPr>
            <w:tcW w:w="154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postretirement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plan costs, net of tax</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2,546</w:t>
            </w:r>
          </w:p>
        </w:tc>
        <w:tc>
          <w:tcPr>
            <w:tcW w:w="0" w:type="dxa"/>
            <w:vAlign w:val="bottom"/>
          </w:tcPr>
          <w:p>
            <w:pPr>
              <w:spacing w:after="0"/>
              <w:rPr>
                <w:sz w:val="1"/>
                <w:szCs w:val="1"/>
                <w:color w:val="auto"/>
              </w:rPr>
            </w:pPr>
          </w:p>
        </w:tc>
      </w:tr>
      <w:tr>
        <w:trPr>
          <w:trHeight w:val="22"/>
        </w:trPr>
        <w:tc>
          <w:tcPr>
            <w:tcW w:w="1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Comprehensive income</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296,640</w:t>
            </w:r>
          </w:p>
        </w:tc>
        <w:tc>
          <w:tcPr>
            <w:tcW w:w="0" w:type="dxa"/>
            <w:vAlign w:val="bottom"/>
          </w:tcPr>
          <w:p>
            <w:pPr>
              <w:spacing w:after="0"/>
              <w:rPr>
                <w:sz w:val="1"/>
                <w:szCs w:val="1"/>
                <w:color w:val="auto"/>
              </w:rPr>
            </w:pPr>
          </w:p>
        </w:tc>
      </w:tr>
      <w:tr>
        <w:trPr>
          <w:trHeight w:val="97"/>
        </w:trPr>
        <w:tc>
          <w:tcPr>
            <w:tcW w:w="154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Dividends paid (Note 15)</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(80,014)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(80,014)</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Stock-based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expense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w w:val="9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24,992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24,992</w:t>
            </w:r>
          </w:p>
        </w:tc>
        <w:tc>
          <w:tcPr>
            <w:tcW w:w="0" w:type="dxa"/>
            <w:vAlign w:val="bottom"/>
          </w:tcPr>
          <w:p>
            <w:pPr>
              <w:spacing w:after="0"/>
              <w:rPr>
                <w:sz w:val="1"/>
                <w:szCs w:val="1"/>
                <w:color w:val="auto"/>
              </w:rPr>
            </w:pPr>
          </w:p>
        </w:tc>
      </w:tr>
      <w:tr>
        <w:trPr>
          <w:trHeight w:val="134"/>
        </w:trPr>
        <w:tc>
          <w:tcPr>
            <w:tcW w:w="15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Balance at March 31, 2016</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153,391,058</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90"/>
              </w:rPr>
              <w:t>$ 1,534</w:t>
            </w:r>
          </w:p>
        </w:tc>
        <w:tc>
          <w:tcPr>
            <w:tcW w:w="120" w:type="dxa"/>
            <w:vAlign w:val="bottom"/>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vMerge w:val="restart"/>
          </w:tcPr>
          <w:p>
            <w:pPr>
              <w:spacing w:after="0"/>
              <w:rPr>
                <w:sz w:val="11"/>
                <w:szCs w:val="11"/>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(5,398,596)</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92"/>
              </w:rPr>
              <w:t>(135,445)</w:t>
            </w:r>
          </w:p>
        </w:tc>
        <w:tc>
          <w:tcPr>
            <w:tcW w:w="100" w:type="dxa"/>
            <w:vAlign w:val="bottom"/>
            <w:vMerge w:val="restart"/>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243,475</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318,537</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(19,613)</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408,488</w:t>
            </w: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13970</wp:posOffset>
            </wp:positionV>
            <wp:extent cx="60032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-127635</wp:posOffset>
            </wp:positionV>
            <wp:extent cx="6003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23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0980"/>
          </w:cols>
          <w:pgMar w:left="240" w:top="684" w:right="679" w:bottom="1440" w:gutter="0" w:footer="0" w:header="0"/>
        </w:sectPr>
      </w:pPr>
    </w:p>
    <w:bookmarkStart w:id="69" w:name="page70"/>
    <w:bookmarkEnd w:id="69"/>
    <w:p>
      <w:pPr>
        <w:ind w:left="3440"/>
        <w:spacing w:after="0"/>
        <w:rPr>
          <w:sz w:val="20"/>
          <w:szCs w:val="20"/>
          <w:color w:val="auto"/>
        </w:rPr>
      </w:pPr>
      <w:r>
        <w:rPr>
          <w:rFonts w:ascii="Times New Roman" w:cs="Times New Roman" w:eastAsia="Times New Roman" w:hAnsi="Times New Roman"/>
          <w:sz w:val="18"/>
          <w:szCs w:val="18"/>
          <w:b w:val="1"/>
          <w:bCs w:val="1"/>
          <w:color w:val="auto"/>
        </w:rPr>
        <w:t>BOOZ ALLEN HAMILTON HOLDING CORPORATION</w:t>
      </w:r>
    </w:p>
    <w:p>
      <w:pPr>
        <w:spacing w:after="0" w:line="17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tables in thousands, except share and per share data or unless otherwise noted)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and engineering services to the U.S. and international governments, major corporations, and not-for-profit organizations. The Company reports operating results and financial data in one operating segment. The Company is headquartered in McLean, Virginia, with approximately 22,600 employees as of March 31, 2016.</w:t>
      </w:r>
    </w:p>
    <w:p>
      <w:pPr>
        <w:spacing w:after="0" w:line="176" w:lineRule="exact"/>
        <w:rPr>
          <w:sz w:val="20"/>
          <w:szCs w:val="20"/>
          <w:color w:val="auto"/>
        </w:rPr>
      </w:pPr>
    </w:p>
    <w:p>
      <w:pPr>
        <w:ind w:left="220" w:right="6540" w:hanging="212"/>
        <w:spacing w:after="0" w:line="378" w:lineRule="auto"/>
        <w:tabs>
          <w:tab w:leader="none" w:pos="18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and have been prepared in accordance with accounting principles generally accepted in the United States, or U.S. GAAP. All intercompany balances and transactions have been eliminated in consolidation.</w:t>
      </w:r>
    </w:p>
    <w:p>
      <w:pPr>
        <w:spacing w:after="0" w:line="6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2016 and 2015 and the Company’s results of operations for fiscal 2016, fiscal 2015, and fiscal 2014.</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in accordance with our adoption of Accounting Standards Update (ASU) 2015-03 and ASU 2015-17. See Note 2.</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revenue is derived from services and solutions provided to the U.S. government and its agencies, primarily by the Company’s consulting staff and, to a lesser extent, subcontractors. The Company generates its revenue from the following types of contractual arrangements: cost-reimbursable-plus-fee contracts, time-and-materials contracts, and fixed-price contracts.</w:t>
      </w:r>
    </w:p>
    <w:p>
      <w:pPr>
        <w:spacing w:after="0" w:line="68"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Revenue on cost-reimbursable-plus-fee contracts is recognized as services are performed, generally based on the allowable costs incurred during the period plus any recognizable earned fee. The Company considers fixed fees under cost-reimbursable-plus-fee contracts to be earned in proportion to the allowable costs incurred in performance of the contract. For cost-reimbursable-plus-fee contracts that include performance-based fee incentives, which are principally award fee arrangements, the Company recognizes income when such fees are probable and estimable. Estimates of the total fee to be earned are made based on contract provisions, prior experience with similar contracts or clients, and management’s evaluation of the performance on such contracts. Contract costs, including indirect expenses, are subject to audit by the Defense Contract Audit Agency, or DCAA, and, accordingly, are subject to possible cost disallowances. Executive compensation that we determine to be allowable for cost reimbursement based on management's estimates is recognized as revenue, net of reserves.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w:t>
      </w:r>
    </w:p>
    <w:p>
      <w:pPr>
        <w:spacing w:after="0" w:line="78"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Revenue earned under time-and-materials contracts is recognized as hours are worked based on contractually billable rates to the client. Costs on time-and-materials contracts are expensed as incurred.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684" w:right="239" w:bottom="1440" w:gutter="0" w:footer="0" w:header="0"/>
        </w:sectPr>
      </w:pPr>
    </w:p>
    <w:bookmarkStart w:id="70" w:name="page71"/>
    <w:bookmarkEnd w:id="70"/>
    <w:p>
      <w:pPr>
        <w:ind w:firstLine="432"/>
        <w:spacing w:after="0" w:line="256" w:lineRule="auto"/>
        <w:rPr>
          <w:sz w:val="20"/>
          <w:szCs w:val="20"/>
          <w:color w:val="auto"/>
        </w:rPr>
      </w:pPr>
      <w:r>
        <w:rPr>
          <w:rFonts w:ascii="Times New Roman" w:cs="Times New Roman" w:eastAsia="Times New Roman" w:hAnsi="Times New Roman"/>
          <w:sz w:val="18"/>
          <w:szCs w:val="18"/>
          <w:color w:val="auto"/>
        </w:rPr>
        <w:t>Revenue on fixed-price contracts is primarily recognized using the percentage of completion method based on actual costs incurred relative to total estimated costs for the contract. On some fixed-price contracts the Company may use an alternative input method to calculate the percent complete, such as labor hours or labor dollars. This method is used when a contract contains significant, up-front material purchases resulting in costs incurred that are not representative of the actual progress on the contract. In either method, these estimated costs are updated during the term of the contract, and may result in revision by the Company of recognized revenue and estimated costs in the period in which the changes in estimated costs are identified. Profits on fixed-price contracts result from the difference between incurred costs used to calculate the percentage of completion and revenue earned.</w:t>
      </w:r>
    </w:p>
    <w:p>
      <w:pPr>
        <w:spacing w:after="0" w:line="80"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Contract accounting requires significant judgment relative to assessing risks, estimating contract revenue and costs, and making assumptions for schedule and technical issues. Due to the size and nature of many of the Company’s contracts, developing total revenue and cost at completion estimates requires the use of significant judgment. Contract costs include direct labor and billable expenses, an allocation of allowable indirect costs, and warranty obligations. Billable expenses is comprised of subcontracting costs and other “out of pocket” costs that often include, but are not limited to, travel-related costs and telecommunications charges. The Company recognizes revenue and billable expenses from these transactions on a gross basis because it is the primary obligor on our contracts with customers. Assumptions regarding the length of time to complete the contract also include expected increases in wages and prices for materials. Estimates of total contract revenue and costs are monitored during the term of the contract and are subject to revision as the contract progresses. Anticipated losses on contracts are recognized in the period they are deemed probable and can be reasonably estimated.</w:t>
      </w:r>
    </w:p>
    <w:p>
      <w:pPr>
        <w:spacing w:after="0" w:line="7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Company’s contracts may include the delivery of a combination of one or more of the Company’s service offerings. In these situations, the Company determines whether such arrangements with multiple service offerings should be treated as separate units of accounting based on how the elements are bid or negotiated, whether the customer can accept separate elements of the arrangement, and the relationship between the pricing on the elements individually and combined.</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and highly liquid investments having an original maturity of three months or less. The Company’s cash equivalents consist primarily of institutional money market funds. The Company maintains its cash and cash equivalents in bank accounts that, at times, exceed the federally insured limits. The Company has not experienced any losses in such accounts.</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Valuation of Accounts Receivable</w:t>
      </w:r>
    </w:p>
    <w:p>
      <w:pPr>
        <w:spacing w:after="0" w:line="121"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The Company maintains allowances for doubtful accounts against certain billed receivables based upon the latest information regarding whether invoices are ultimately collectible. Assessing the collectability of customer receivables requires management judgment. The Company determines its allowance for doubtful accounts by specifically analyzing individual accounts receivable, historical bad debts, customer credit-worthiness, current economic conditions, and accounts receivable aging trends. Valuation reserves are periodically re-evaluated and adjusted as more information about the ultimate collectability of accounts receivable becomes available. Upon determination that a receivable is uncollectible, the receivable balance and any associated reserve are written off.</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equivalents and accounts receivable. The Company’s cash equivalents are generally invested in Prime or U.S. government money market funds, which minimizes the credit risk. The Company believes that credit risk for accounts receivable is limited as the receivables are primarily with the U.S. government.</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and the balances are presented net of accumulated depreciation. The cost of software purchased or internally developed is capitalized, as appropriate. Depreciation is calculated using the straight-line method over the estimated useful lives of the assets. Furniture and equipment is depreciated over five to ten years, computer equipment is depreciated over four years, and software purchased or developed for internal use is depreciated over three to five years. Leasehold improvements are amortized over the shorter of the useful life of the asset or the lease term. Maintenance and repairs are charged to expense as incurred.</w:t>
      </w:r>
    </w:p>
    <w:p>
      <w:pPr>
        <w:spacing w:after="0" w:line="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Rent expense is recorded on a straight-line basis over the life of the respective lease. The difference between the cash payment and rent expense is recorded as deferred rent in either accounts payable and other accrued expenses or other long-term liabilities in the consolidated balance sheets, depending on when the amounts will be recognized. The Company receives incentives for tenant improvements on certain of its leases. The cash expended on such improvements is recorded as property and equipment and amortized over the life of the associated asset, or lease term, whichever is shorter. Incentives for tenant improvements are recorded as deferred rent in either accounts payable and other accrued expenses or other long-term liabilities</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80"/>
          </w:cols>
          <w:pgMar w:left="240" w:top="796" w:right="2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in the consolidated balance sheets depending on when the amounts will be recognized. Then they are amortized on a straight line basis over the lease term.</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The accounting for the Company’s business combinations consists of allocating the purchase price to tangible and intangible assets acquired and liabilities assumed based on their fair values, with the excess recorded as goodwill. The Company has one year from the acquisition date to use additional information obtained to adjust the fair value of the acquired assets and liabilities which may result in changes to their recorded values with an offsetting adjustment to goodwill.</w:t>
      </w:r>
    </w:p>
    <w:p>
      <w:pPr>
        <w:spacing w:after="0" w:line="7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have a contingent consideration arrangement in connection with a business acquisition which requires a fair value measurement using inputs such as projected cash flows and volatility. See Note 17 to our consolidated financial statements for further information about the valuation of the contingent consideration liability and the inputs used in the fair value measurement.</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Intangible assets primarily consist of the Company's trade name, customer relationships, and other amortizable intangible assets. Customer relationships are amortized on an accelerated basis over the expected life based on projected future cash flows of approximately seven to nine years. The Company's trade name is not amortized, but is tested for impairment on at least an annual basis as of January 1 and more frequently if interim indicators of impairment exist. The trade name is considered to be impaired if the carrying value exceeds its estimated fair value. The Company used the relief from royalty method to estimate the fair value. The fair value of the asset is the present value of the license fees avoided by owning the asset, or the royalty savings. During the fiscal years ended March 31, 2016, 2015, and 2014 the Company did not record any impairment of intangible assets.</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2016, the Company performed its annual impairment test of goodwill by comparing the fair value of the Company (primarily based on market capitalization) to the carrying value of equity, and concluded that the fair value of the reporting unit was greater than the carrying amount. During the fiscal years ended March 31, 2016, 2015, and 2014 the Company did not record any impairment of goodwill.</w:t>
      </w:r>
    </w:p>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including property and equipment and amortizable intangible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2016, 2015, and 2014 the Company did not record any impairment charges.</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Company provides for income taxes as a “C” corporation on income earned from operations. The Company is subject to federal, state, and foreign taxation in various jurisdictions.</w:t>
      </w:r>
    </w:p>
    <w:p>
      <w:pPr>
        <w:spacing w:after="0" w:line="5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8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periodically assesses its tax positions for all periods open to examination by tax authorities based on the latest available information. Where it is not more likely than not that the Company’s tax position will be sustained, the Company records its best estimate of the resulting tax liability, penalties, and interest in the consolidated financial statements. These uncertain tax positions are recorded as a component of income tax expense. As uncertain tax positions in periods open to examination are closed out, or as new information becomes available, the resulting change is reflected in the recorded liability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796" w:right="239" w:bottom="1440" w:gutter="0" w:footer="0" w:header="0"/>
        </w:sectPr>
      </w:pPr>
    </w:p>
    <w:bookmarkStart w:id="72" w:name="page73"/>
    <w:bookmarkEnd w:id="72"/>
    <w:p>
      <w:pPr>
        <w:ind w:right="540"/>
        <w:spacing w:after="0" w:line="282" w:lineRule="auto"/>
        <w:rPr>
          <w:sz w:val="20"/>
          <w:szCs w:val="20"/>
          <w:color w:val="auto"/>
        </w:rPr>
      </w:pPr>
      <w:r>
        <w:rPr>
          <w:rFonts w:ascii="Times New Roman" w:cs="Times New Roman" w:eastAsia="Times New Roman" w:hAnsi="Times New Roman"/>
          <w:sz w:val="18"/>
          <w:szCs w:val="18"/>
          <w:color w:val="auto"/>
        </w:rPr>
        <w:t>and income tax expense. Penalties and interest recognized related to the reserves for uncertain tax positions are recorded as a component of income tax expense.</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ind w:right="240" w:firstLine="216"/>
        <w:spacing w:after="0" w:line="266" w:lineRule="auto"/>
        <w:rPr>
          <w:sz w:val="20"/>
          <w:szCs w:val="20"/>
          <w:color w:val="auto"/>
        </w:rPr>
      </w:pPr>
      <w:r>
        <w:rPr>
          <w:rFonts w:ascii="Times New Roman" w:cs="Times New Roman" w:eastAsia="Times New Roman" w:hAnsi="Times New Roman"/>
          <w:sz w:val="18"/>
          <w:szCs w:val="18"/>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loss as of March 31, 2016 and 2015 consisted of net unrealized losses on the Company’s defined and postretirement benefit plans.</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121"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Share-based payments to employees are recognized in the consolidated statements of operations based on their grant date fair values with the expense recognized on an accelerated basis over the vesting period. The Company uses the Black-Scholes option-pricing model to determine the fair value of its awards at the time of the grant.</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and Other Postretirement Benefits</w:t>
      </w:r>
    </w:p>
    <w:p>
      <w:pPr>
        <w:spacing w:after="0" w:line="12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recognizes the underfunded status of defined benefit plans on the consolidated balance sheets within other long term liabilities. Gains and losses and prior service costs and credits that have not yet been recognized through net periodic benefit cost are recognized in accumulated other comprehensive income (loss), net of tax effects, and will be amortized as a component of net periodic cost in future periods. The measurement date, the date at which the benefit obligations are measured, is the Company’s fiscal year end.</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Self-Funded Medical Plans</w:t>
      </w:r>
    </w:p>
    <w:p>
      <w:pPr>
        <w:spacing w:after="0" w:line="121"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Company maintains self-funded medical insurance. Self-funded plans include a health maintenance organization, high-deductible, and traditional choice. Further, self-funded plans also include prescription drug and dental benefits. The Company records an incurred but unreported claim liability in the accrued compensation and benefits line of the consolidated balance sheets for self-funded plans based on an actuarial valuation. The estimate of the incurred but unreported claim liability was provided by a third party valuation firm, primarily based on claims and participant data for the medical, dental, and pharmacy related costs.</w:t>
      </w:r>
    </w:p>
    <w:p>
      <w:pPr>
        <w:spacing w:after="0" w:line="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In determining fair value, we consider the principal or most advantageous market in which the asset or liability would transact, and if necessary, consider assumptions that market participants would use when pricing the asset or liability.</w:t>
      </w:r>
    </w:p>
    <w:p>
      <w:pPr>
        <w:spacing w:after="0" w:line="68"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three level fair value hierarchy that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 Assets and liabilities are classified in their entirety within the fair value hierarchy based on the lowest level input that is significant to the fair value measurement. See Note 17 for additional information on the Company’s fair value measurements.</w:t>
      </w:r>
    </w:p>
    <w:p>
      <w:pPr>
        <w:spacing w:after="0" w:line="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to January 1, 2018, with an option that would permit companies to adopt the standard as early as the original effective date. Early adoption prior to the original effective date is not permitted.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 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Management is still in the process of determining which transition method to utilize in order to adopt the new standard and still assessing what effect the adoption of this standard may have on the timing of our revenue recognition and our consolidated financial statements.</w:t>
      </w:r>
    </w:p>
    <w:p>
      <w:pPr>
        <w:spacing w:after="0" w:line="83"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which simplifies several aspects of the accounting for share-based payment transactions including the accounting for income taxes, forfeitures, and statutory tax withholding requirements. The ASU is effective for annual reporting periods beginning after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796" w:right="239" w:bottom="1440" w:gutter="0" w:footer="0" w:header="0"/>
        </w:sectPr>
      </w:pPr>
    </w:p>
    <w:bookmarkStart w:id="73" w:name="page74"/>
    <w:bookmarkEnd w:id="73"/>
    <w:p>
      <w:pPr>
        <w:ind w:right="660"/>
        <w:spacing w:after="0" w:line="282" w:lineRule="auto"/>
        <w:rPr>
          <w:sz w:val="20"/>
          <w:szCs w:val="20"/>
          <w:color w:val="auto"/>
        </w:rPr>
      </w:pPr>
      <w:r>
        <w:rPr>
          <w:rFonts w:ascii="Times New Roman" w:cs="Times New Roman" w:eastAsia="Times New Roman" w:hAnsi="Times New Roman"/>
          <w:sz w:val="18"/>
          <w:szCs w:val="18"/>
          <w:color w:val="auto"/>
        </w:rPr>
        <w:t>December 15, 2016, with early adoption permitted. The Company is assessing what effect the adoption of this standard may have on the consolidated financial statements.</w:t>
      </w:r>
    </w:p>
    <w:p>
      <w:pPr>
        <w:spacing w:after="0" w:line="5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increase transparency and comparability of accounting for lease transactions. The new standard requires lessees to recognize lease assets and lease liabilities on their balance sheet for all leases with a lease term of greater than 12 months. Lessor accounting is largely unchanged. ASU 2016-02 is effective for fiscal years beginning after December 15, 2018, with early adoption permitted. The Company is assessing what effect the adoption of this standard may have on the consolidated financial statements.</w:t>
      </w:r>
    </w:p>
    <w:p>
      <w:pPr>
        <w:spacing w:after="0" w:line="7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2015, the FASB issued Accounting Standards Update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ASU 2015-17 simplifies the presentation of deferred income taxes and requires that deferred tax assets and liabilities, as well as any related valuation allowance, be classified as noncurrent in a classified balance sheet. The company adopted ASU 2015-17 retrospectively during the fourth quarter of fiscal 2016. As a result, we now classify deferred tax assets and liabilities as non-current on our consolidated balance sheet for all periods presented. This change resulted in a reclassification of $14.5 million of current deferred tax assets reported in our March 31, 2015 consolidated balance sheet to non-current deferred tax assets, with no impact on total assets or the consolidated statement of operations.</w:t>
      </w:r>
    </w:p>
    <w:p>
      <w:pPr>
        <w:spacing w:after="0" w:line="7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The new standard requires debt issuance costs to be classified as a direct reduction of the related debt liability. The ASU is effective for annual reporting periods beginning after December 15, 2015, with early adoption permitted. The Company adopted ASU 2015-03 retrospectively during the fourth quarter of fiscal 2016, and reclassified $13.5 million of debt issuance costs previously reported as other long term assets as a reduction of the debt liability as of March 31, 2015. Debt issuance costs related to the Company's revolving credit facility continue to be classified as a long-term asset.</w:t>
      </w:r>
    </w:p>
    <w:p>
      <w:pPr>
        <w:spacing w:after="0" w:line="7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during fiscal 2016 and through the filing date did not and are not believed by management to have a material impact on the Company's present or historical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21"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12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Company currently has outstanding shares of Class A Common Stock. During fiscal 2016, the Company purchased, at par value, all issued and outstanding shares of Class E Special Voting Common Stock in connection with the exercise of the final tranche of rollover options during the second quarter of fiscal 2016. Class E Special Voting Common Stock shares are not included in the calculation of EPS as these shares represent voting rights only and are not entitled to participate in dividends or other distributions. During fiscal 2015, the Company converted all issued and outstanding shares of Class B Non-Voting Common Stock and Class C Restricted Common Stock into shares of Class A Common Stock on a one-for-one basis. Unvested Class A Restricted Common Stock holders are entitled to participate in non-forfeitable dividends or other distributions. These unvested restricted shares participated in the Company's dividends declared and paid in each quarter of fiscal 2016, 2015, and 2014.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79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for basic computations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290,542</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229,093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229,082</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Class A Common Stock outstanding</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146,494,407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144,809,906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139,275,596</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Class B Non-Voting Common Stock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222,129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1,019,051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Class C Restricted Common Stock outstanding</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382,085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1,019,897</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weighted-average common shares outstanding for basic computations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146,494,407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145,414,120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141,314,544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for diluted computations (1)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290,596</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229,101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229,082</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Dilutive stock options and restricted stock</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3,224,730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4,961,411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7,366,530</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number of common shares outstanding for diluted computations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149,719,137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150,375,531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148,681,074</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6"/>
        </w:trPr>
        <w:tc>
          <w:tcPr>
            <w:tcW w:w="606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firstLine="8"/>
        <w:spacing w:after="0" w:line="255"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2016, 2015, and 2014 approximately 1.8 million, 2.2 million, and 1.3 million shares of participating securities were paid dividends totaling $1.0 million, $3.2 million, and $3.1 million, respectively. For fiscal 2016 there were undistributed earnings of $2.5 million allocated to the participating class of securities in both basic and diluted earnings per share, respectively. For fiscal 2015 there were undistributed earnings of $0.3 million and $0.2 million allocated to the participating class of securities in basic and diluted earnings per share, respectively. The allocated undistributed earnings and the dividends paid comprise the difference between net income presented on the condensed consolidated statements of operations and earnings for basic and diluted computations for fiscal 2016 and 2015, while only the dividends paid comprise the difference from net income presented on the consolidated statements of operations for fiscal 2014, as there were no undistributed earnings.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EPS calculation for fiscal 2016, 2015, and 2014 excludes 0.6 million, 0.3 million, and 1.1 million options as their impact was anti-dilutive.</w:t>
      </w:r>
    </w:p>
    <w:p>
      <w:pPr>
        <w:spacing w:after="0" w:line="200" w:lineRule="exact"/>
        <w:rPr>
          <w:sz w:val="20"/>
          <w:szCs w:val="20"/>
          <w:color w:val="auto"/>
        </w:rPr>
      </w:pPr>
    </w:p>
    <w:p>
      <w:pPr>
        <w:spacing w:after="0" w:line="264" w:lineRule="exact"/>
        <w:rPr>
          <w:sz w:val="20"/>
          <w:szCs w:val="20"/>
          <w:color w:val="auto"/>
        </w:rPr>
      </w:pPr>
    </w:p>
    <w:p>
      <w:pPr>
        <w:ind w:left="260" w:right="7860" w:hanging="252"/>
        <w:spacing w:after="0" w:line="346" w:lineRule="auto"/>
        <w:tabs>
          <w:tab w:leader="none" w:pos="19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October 31, 2015, the Company acquired the software services unit of SPARC, LLC, a Charleston, SC software development firm for a purchase price of $51.6 million. Pursuant to the terms of the agreement, the acquisition was accounted for using the purchase method of accounting which requires the total purchase price consideration to be allocated to the assets acquired and liabilities assumed based their estimated fair values. The excess of purchase consideration over the amounts assigned to tangible and intangible assets acquired and liabilities assumed, based on the purchase price allocation of $35.4 million, was recognized as goodwill.</w:t>
      </w:r>
    </w:p>
    <w:p>
      <w:pPr>
        <w:spacing w:after="0" w:line="4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As of March 31, 2016 and 2015, goodwill was $1,361.9 million and $1,304.2 million, respectively. The increase in the carrying amount of goodwill is primarily attributable to the purchase price allocation associated with the acquisition of the software services unit of SPARC, LLC. In addition, during fiscal 2016, the Company released $56.9 million of uncertain tax positions associated with the Acquisition of the Company by the Carlyle Group in July 2008, or the Acquisition. Of the $56.9 million, $21.4 million were tax related indemnification assets that offset the deferred payment obligation, with a corresponding adjustment to goodwill. See Note 9 and Note 11 for further information.</w:t>
      </w:r>
    </w:p>
    <w:p>
      <w:pPr>
        <w:spacing w:after="0" w:line="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performed an annual impairment test of goodwill as of January 1, 2016 and 2015, and did not identify any impairment.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844" w:right="239" w:bottom="1440" w:gutter="0" w:footer="0" w:header="0"/>
        </w:sectPr>
      </w:pPr>
    </w:p>
    <w:bookmarkStart w:id="75" w:name="page76"/>
    <w:bookmarkEnd w:id="7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68"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March 31, 2015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7"/>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16"/>
        </w:trPr>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Customer relationships and other amortizable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209,759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179,301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30,458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196,359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167,177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29,182</w:t>
            </w:r>
          </w:p>
        </w:tc>
      </w:tr>
      <w:tr>
        <w:trPr>
          <w:trHeight w:val="33"/>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6"/>
        </w:trPr>
        <w:tc>
          <w:tcPr>
            <w:tcW w:w="3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Unamortizable intangible assets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190,200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190,200</w:t>
            </w:r>
          </w:p>
        </w:tc>
      </w:tr>
      <w:tr>
        <w:trPr>
          <w:trHeight w:val="176"/>
        </w:trPr>
        <w:tc>
          <w:tcPr>
            <w:tcW w:w="3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399,959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179,301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386,559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167,177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219,382</w:t>
            </w: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Intangible assets are primarily amortized on an accelerated basis over periods ranging from 7 years to 9 years. The weighted-average remaining period of amortization for all customer relationships is 5 years.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performed an annual impairment test of the trade name as of January 1, 2016 and 2015, and did not identify any impairment.</w:t>
      </w:r>
    </w:p>
    <w:p>
      <w:pPr>
        <w:spacing w:after="0" w:line="117"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for fiscal 2016, 2015, and 2014 was $12.1 million, $10.7 million, and $14.8 million, respectively. The following table summarizes the estimated annual amortization expense for future periods indicated below:</w:t>
      </w:r>
    </w:p>
    <w:p>
      <w:pPr>
        <w:spacing w:after="0" w:line="272"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9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For the Fiscal Year Ended March 31,</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w:t>
            </w:r>
          </w:p>
        </w:tc>
      </w:tr>
      <w:tr>
        <w:trPr>
          <w:trHeight w:val="224"/>
        </w:trPr>
        <w:tc>
          <w:tcPr>
            <w:tcW w:w="9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6,522</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r>
      <w:tr>
        <w:trPr>
          <w:trHeight w:val="224"/>
        </w:trPr>
        <w:tc>
          <w:tcPr>
            <w:tcW w:w="9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r>
      <w:tr>
        <w:trPr>
          <w:trHeight w:val="224"/>
        </w:trPr>
        <w:tc>
          <w:tcPr>
            <w:tcW w:w="9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amortization expense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30,458</w:t>
            </w:r>
          </w:p>
        </w:tc>
      </w:tr>
      <w:tr>
        <w:trPr>
          <w:trHeight w:val="20"/>
        </w:trPr>
        <w:tc>
          <w:tcPr>
            <w:tcW w:w="9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 NET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340"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24765</wp:posOffset>
            </wp:positionV>
            <wp:extent cx="19380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receivable–billed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308,670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318,464</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receivable–unbilled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584,275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539,203</w:t>
            </w: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892,289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857,310</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receivable–unbilled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51,145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18,496</w:t>
            </w:r>
          </w:p>
        </w:tc>
      </w:tr>
      <w:tr>
        <w:trPr>
          <w:trHeight w:val="237"/>
        </w:trPr>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943,434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875,806</w:t>
            </w:r>
          </w:p>
        </w:tc>
      </w:tr>
      <w:tr>
        <w:trPr>
          <w:trHeight w:val="27"/>
        </w:trPr>
        <w:tc>
          <w:tcPr>
            <w:tcW w:w="6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Unbilled amounts represent revenues for which billings have not been presented to customers at year 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in the accompanying consolidated balance sheets. The Company recognized a provision</w:t>
      </w:r>
    </w:p>
    <w:p>
      <w:pPr>
        <w:sectPr>
          <w:pgSz w:w="11900" w:h="16838" w:orient="portrait"/>
          <w:cols w:equalWidth="0" w:num="1">
            <w:col w:w="11260"/>
          </w:cols>
          <w:pgMar w:left="240" w:top="765" w:right="3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1260"/>
          </w:cols>
          <w:pgMar w:left="240" w:top="765" w:right="399" w:bottom="1440" w:gutter="0" w:footer="0" w:header="0"/>
          <w:type w:val="continuous"/>
        </w:sectPr>
      </w:pPr>
    </w:p>
    <w:bookmarkStart w:id="76" w:name="page77"/>
    <w:bookmarkEnd w:id="76"/>
    <w:p>
      <w:pPr>
        <w:ind w:right="720"/>
        <w:spacing w:after="0" w:line="282" w:lineRule="auto"/>
        <w:rPr>
          <w:sz w:val="20"/>
          <w:szCs w:val="20"/>
          <w:color w:val="auto"/>
        </w:rPr>
      </w:pPr>
      <w:r>
        <w:rPr>
          <w:rFonts w:ascii="Times New Roman" w:cs="Times New Roman" w:eastAsia="Times New Roman" w:hAnsi="Times New Roman"/>
          <w:sz w:val="18"/>
          <w:szCs w:val="18"/>
          <w:color w:val="auto"/>
        </w:rPr>
        <w:t>(benefit) for doubtful accounts (including certain unbilled reserves) of $1.1 million, $(1.0) million, and $1.3 million for fiscal 2016, 2015 and 2014,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property and equipment, net were as follows:</w:t>
      </w:r>
    </w:p>
    <w:p>
      <w:pPr>
        <w:spacing w:after="0" w:line="31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7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264"/>
        </w:trPr>
        <w:tc>
          <w:tcPr>
            <w:tcW w:w="7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134,378</w:t>
            </w: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57,723</w:t>
            </w:r>
          </w:p>
        </w:tc>
      </w:tr>
      <w:tr>
        <w:trPr>
          <w:trHeight w:val="27"/>
        </w:trPr>
        <w:tc>
          <w:tcPr>
            <w:tcW w:w="7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43,881</w:t>
            </w: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152,661</w:t>
            </w:r>
          </w:p>
        </w:tc>
      </w:tr>
      <w:tr>
        <w:trPr>
          <w:trHeight w:val="27"/>
        </w:trPr>
        <w:tc>
          <w:tcPr>
            <w:tcW w:w="7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388,643</w:t>
            </w:r>
          </w:p>
        </w:tc>
      </w:tr>
      <w:tr>
        <w:trPr>
          <w:trHeight w:val="243"/>
        </w:trPr>
        <w:tc>
          <w:tcPr>
            <w:tcW w:w="7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(277,276)</w:t>
            </w:r>
          </w:p>
        </w:tc>
      </w:tr>
      <w:tr>
        <w:trPr>
          <w:trHeight w:val="27"/>
        </w:trPr>
        <w:tc>
          <w:tcPr>
            <w:tcW w:w="7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2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Property and equipment, net, includes $6.9 million and $4.9 million of internally developed software, net of depreciation as of March 31, 2016 and 2015, respectively. Depreciation and amortization expense relating to property and equipment for fiscal 2016, 2015, and 2014 was $50.1 million, $52.7 million, and $57.6 million, respectively. During fiscal 2016 and 2015, the Company reduced the gross cost and accumulated depreciation and amortization by $6.6 million and $16.3 million, respectively, for zero net book value assets deemed no longer in service.</w:t>
      </w:r>
    </w:p>
    <w:p>
      <w:pPr>
        <w:spacing w:after="0" w:line="284" w:lineRule="exact"/>
        <w:rPr>
          <w:sz w:val="20"/>
          <w:szCs w:val="20"/>
          <w:color w:val="auto"/>
        </w:rPr>
      </w:pPr>
    </w:p>
    <w:p>
      <w:pPr>
        <w:ind w:left="440" w:right="5640" w:hanging="432"/>
        <w:spacing w:after="0" w:line="412" w:lineRule="auto"/>
        <w:tabs>
          <w:tab w:leader="none" w:pos="188"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AND OTHER ACCRUED EXPENSES </w:t>
      </w:r>
      <w:r>
        <w:rPr>
          <w:rFonts w:ascii="Times New Roman" w:cs="Times New Roman" w:eastAsia="Times New Roman" w:hAnsi="Times New Roman"/>
          <w:sz w:val="18"/>
          <w:szCs w:val="18"/>
          <w:color w:val="auto"/>
        </w:rPr>
        <w:t>Accounts payable and other accrued expenses consisted of the following:</w:t>
      </w:r>
    </w:p>
    <w:p>
      <w:pPr>
        <w:spacing w:after="0" w:line="165" w:lineRule="exact"/>
        <w:rPr>
          <w:sz w:val="20"/>
          <w:szCs w:val="20"/>
          <w:color w:val="auto"/>
        </w:rPr>
      </w:pPr>
    </w:p>
    <w:tbl>
      <w:tblPr>
        <w:tblLayout w:type="fixed"/>
        <w:tblInd w:w="84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payables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246,670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215,995</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238,099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265,820</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accounts payable and other accrued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484,769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481,815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Accrued expenses consisted primarily of the Company’s reserve related to potential cost disallowance in conjunction with government audits. Refer to Note 19 for further discussion of this reserve.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COMPENSATION AND BENEFITS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compensation and benefits consisted of the following:</w:t>
      </w:r>
    </w:p>
    <w:p>
      <w:pPr>
        <w:spacing w:after="0" w:line="340"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6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73,040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82,237</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30,388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29,285</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114,599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115,657</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liability (Note 16)</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31,732</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20,328</w:t>
            </w:r>
          </w:p>
        </w:tc>
      </w:tr>
      <w:tr>
        <w:trPr>
          <w:trHeight w:val="237"/>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accrued compensation and benefits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241,367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279,239</w:t>
            </w:r>
          </w:p>
        </w:tc>
      </w:tr>
      <w:tr>
        <w:trPr>
          <w:trHeight w:val="27"/>
        </w:trPr>
        <w:tc>
          <w:tcPr>
            <w:tcW w:w="6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of March 31, 2016 and March 31, 2015, the Company recorded a stock-based compensation liability of $2.3 million and $31.7 million, respectively, expected to be paid within one year, related to special dividends paid in July and December 2009, June and August 2012, November 2013, February and August 2014. Rollover options vested and not yet exercised that would have had an exercise price below zero as a result of the dividends were reduced to one cent, with the remaining reduction to be paid in cash upon exercise of the options. Payments of the special dividends to the Company's Second Amended and Restated Equity Incentive Plan, or EIP, option holders are linked to vesting. The final tranche of rollover options were</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60"/>
          </w:cols>
          <w:pgMar w:left="240" w:top="796"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exercised during the fiscal year, thus the liability to these option holders is fully settled. Refer to Note 16 for further discussion of the special dividends.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PAYMENT OBLIGATION</w:t>
      </w:r>
    </w:p>
    <w:p>
      <w:pPr>
        <w:spacing w:after="0" w:line="121"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Pursuant to an Agreement and Plan of Merger, or the Merger Agreement, dated as of May 15, 2008, and subsequently amended, The Carlyle Group indirectly acquired all of the issued and outstanding stock of the Company. In connection with this transaction, on July 31, 2008 the Company established a Deferred Payment Obligation, or DPO, of $158.0 million, payable 8.5 years after the Closing Date, or until settlement of all outstanding claims, less any settled claims. Pursuant to the Merger Agreement, $78.0 million of the $158.0 million DPO was required to be paid in full to the selling shareholders. On December 11, 2009, in connection with a recapitalization transaction, $100.4 million was paid to the selling shareholders, of which $78.0 million was the repayment of that portion of the DPO, with approximately $22.4 million representing accrued interest.</w:t>
      </w:r>
    </w:p>
    <w:p>
      <w:pPr>
        <w:spacing w:after="0" w:line="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remaining $80.0 million is available to indemnify the Company for certain pre-acquisition tax contingencies, related interest and penalties, and other matters pursuant to the Merger Agreement. Any amounts remaining after the settlement of all claims will be paid out to the selling shareholders. During fiscal 2016, the Company effectively settled approximately $56.9 million of its pre-acquisition uncertain tax positions, thereby relieving an amount of approximately $21.4 million that was previously indemnified under the DPO. As of March 31, 2016, there were no estimated tax indemnified amounts recorded against the DPO. Remaining potential claims outstanding that may be indemnified pursuant to the Merger Agreement relate to former officers and stockholders’ suits that are still in litigation (See Note 19).</w:t>
      </w:r>
    </w:p>
    <w:p>
      <w:pPr>
        <w:spacing w:after="0" w:line="8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During fiscal 2016, the company accrued interest at a rate of 5% per six-month period on the unpaid DPO balance, net of any settled claims or payments, which was $80.0 million as of March 31, 2016 and 2015. Accordingly, the $81.3 million recorded as of March 31, 2016 within other current liabilities, and the $60.7 million as of March 31, 2015 recorded within other long-term liabilities, except the current portion of accrued interest expense which is recorded within short-term liabilities, represents the residual balance estimated to be paid to the selling shareholders subject to any remaining potential claims based on consideration of accrued interest and other matters.</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principal balance of the DPO to the amount recorded in the consolidated balance sheets for the periods presented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payment obligation</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80,000</w:t>
            </w:r>
          </w:p>
        </w:tc>
      </w:tr>
      <w:tr>
        <w:trPr>
          <w:trHeight w:val="243"/>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Indemnified pre-acquisition uncertain tax positions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(20,586)</w:t>
            </w:r>
          </w:p>
        </w:tc>
      </w:tr>
      <w:tr>
        <w:trPr>
          <w:trHeight w:val="27"/>
        </w:trPr>
        <w:tc>
          <w:tcPr>
            <w:tcW w:w="7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Release of indemnified pre-acquisition uncertain tax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21,407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interest</w:t>
            </w:r>
          </w:p>
        </w:tc>
        <w:tc>
          <w:tcPr>
            <w:tcW w:w="10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1,304</w:t>
            </w:r>
          </w:p>
        </w:tc>
      </w:tr>
      <w:tr>
        <w:trPr>
          <w:trHeight w:val="27"/>
        </w:trPr>
        <w:tc>
          <w:tcPr>
            <w:tcW w:w="7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8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Amount recorded in the consolidated balance sheets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81,319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60,718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fiscal 2016 and 2015 respectively, the Company paid $8.0 million in each year of accrued interest to the selling shareholders.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80"/>
          </w:cols>
          <w:pgMar w:left="240" w:top="688" w:right="2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March 31, 2015</w:t>
            </w:r>
          </w:p>
        </w:tc>
      </w:tr>
      <w:tr>
        <w:trPr>
          <w:trHeight w:val="149"/>
        </w:trPr>
        <w:tc>
          <w:tcPr>
            <w:tcW w:w="5520" w:type="dxa"/>
            <w:vAlign w:val="bottom"/>
          </w:tcPr>
          <w:p>
            <w:pPr>
              <w:spacing w:after="0"/>
              <w:rPr>
                <w:sz w:val="12"/>
                <w:szCs w:val="12"/>
                <w:color w:val="auto"/>
              </w:rPr>
            </w:pPr>
          </w:p>
        </w:tc>
        <w:tc>
          <w:tcPr>
            <w:tcW w:w="15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2"/>
                <w:szCs w:val="12"/>
                <w:color w:val="auto"/>
              </w:rPr>
            </w:pPr>
          </w:p>
        </w:tc>
        <w:tc>
          <w:tcPr>
            <w:tcW w:w="1140" w:type="dxa"/>
            <w:vAlign w:val="bottom"/>
          </w:tcPr>
          <w:p>
            <w:pPr>
              <w:jc w:val="right"/>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5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2"/>
                <w:szCs w:val="12"/>
                <w:color w:val="auto"/>
              </w:rPr>
            </w:pPr>
          </w:p>
        </w:tc>
        <w:tc>
          <w:tcPr>
            <w:tcW w:w="116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r>
      <w:tr>
        <w:trPr>
          <w:trHeight w:val="195"/>
        </w:trPr>
        <w:tc>
          <w:tcPr>
            <w:tcW w:w="55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741,813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798,875</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 B</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841,188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841,188</w:t>
            </w:r>
          </w:p>
        </w:tc>
      </w:tr>
      <w:tr>
        <w:trPr>
          <w:trHeight w:val="27"/>
        </w:trPr>
        <w:tc>
          <w:tcPr>
            <w:tcW w:w="5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(27,239)</w:t>
            </w:r>
          </w:p>
        </w:tc>
      </w:tr>
      <w:tr>
        <w:trPr>
          <w:trHeight w:val="27"/>
        </w:trPr>
        <w:tc>
          <w:tcPr>
            <w:tcW w:w="55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1,597,261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1,612,824</w:t>
            </w:r>
          </w:p>
        </w:tc>
      </w:tr>
      <w:tr>
        <w:trPr>
          <w:trHeight w:val="243"/>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(112,813)</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(57,063)</w:t>
            </w:r>
          </w:p>
        </w:tc>
      </w:tr>
      <w:tr>
        <w:trPr>
          <w:trHeight w:val="27"/>
        </w:trPr>
        <w:tc>
          <w:tcPr>
            <w:tcW w:w="55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1,484,448</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1,555,761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On May 7, 2014, the Company entered into the Second Amendment to the Credit Agreement, dated as of July 31, 2012 (as previously amended by the First Amendment to the Credit Agreement, dated as of August 16, 2013). Pursuant to the Second Amendment, the Company increased its borrowing under Term Loan A by approximately $168.4 million, the proceeds of which were used to pay outstanding principal on Term Loan B. The rates for Term Loan A and Term Loan B, as amended, remain unchanged. The Second Amendment also extended the maturity date of Term Loan A and the revolving credit facility to May 31, 2019. The maturity date for Term Loan B remained unchanged at July 31, 2019. The Company also amended its existing debt covenants to provide for greater operational and financial flexibility. As of March 31, 2016 and 2015, the Company was in compliance with all of the Credit Agreement's debt covenants.</w:t>
      </w:r>
    </w:p>
    <w:p>
      <w:pPr>
        <w:spacing w:after="0" w:line="8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of March 31, 2016, the Credit Agreement, as amended, provided the Company with an $830.0 million Term Loan A and an $841.2 million Term Loan B, and a $500.0 million revolving credit facility, with a sublimit for letters of credit of $100.0 million. The outstanding obligations under the Credit Agreement, as amended, are secured by a security interest in substantially all of the assets of the Company, subject to certain exceptions set forth in the Credit Agreement, as amended, and related documentation.</w:t>
      </w:r>
    </w:p>
    <w:p>
      <w:pPr>
        <w:spacing w:after="0" w:line="72"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Company occasionally borrows under the revolving credit facility in anticipation of cash demands. During the second, third, and fourth quarters of fiscal 2016, the Company's wholly-owned subsidiary Booz Allen Hamilton Inc. accessed a total of $25.0 million, $123.0 million, and $125.0 million respectively, of its $500.0 million revolving credit facility. As of March 31, 2016, $35 million was outstanding on the revolving credit facility, which was repaid on April 5, 2016. During the second and fourth quarters of fiscal 2015 the Company's wholly-owned subsidiary Booz Allen Hamilton, Inc. accessed a total of $30 million and $50 million respectively, of the revolving credit facility. As of March 31, 2015, no amounts were outstanding on the revolving credit facility.</w:t>
      </w:r>
    </w:p>
    <w:p>
      <w:pPr>
        <w:spacing w:after="0" w:line="80"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Second Amendment, no additional principal payments are required until the remaining balance is due on Term Loan B's maturity date of July 31, 2019. The revolving credit facility matures on May 31, 2019, at which time any outstanding principal balance is due in full.</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required future debt principal repayments: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Payments Due By March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3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49"/>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741,813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77,813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98,563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349,638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215,799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 B</w:t>
            </w:r>
          </w:p>
        </w:tc>
        <w:tc>
          <w:tcPr>
            <w:tcW w:w="2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841,188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841,188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1,583,001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77,813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98,563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349,638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1,056,987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interest rate on borrowings under Term Loan A is LIBOR plus 2.50% spread. The spread ranges from 2.00% to 2.75% based on the Company's total leverage ratio. The interest rate on borrowings under Term Loan B is LIBOR plus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792" w:right="239" w:bottom="1440" w:gutter="0" w:footer="0" w:header="0"/>
        </w:sectPr>
      </w:pPr>
    </w:p>
    <w:bookmarkStart w:id="79" w:name="page80"/>
    <w:bookmarkEnd w:id="79"/>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During fiscal 2016, interest payments of $22.0 million and $34.7 million were made for Term Loan A and Term Loan B, respectively. During fiscal 2015, interest payments of $21.0 million and $29.0 million were made for Term Loan A and Term Loan B, respectively.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on debt and debt-like instruments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24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5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A Interest Expense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22,189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18,965</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 B Interest Expense</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33,079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41,942</w:t>
            </w:r>
          </w:p>
        </w:tc>
      </w:tr>
      <w:tr>
        <w:trPr>
          <w:trHeight w:val="27"/>
        </w:trPr>
        <w:tc>
          <w:tcPr>
            <w:tcW w:w="5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Revolving Credit Facility</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r>
      <w:tr>
        <w:trPr>
          <w:trHeight w:val="270"/>
        </w:trPr>
        <w:tc>
          <w:tcPr>
            <w:tcW w:w="58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Deferred Payment Obligation Interest Payments </w:t>
            </w:r>
            <w:r>
              <w:rPr>
                <w:rFonts w:ascii="Times New Roman" w:cs="Times New Roman" w:eastAsia="Times New Roman" w:hAnsi="Times New Roman"/>
                <w:sz w:val="25"/>
                <w:szCs w:val="25"/>
                <w:color w:val="auto"/>
                <w:vertAlign w:val="superscript"/>
              </w:rPr>
              <w:t>1</w:t>
            </w: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8,000</w:t>
            </w:r>
          </w:p>
        </w:tc>
      </w:tr>
      <w:tr>
        <w:trPr>
          <w:trHeight w:val="270"/>
        </w:trPr>
        <w:tc>
          <w:tcPr>
            <w:tcW w:w="58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w w:val="99"/>
              </w:rPr>
              <w:t xml:space="preserve">Amortization of Debt Issuance Costs (DIC) and Original Issue Discount (OID) </w:t>
            </w:r>
            <w:r>
              <w:rPr>
                <w:rFonts w:ascii="Times New Roman" w:cs="Times New Roman" w:eastAsia="Times New Roman" w:hAnsi="Times New Roman"/>
                <w:sz w:val="25"/>
                <w:szCs w:val="25"/>
                <w:color w:val="auto"/>
                <w:w w:val="99"/>
                <w:vertAlign w:val="superscript"/>
              </w:rPr>
              <w:t>2</w:t>
            </w:r>
          </w:p>
        </w:tc>
        <w:tc>
          <w:tcPr>
            <w:tcW w:w="10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8,331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8,839</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5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70,815</w:t>
            </w: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71,832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78,030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20" w:hanging="112"/>
        <w:spacing w:after="0"/>
        <w:tabs>
          <w:tab w:leader="none" w:pos="120" w:val="left"/>
        </w:tabs>
        <w:numPr>
          <w:ilvl w:val="0"/>
          <w:numId w:val="6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Interest payments on the deferred payment obligation are made twice a year in January and July. See Note 9.</w:t>
      </w:r>
    </w:p>
    <w:p>
      <w:pPr>
        <w:spacing w:after="0" w:line="98" w:lineRule="exact"/>
        <w:rPr>
          <w:sz w:val="20"/>
          <w:szCs w:val="20"/>
          <w:color w:val="auto"/>
        </w:rPr>
      </w:pPr>
    </w:p>
    <w:p>
      <w:pPr>
        <w:ind w:right="120" w:firstLine="8"/>
        <w:spacing w:after="0" w:line="225" w:lineRule="auto"/>
        <w:tabs>
          <w:tab w:leader="none" w:pos="108" w:val="left"/>
        </w:tabs>
        <w:numPr>
          <w:ilvl w:val="0"/>
          <w:numId w:val="6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DIC and OID on the Company's term loans are recorded as a reduction of long term debt in the consolidated balance sheet and are amortized ratably over the life of the related debt using the effective rate method. DIC on the Company's revolving line of credit is recorded as a long term asset on the consolidated balance sheet and amortized ratably over the term of the revolving credit facility.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income tax expense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8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Federal</w:t>
            </w:r>
          </w:p>
        </w:tc>
        <w:tc>
          <w:tcPr>
            <w:tcW w:w="116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61,339</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133,400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148,908</w:t>
            </w:r>
          </w:p>
        </w:tc>
      </w:tr>
      <w:tr>
        <w:trPr>
          <w:trHeight w:val="27"/>
        </w:trPr>
        <w:tc>
          <w:tcPr>
            <w:tcW w:w="5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 and local</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22,492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26,062</w:t>
            </w:r>
          </w:p>
        </w:tc>
      </w:tr>
      <w:tr>
        <w:trPr>
          <w:trHeight w:val="237"/>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w:t>
            </w:r>
          </w:p>
        </w:tc>
        <w:tc>
          <w:tcPr>
            <w:tcW w:w="1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81,819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155,892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174,970</w:t>
            </w:r>
          </w:p>
        </w:tc>
      </w:tr>
      <w:tr>
        <w:trPr>
          <w:trHeight w:val="27"/>
        </w:trPr>
        <w:tc>
          <w:tcPr>
            <w:tcW w:w="58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Federal</w:t>
            </w:r>
          </w:p>
        </w:tc>
        <w:tc>
          <w:tcPr>
            <w:tcW w:w="1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(22,540)</w:t>
            </w:r>
          </w:p>
        </w:tc>
      </w:tr>
      <w:tr>
        <w:trPr>
          <w:trHeight w:val="27"/>
        </w:trPr>
        <w:tc>
          <w:tcPr>
            <w:tcW w:w="5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 and local</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r>
      <w:tr>
        <w:trPr>
          <w:trHeight w:val="237"/>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w:t>
            </w:r>
          </w:p>
        </w:tc>
        <w:tc>
          <w:tcPr>
            <w:tcW w:w="1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(26,371)</w:t>
            </w:r>
          </w:p>
        </w:tc>
      </w:tr>
      <w:tr>
        <w:trPr>
          <w:trHeight w:val="27"/>
        </w:trPr>
        <w:tc>
          <w:tcPr>
            <w:tcW w:w="58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85,368</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153,349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148,599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 to the amount computed by applying the statutory federal income tax rate to income from continuing operations before income taxes for each of the three years ended March 31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computed at U.S. federal statutory rate (35%)</w:t>
            </w:r>
          </w:p>
        </w:tc>
        <w:tc>
          <w:tcPr>
            <w:tcW w:w="19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132,812</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135,071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133,275</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Increases (reductions) resulting from:</w:t>
            </w:r>
          </w:p>
        </w:tc>
        <w:tc>
          <w:tcPr>
            <w:tcW w:w="9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uncertain tax positions</w:t>
            </w:r>
          </w:p>
        </w:tc>
        <w:tc>
          <w:tcPr>
            <w:tcW w:w="9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1,838</w:t>
            </w:r>
          </w:p>
        </w:tc>
      </w:tr>
      <w:tr>
        <w:trPr>
          <w:trHeight w:val="243"/>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State and local income taxes, net of federal tax</w:t>
            </w:r>
          </w:p>
        </w:tc>
        <w:tc>
          <w:tcPr>
            <w:tcW w:w="9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13,847</w:t>
            </w: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Meals and entertainment</w:t>
            </w:r>
          </w:p>
        </w:tc>
        <w:tc>
          <w:tcPr>
            <w:tcW w:w="9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1,135</w:t>
            </w:r>
          </w:p>
        </w:tc>
      </w:tr>
      <w:tr>
        <w:trPr>
          <w:trHeight w:val="243"/>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7"/>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Income tax expense from operations</w:t>
            </w:r>
          </w:p>
        </w:tc>
        <w:tc>
          <w:tcPr>
            <w:tcW w:w="19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85,368</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153,349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148,599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194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F-18</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80" w:name="page81"/>
    <w:bookmarkEnd w:id="80"/>
    <w:p>
      <w:pPr>
        <w:ind w:left="420"/>
        <w:spacing w:after="0"/>
        <w:rPr>
          <w:sz w:val="20"/>
          <w:szCs w:val="20"/>
          <w:color w:val="auto"/>
        </w:rPr>
      </w:pPr>
      <w:r>
        <w:rPr>
          <w:rFonts w:ascii="Times New Roman" w:cs="Times New Roman" w:eastAsia="Times New Roman" w:hAnsi="Times New Roman"/>
          <w:sz w:val="18"/>
          <w:szCs w:val="18"/>
          <w:color w:val="auto"/>
        </w:rPr>
        <w:t>Significant components of the Company’s net deferred income tax (liability) asset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85,412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92,747</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36,956</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25,537</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46,743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44,030</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and equipment</w:t>
            </w:r>
          </w:p>
        </w:tc>
        <w:tc>
          <w:tcPr>
            <w:tcW w:w="10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14,035</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operating loss &amp; Capital loss carryforwards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rent and tenant allowance</w:t>
            </w:r>
          </w:p>
        </w:tc>
        <w:tc>
          <w:tcPr>
            <w:tcW w:w="10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13,700</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4,793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2,609</w:t>
            </w: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gross deferred income tax assets</w:t>
            </w: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228,937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229,877</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6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Total net deferred income tax assets</w:t>
            </w: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228,937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229,877</w:t>
            </w: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compensation-IRC Section 481(a)</w:t>
            </w:r>
          </w:p>
        </w:tc>
        <w:tc>
          <w:tcPr>
            <w:tcW w:w="10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Unbilled receivables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(122,744)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(104,017)</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(81,857)</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7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0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(206,883)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(200,580)</w:t>
            </w:r>
          </w:p>
        </w:tc>
      </w:tr>
      <w:tr>
        <w:trPr>
          <w:trHeight w:val="237"/>
        </w:trPr>
        <w:tc>
          <w:tcPr>
            <w:tcW w:w="7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1060" w:type="dxa"/>
            <w:vAlign w:val="bottom"/>
            <w:tcBorders>
              <w:top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22,054</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29,297</w:t>
            </w:r>
          </w:p>
        </w:tc>
      </w:tr>
      <w:tr>
        <w:trPr>
          <w:trHeight w:val="27"/>
        </w:trPr>
        <w:tc>
          <w:tcPr>
            <w:tcW w:w="76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book earnings, future reversals of existing taxable temporary differences, projected future taxable income, as well as any tax planning strategies. The Company believes it is more likely than not that the results of future operations will generate sufficient taxable income to realize the net deferred tax assets.</w:t>
      </w:r>
    </w:p>
    <w:p>
      <w:pPr>
        <w:spacing w:after="0" w:line="80"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2016, the Company has a minimal amount of State net operating loss, or NOL, carryforwards. If not utilized, the State NOL carryforwards will begin to expire in 2020. The Company believes that it is more likely than not that the Company will generate sufficient taxable income to fully realize the tax benefit of the State NOL carryforwards.</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Company maintains reserves for uncertain tax positions related to income tax benefits recognized. These reserves involve considerable judgment and estimation and are evaluated by management based on the best information available including changes in tax laws and other information. As of March 31, 2016, 2015, and 2014, the Company has recorded $1.5 million, $58.4 million, and $57.4 million respectively, of reserves for uncertain tax positions which includes potential tax benefits of $1.4 million, $55.2 million, and $55.0 million respectively, that, if recognized, would impact the effective tax rate.</w:t>
      </w:r>
    </w:p>
    <w:p>
      <w:pPr>
        <w:spacing w:after="0" w:line="7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For the fiscal year ended March 31, 2016, the Company's reserves for uncertain tax positions decreased primarily as a result of expired statute of limitations for a prior tax year and management's conclusion that the uncertain tax positions related to the statute lapse were effectively settled. The Company released approximately $56.9 million of its pre-acquisition uncertain tax positions during the fiscal year ended March 31, 2016, including $3.2 million of net interest and penalties that were incurred by the Company subsequent to the Acquisition. As part of this settlement, an amount of $21.4 million, previously indemnified under the remaining available DPO was relieved. As of March 31, 2016, there were no estimated tax indemnified amounts recorded against the DPO.</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796" w:right="239" w:bottom="1440" w:gutter="0" w:footer="0" w:header="0"/>
        </w:sectPr>
      </w:pPr>
    </w:p>
    <w:bookmarkStart w:id="81" w:name="page82"/>
    <w:bookmarkEnd w:id="81"/>
    <w:p>
      <w:pPr>
        <w:ind w:left="4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potential tax benefits for the periods presented is as follows:</w:t>
      </w:r>
    </w:p>
    <w:p>
      <w:pPr>
        <w:spacing w:after="0" w:line="340" w:lineRule="exact"/>
        <w:rPr>
          <w:sz w:val="20"/>
          <w:szCs w:val="20"/>
          <w:color w:val="auto"/>
        </w:rPr>
      </w:pPr>
    </w:p>
    <w:tbl>
      <w:tblPr>
        <w:tblLayout w:type="fixed"/>
        <w:tblInd w:w="68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year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54,966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55,679</w:t>
            </w: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Increases in prior year position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7"/>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Increases in current year position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7"/>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5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End of year</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55,164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54,966</w:t>
            </w:r>
          </w:p>
        </w:tc>
      </w:tr>
      <w:tr>
        <w:trPr>
          <w:trHeight w:val="27"/>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recognized accrued (released) interest and penalties of approximately $(3.2) million, $0.8 million and $1.1 million for fiscal 2016, 2015, and 2014, respectively, related to the reserves for uncertain tax positions in the income tax provision. Included in the total reserve for uncertain tax positions are accrued penalties and interest of approximately $0.1 million, $3.3 million and $2.4 million at March 31, 2016, 2015, and 2014 respectively.</w:t>
      </w:r>
    </w:p>
    <w:p>
      <w:pPr>
        <w:spacing w:after="0" w:line="68"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and foreign jurisdictions. As of March 31, 2016, the Company's tax years ended March 31, 2013 and forward are open and subject to examination by the federal tax authorities. The other jurisdictions currently open or under examination are not considered to be material.</w:t>
      </w:r>
    </w:p>
    <w:p>
      <w:pPr>
        <w:spacing w:after="0" w:line="388" w:lineRule="exact"/>
        <w:rPr>
          <w:sz w:val="20"/>
          <w:szCs w:val="20"/>
          <w:color w:val="auto"/>
        </w:rPr>
      </w:pPr>
    </w:p>
    <w:p>
      <w:pPr>
        <w:ind w:left="340" w:right="8640" w:hanging="332"/>
        <w:spacing w:after="0" w:line="400" w:lineRule="auto"/>
        <w:tabs>
          <w:tab w:leader="none" w:pos="286"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EMPLOYEE BENEFIT PLANS </w:t>
      </w:r>
      <w:r>
        <w:rPr>
          <w:rFonts w:ascii="Times New Roman" w:cs="Times New Roman" w:eastAsia="Times New Roman" w:hAnsi="Times New Roman"/>
          <w:sz w:val="17"/>
          <w:szCs w:val="17"/>
          <w:b w:val="1"/>
          <w:bCs w:val="1"/>
          <w:i w:val="1"/>
          <w:iCs w:val="1"/>
          <w:color w:val="auto"/>
        </w:rPr>
        <w:t>Defined Contribution Plan</w:t>
      </w:r>
    </w:p>
    <w:p>
      <w:pPr>
        <w:spacing w:after="0" w:line="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 sponsors the Employees’ Capital Accumulation Plan, or ECAP, which is a qualified defined contribution plan that covers eligible U.S. and international employees. The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for fiscal 2016, 2015, and 2014 was $108.7 million, $110.7 million, and $165.6 million, respectively, and the Company-paid contributions were $107.5 million, $124.8 million, and $205.2 million, respectively.</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and Other Postretirement Benefit Plans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maintains and administers a postretirement medical plan and a defined benefit retirement plan for current, retired, and resigned officers.</w:t>
      </w:r>
    </w:p>
    <w:p>
      <w:pPr>
        <w:spacing w:after="0" w:line="11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established a non-qualified defined benefit plan for all Officers in May 1995, or the Retired Officers' Bonus Plan, which pays a lump-sum amount of $10,000 per year of service as an Officer, provided the Officer meets retirement vesting requirements. The Company also provides a fixed annual allowance after retirement to cover financial counseling and other expenses. The Retired Officers' Bonus Plan is not salary related, but rather is based primarily on years of service.</w:t>
      </w:r>
    </w:p>
    <w:p>
      <w:pPr>
        <w:spacing w:after="0" w:line="72"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In addition, the Company provides postretirement healthcare benefits to former Officers under a medical indemnity insurance plan, with premiums paid by the Company. This plan is referred to as the Officer Medical Plan.</w:t>
      </w:r>
    </w:p>
    <w:p>
      <w:pPr>
        <w:spacing w:after="0" w:line="54"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net postretirement medical expense for the Officer Medical Plan were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4320" w:type="dxa"/>
            <w:vAlign w:val="bottom"/>
            <w:tcBorders>
              <w:bottom w:val="single" w:sz="8" w:color="CCEEFF"/>
            </w:tcBorders>
          </w:tcPr>
          <w:p>
            <w:pPr>
              <w:spacing w:after="0"/>
              <w:rPr>
                <w:sz w:val="22"/>
                <w:szCs w:val="22"/>
                <w:color w:val="auto"/>
              </w:rPr>
            </w:pPr>
          </w:p>
        </w:tc>
        <w:tc>
          <w:tcPr>
            <w:tcW w:w="24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3340" w:type="dxa"/>
            <w:vAlign w:val="bottom"/>
            <w:tcBorders>
              <w:bottom w:val="single" w:sz="8" w:color="CCEEFF"/>
            </w:tcBorders>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4,745</w:t>
            </w: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3,660</w:t>
            </w:r>
          </w:p>
        </w:tc>
      </w:tr>
      <w:tr>
        <w:trPr>
          <w:trHeight w:val="27"/>
        </w:trPr>
        <w:tc>
          <w:tcPr>
            <w:tcW w:w="4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loss</w:t>
            </w:r>
          </w:p>
        </w:tc>
        <w:tc>
          <w:tcPr>
            <w:tcW w:w="2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2,728</w:t>
            </w:r>
          </w:p>
        </w:tc>
      </w:tr>
      <w:tr>
        <w:trPr>
          <w:trHeight w:val="237"/>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postretirement medical expense</w:t>
            </w:r>
          </w:p>
        </w:tc>
        <w:tc>
          <w:tcPr>
            <w:tcW w:w="2440" w:type="dxa"/>
            <w:vAlign w:val="bottom"/>
          </w:tcPr>
          <w:p>
            <w:pPr>
              <w:spacing w:after="0"/>
              <w:rPr>
                <w:sz w:val="20"/>
                <w:szCs w:val="20"/>
                <w:color w:val="auto"/>
              </w:rPr>
            </w:pPr>
          </w:p>
        </w:tc>
        <w:tc>
          <w:tcPr>
            <w:tcW w:w="9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13,743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8,236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11,133</w:t>
            </w:r>
          </w:p>
        </w:tc>
      </w:tr>
      <w:tr>
        <w:trPr>
          <w:trHeight w:val="27"/>
        </w:trPr>
        <w:tc>
          <w:tcPr>
            <w:tcW w:w="4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0"/>
        </w:trPr>
        <w:tc>
          <w:tcPr>
            <w:tcW w:w="4320" w:type="dxa"/>
            <w:vAlign w:val="bottom"/>
          </w:tcPr>
          <w:p>
            <w:pPr>
              <w:spacing w:after="0"/>
              <w:rPr>
                <w:sz w:val="24"/>
                <w:szCs w:val="24"/>
                <w:color w:val="auto"/>
              </w:rPr>
            </w:pPr>
          </w:p>
        </w:tc>
        <w:tc>
          <w:tcPr>
            <w:tcW w:w="3340" w:type="dxa"/>
            <w:vAlign w:val="bottom"/>
            <w:gridSpan w:val="2"/>
          </w:tcPr>
          <w:p>
            <w:pPr>
              <w:jc w:val="right"/>
              <w:ind w:right="1699"/>
              <w:spacing w:after="0"/>
              <w:rPr>
                <w:sz w:val="20"/>
                <w:szCs w:val="20"/>
                <w:color w:val="auto"/>
              </w:rPr>
            </w:pPr>
            <w:r>
              <w:rPr>
                <w:rFonts w:ascii="Times New Roman" w:cs="Times New Roman" w:eastAsia="Times New Roman" w:hAnsi="Times New Roman"/>
                <w:sz w:val="18"/>
                <w:szCs w:val="18"/>
                <w:color w:val="auto"/>
              </w:rPr>
              <w:t>F-20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82" w:name="page83"/>
    <w:bookmarkEnd w:id="82"/>
    <w:p>
      <w:pPr>
        <w:ind w:left="420"/>
        <w:spacing w:after="0"/>
        <w:rPr>
          <w:sz w:val="20"/>
          <w:szCs w:val="20"/>
          <w:color w:val="auto"/>
        </w:rPr>
      </w:pPr>
      <w:r>
        <w:rPr>
          <w:rFonts w:ascii="Times New Roman" w:cs="Times New Roman" w:eastAsia="Times New Roman" w:hAnsi="Times New Roman"/>
          <w:sz w:val="18"/>
          <w:szCs w:val="18"/>
          <w:color w:val="auto"/>
        </w:rPr>
        <w:t>The weighted-average discount rate used to determine the year-end benefit obligations was as follows:</w:t>
      </w:r>
    </w:p>
    <w:p>
      <w:pPr>
        <w:spacing w:after="0" w:line="200" w:lineRule="exact"/>
        <w:rPr>
          <w:sz w:val="20"/>
          <w:szCs w:val="20"/>
          <w:color w:val="auto"/>
        </w:rPr>
      </w:pPr>
    </w:p>
    <w:p>
      <w:pPr>
        <w:spacing w:after="0" w:line="35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24765</wp:posOffset>
            </wp:positionV>
            <wp:extent cx="30702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Officer Medical Plan</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Retired Officers’ Bonus Plan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bl>
    <w:p>
      <w:pPr>
        <w:spacing w:after="0" w:line="33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Assumed healthcare cost trend rates for the Officer Medical Plan at March 31, 2016 and 2015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Pre-65 initial rate</w:t>
            </w: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Healthcare cost trend rate assumed for next year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 trend rate)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2023</w:t>
            </w:r>
          </w:p>
        </w:tc>
      </w:tr>
      <w:tr>
        <w:trPr>
          <w:trHeight w:val="400"/>
        </w:trPr>
        <w:tc>
          <w:tcPr>
            <w:tcW w:w="8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Post-65 initial rate</w:t>
            </w: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Healthcare cost trend rate assumed for next year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 to which the cost trend rate is assumed to decline (the ultimate trend rate)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5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8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Assumed healthcare cost trend rates have a significant effect on the amounts reported for the healthcare plans. A one-percentage-point change in assumed healthcare cost trend rates calculated as of March 31, 2016 would have the following effects: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1% Decrease</w:t>
            </w: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on total of service and interest cost</w:t>
            </w:r>
          </w:p>
        </w:tc>
        <w:tc>
          <w:tcPr>
            <w:tcW w:w="1440" w:type="dxa"/>
            <w:vAlign w:val="bottom"/>
            <w:tcBorders>
              <w:bottom w:val="single" w:sz="8" w:color="CCEEFF"/>
            </w:tcBorders>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on postretirement benefit obligation</w:t>
            </w: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(16,291)</w:t>
            </w:r>
          </w:p>
        </w:tc>
      </w:tr>
    </w:tbl>
    <w:p>
      <w:pPr>
        <w:spacing w:after="0" w:line="11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Total defined benefit plan expense, consisting of service, interest, and net actuarial gain associated with the Retired Officers' Bonus Plan was $0.7 million, $0.7 million, and $0.8 million for fiscal 2016, 2015, and 2014, respectively. Benefits paid associated with the Retired Officers’ Bonus Plan were $0.3 million, $1.3 million, and $1.1 million for fiscal 2016, 2015, and 2014, respectively. The end-of-period benefit obligation of $4.5 million and $4.3 million as of March 31, 2016 and 2015, respectively, is included in postretirement obligations within other long-term liabilities in the accompanying consolidated balance sheets.</w:t>
      </w:r>
    </w:p>
    <w:p>
      <w:pPr>
        <w:spacing w:after="0" w:line="7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as of March 31, 2016 includes unrecognized gross actuarial gain of $4.2 million, reduced by taxes of $1.7 million, that has not yet been recognized in net periodic pension cost for the Retired Officers’ Bonus Plan and the Officer Medical Plan. Accumulated other comprehensive loss as of March 31, 2015, includes unrecognized gross actuarial loss of $25.6 million, reduced by taxes of $10.1 million, that has not yet been recognized in net periodic pension cost for the Retired Officers’ Bonus Plan and the Officer Medical Plan.</w:t>
      </w:r>
    </w:p>
    <w:p>
      <w:pPr>
        <w:spacing w:after="0" w:line="7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amounts in accumulated other comprehensive loss expected to be recognized as components of net periodic cost in fiscal 2017 are $3.1 million of net actuarial (gain) loss, $0 of net prior service cost (credit), and $0 of net transition (asset) obligation.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the benefit obligation, plan assets, and funded status of the Officer Medical Plan were as follows:</w:t>
      </w: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of the year</w:t>
            </w:r>
          </w:p>
        </w:tc>
        <w:tc>
          <w:tcPr>
            <w:tcW w:w="272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107,317</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75,902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78,735</w:t>
            </w: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Service cost</w:t>
            </w:r>
          </w:p>
        </w:tc>
        <w:tc>
          <w:tcPr>
            <w:tcW w:w="1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4,745</w:t>
            </w:r>
          </w:p>
        </w:tc>
      </w:tr>
      <w:tr>
        <w:trPr>
          <w:trHeight w:val="27"/>
        </w:trPr>
        <w:tc>
          <w:tcPr>
            <w:tcW w:w="4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cost</w:t>
            </w:r>
          </w:p>
        </w:tc>
        <w:tc>
          <w:tcPr>
            <w:tcW w:w="1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3,660</w:t>
            </w: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actuarial (gain) loss</w:t>
            </w:r>
          </w:p>
        </w:tc>
        <w:tc>
          <w:tcPr>
            <w:tcW w:w="1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26,293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w:t>
            </w:r>
          </w:p>
        </w:tc>
      </w:tr>
      <w:tr>
        <w:trPr>
          <w:trHeight w:val="27"/>
        </w:trPr>
        <w:tc>
          <w:tcPr>
            <w:tcW w:w="4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Benefits paid</w:t>
            </w:r>
          </w:p>
        </w:tc>
        <w:tc>
          <w:tcPr>
            <w:tcW w:w="1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37"/>
        </w:trPr>
        <w:tc>
          <w:tcPr>
            <w:tcW w:w="4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Benefit obligation, end of the year</w:t>
            </w:r>
          </w:p>
        </w:tc>
        <w:tc>
          <w:tcPr>
            <w:tcW w:w="1720" w:type="dxa"/>
            <w:vAlign w:val="bottom"/>
          </w:tcPr>
          <w:p>
            <w:pPr>
              <w:spacing w:after="0"/>
              <w:rPr>
                <w:sz w:val="20"/>
                <w:szCs w:val="20"/>
                <w:color w:val="auto"/>
              </w:rPr>
            </w:pPr>
          </w:p>
        </w:tc>
        <w:tc>
          <w:tcPr>
            <w:tcW w:w="100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114,008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107,317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75,902</w:t>
            </w:r>
          </w:p>
        </w:tc>
      </w:tr>
      <w:tr>
        <w:trPr>
          <w:trHeight w:val="27"/>
        </w:trPr>
        <w:tc>
          <w:tcPr>
            <w:tcW w:w="4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0"/>
        </w:trPr>
        <w:tc>
          <w:tcPr>
            <w:tcW w:w="4340" w:type="dxa"/>
            <w:vAlign w:val="bottom"/>
          </w:tcPr>
          <w:p>
            <w:pPr>
              <w:spacing w:after="0"/>
              <w:rPr>
                <w:sz w:val="24"/>
                <w:szCs w:val="24"/>
                <w:color w:val="auto"/>
              </w:rPr>
            </w:pPr>
          </w:p>
        </w:tc>
        <w:tc>
          <w:tcPr>
            <w:tcW w:w="2720" w:type="dxa"/>
            <w:vAlign w:val="bottom"/>
            <w:gridSpan w:val="2"/>
          </w:tcPr>
          <w:p>
            <w:pPr>
              <w:jc w:val="right"/>
              <w:ind w:right="1119"/>
              <w:spacing w:after="0"/>
              <w:rPr>
                <w:sz w:val="20"/>
                <w:szCs w:val="20"/>
                <w:color w:val="auto"/>
              </w:rPr>
            </w:pPr>
            <w:r>
              <w:rPr>
                <w:rFonts w:ascii="Times New Roman" w:cs="Times New Roman" w:eastAsia="Times New Roman" w:hAnsi="Times New Roman"/>
                <w:sz w:val="18"/>
                <w:szCs w:val="18"/>
                <w:color w:val="auto"/>
              </w:rPr>
              <w:t>F-21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83" w:name="page84"/>
    <w:bookmarkEnd w:id="8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plan assets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 of the year</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Employer contributions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1,802</w:t>
            </w: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Benefits paid</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Fair value of plan assets, end of the year</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6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2016 and 2015, the unfunded status of the Officer Medical Plan was $114.0 million and $107.3 million, respectively, which is included in other long-term liabilities in the accompanying consolidated balance sheets.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Funded Status for Defined Benefit Plans</w:t>
      </w:r>
    </w:p>
    <w:p>
      <w:pPr>
        <w:spacing w:after="0" w:line="121"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Generally, annual contributions are made at such times and in amounts as required by law and may, from time to time, exceed minimum funding requirements. The Retired Officers’ Bonus Plan is an unfunded plan and contributions are made as benefits are paid. As of March 31, 2016 and 2015, there were no plan assets for the Retired Officers’ Bonus Plan and therefore, the accumulated liability of $4.5 million and $4.3 million, respectively, is unfunded. The liability will be distributed in a lump-sum payment as each Officer retires.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expected future medical benefit payments and related contributions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For the Fiscal Year Ending March 31,</w:t>
            </w:r>
          </w:p>
        </w:tc>
        <w:tc>
          <w:tcPr>
            <w:tcW w:w="6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64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3,001</w:t>
            </w: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6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3,414</w:t>
            </w:r>
          </w:p>
        </w:tc>
      </w:tr>
      <w:tr>
        <w:trPr>
          <w:trHeight w:val="27"/>
        </w:trPr>
        <w:tc>
          <w:tcPr>
            <w:tcW w:w="39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4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3,815</w:t>
            </w: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4,245</w:t>
            </w:r>
          </w:p>
        </w:tc>
      </w:tr>
      <w:tr>
        <w:trPr>
          <w:trHeight w:val="27"/>
        </w:trPr>
        <w:tc>
          <w:tcPr>
            <w:tcW w:w="39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4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4,625</w:t>
            </w: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2022-2025</w:t>
            </w:r>
          </w:p>
        </w:tc>
        <w:tc>
          <w:tcPr>
            <w:tcW w:w="6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28,833</w:t>
            </w:r>
          </w:p>
        </w:tc>
      </w:tr>
      <w:tr>
        <w:trPr>
          <w:trHeight w:val="783"/>
        </w:trPr>
        <w:tc>
          <w:tcPr>
            <w:tcW w:w="3940" w:type="dxa"/>
            <w:vAlign w:val="bottom"/>
          </w:tcPr>
          <w:p>
            <w:pPr>
              <w:spacing w:after="0"/>
              <w:rPr>
                <w:sz w:val="24"/>
                <w:szCs w:val="24"/>
                <w:color w:val="auto"/>
              </w:rPr>
            </w:pPr>
          </w:p>
        </w:tc>
        <w:tc>
          <w:tcPr>
            <w:tcW w:w="6440" w:type="dxa"/>
            <w:vAlign w:val="bottom"/>
          </w:tcPr>
          <w:p>
            <w:pPr>
              <w:jc w:val="right"/>
              <w:ind w:right="4410"/>
              <w:spacing w:after="0"/>
              <w:rPr>
                <w:sz w:val="20"/>
                <w:szCs w:val="20"/>
                <w:color w:val="auto"/>
              </w:rPr>
            </w:pPr>
            <w:r>
              <w:rPr>
                <w:rFonts w:ascii="Times New Roman" w:cs="Times New Roman" w:eastAsia="Times New Roman" w:hAnsi="Times New Roman"/>
                <w:sz w:val="18"/>
                <w:szCs w:val="18"/>
                <w:color w:val="auto"/>
              </w:rPr>
              <w:t>F-22</w:t>
            </w: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020"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22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All amounts recorded in other comprehensive loss are related to the Company's </w:t>
      </w:r>
      <w:r>
        <w:rPr>
          <w:rFonts w:ascii="Times New Roman" w:cs="Times New Roman" w:eastAsia="Times New Roman" w:hAnsi="Times New Roman"/>
          <w:sz w:val="18"/>
          <w:szCs w:val="18"/>
          <w:color w:val="000000"/>
        </w:rPr>
        <w:t>post-retirement plan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following table represents a rollforward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amounts recognized in accumulated other comprehensive loss, net of tax:</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74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520" w:type="dxa"/>
            <w:vAlign w:val="bottom"/>
            <w:tcBorders>
              <w:bottom w:val="single" w:sz="8" w:color="CCEEFF"/>
            </w:tcBorders>
            <w:gridSpan w:val="4"/>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(6,636)</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(15,873)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76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2,142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2,546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(15,523)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(22,159)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560" w:type="dxa"/>
            <w:vAlign w:val="bottom"/>
            <w:gridSpan w:val="5"/>
          </w:tcPr>
          <w:p>
            <w:pPr>
              <w:jc w:val="right"/>
              <w:ind w:right="494"/>
              <w:spacing w:after="0"/>
              <w:rPr>
                <w:sz w:val="20"/>
                <w:szCs w:val="20"/>
                <w:color w:val="auto"/>
              </w:rPr>
            </w:pPr>
            <w:r>
              <w:rPr>
                <w:rFonts w:ascii="Times New Roman" w:cs="Times New Roman" w:eastAsia="Times New Roman" w:hAnsi="Times New Roman"/>
                <w:sz w:val="18"/>
                <w:szCs w:val="18"/>
                <w:color w:val="auto"/>
              </w:rPr>
              <w:t>The following table presents the reclassifications out of accumulated other comprehensive loss to net income: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actuarial loss included in net periodic benefit cost (See Note 12)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before tax</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520" w:type="dxa"/>
            <w:vAlign w:val="bottom"/>
            <w:tcBorders>
              <w:bottom w:val="single" w:sz="8" w:color="CCEEFF"/>
            </w:tcBorders>
            <w:gridSpan w:val="4"/>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benefit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520" w:type="dxa"/>
            <w:vAlign w:val="bottom"/>
            <w:gridSpan w:val="4"/>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OTHER LONG-TERM LIABILITIES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7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4"/>
          </w:tcPr>
          <w:p>
            <w:pPr>
              <w:jc w:val="center"/>
              <w:ind w:right="4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53,170</w:t>
            </w:r>
          </w:p>
        </w:tc>
        <w:tc>
          <w:tcPr>
            <w:tcW w:w="7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34,732</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payment obligation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59,414</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5"/>
              </w:rPr>
              <w:t>111,624</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8,515</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175,805</w:t>
            </w:r>
          </w:p>
        </w:tc>
        <w:tc>
          <w:tcPr>
            <w:tcW w:w="7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5"/>
              </w:rPr>
              <w:t>214,285</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Balance at March 31, 2015 includes a contingent earnout liability of $4.5 million related to business acquisitions. Refer to Note 17 for further discussion.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Holders of Class A Common Stock, Class C Restricted Common Stock, and Class E Special Voting Common Stock are entitled to one vote for each share as a holder. The holders of the Voting Common Stock shall vote together as a single class. The holders of Class B Non-Voting Common Stock have no voting rights.</w:t>
      </w:r>
    </w:p>
    <w:p>
      <w:pPr>
        <w:spacing w:after="0" w:line="6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Class C Restricted Common Stock was restricted in that a holder’s shares vested as set forth in the Rollover Plan. Refer to Note 16 for further discussion of the Rollover Plan.</w:t>
      </w:r>
    </w:p>
    <w:p>
      <w:pPr>
        <w:spacing w:after="0" w:line="5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When shares of Class B Non-Voting Common Stock or Class C Restricted Common Stock are sold on the open market, they become Class A Common Stock shares. 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900"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conversion, there were no shares of Class B Non-Voting Common Stock and Class C Restricted Common Stock outstanding at such time.</w:t>
      </w:r>
    </w:p>
    <w:p>
      <w:pPr>
        <w:spacing w:after="0" w:line="11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Class E Special Voting Common Stock represents the voting rights that accompany the Rollover Options. Rollover Options have a fixed vesting and exercise schedule to comply with IRS section 409A. Upon exercise, the option will convert to Class A Common Stock, and the corresponding Class E Special Voting Common Stock will be repurchased by the Company and retired. On September 30, 2015, the Company purchased, at par value, all issued and outstanding shares of Class E special voting common stock in connection with the exercise of the final tranche of rollover options during the second quarter of fiscal 2016. Refer to Note 16 for further discussion of the Rollover Options.</w:t>
      </w:r>
    </w:p>
    <w:p>
      <w:pPr>
        <w:spacing w:after="0" w:line="7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Each share of common stock, except for Class E Special Voting Common Stock, is entitled to participate equally in dividends, when and if declared by the Board of Directors from time to time, such dividends and other distributions in cash, stock, or property from the Company’s assets or funds become legally available for such purposes subject to any dividend preferences that may be attributable to preferred stock that may be authorized. The Company’s ability to pay dividends to stockholders is limited as a practical matter by restrictions in the credit agreements governing the Senior Credit Facilities.</w:t>
      </w:r>
    </w:p>
    <w:p>
      <w:pPr>
        <w:spacing w:after="0" w:line="7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authorized and unissued Class A Common Stock shares are available for future issuance upon share option exercises, without additional stockholder approval.</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 April 1, 2011. For the year ended March 31, 2016, 224,415 Class A Common Stock shares were purchased by employees under the ESPP. As of the program's inception, 1,733,349 shares have been purchased by employees.</w:t>
      </w:r>
    </w:p>
    <w:p>
      <w:pPr>
        <w:spacing w:after="0" w:line="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December 12, 2011, the Board of Directors approved a $30.0 million share repurchase program, to be funded from cash on hand. A special committee of the Board of Directors was appointed to evaluate market conditions and other relevant factors and initiate repurchases under the program from time to time. On January 27, 2015, the Board of Directors approved an increase to the share repurchase authorization to $180.0 million. The share repurchase program may be suspended, modified or discontinued at any time at the Company’s discretion without prior notice. On November 5, 2014, the Company entered into an agreement with an affiliate of The Carlyle Group to repurchase 1,000,000 shares of our Class A common stock pursuant to the repurchase program. The shares were repurchased at a price of $25.10 per share as part of a private non-underwritten transaction. On February 2, 2015, the Company entered into a similar agreement with an affiliate of the Carlyle Group to repurchase an additional 1,000,000 shares of our Class A common stock pursuant to the repurchase program. The shares were repurchased from the Underwriter at a price of $28.36 per share. During the first and fourth quarters of fiscal 2016, the Company purchased 2.1 million shares of the Company’s Class A Common Stock in a series of open market transactions for $54.9 million. As of March 31, 2016, the Company has $71.7 million remaining under the repurchase program.</w:t>
      </w:r>
    </w:p>
    <w:p>
      <w:pPr>
        <w:spacing w:after="0" w:line="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cash distributions recognized in the consolidated statement of cash flows:</w:t>
      </w:r>
    </w:p>
    <w:p>
      <w:pPr>
        <w:spacing w:after="0" w:line="340" w:lineRule="exact"/>
        <w:rPr>
          <w:sz w:val="20"/>
          <w:szCs w:val="20"/>
          <w:color w:val="auto"/>
        </w:rPr>
      </w:pPr>
    </w:p>
    <w:tbl>
      <w:tblPr>
        <w:tblLayout w:type="fixed"/>
        <w:tblInd w:w="142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0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Recurring dividends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dividends (2)</w:t>
            </w:r>
          </w:p>
        </w:tc>
        <w:tc>
          <w:tcPr>
            <w:tcW w:w="3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288,739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equivalents (3)</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56,138</w:t>
            </w:r>
          </w:p>
        </w:tc>
      </w:tr>
      <w:tr>
        <w:trPr>
          <w:trHeight w:val="257"/>
        </w:trPr>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distributions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262,204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401,940</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recurring quarterly dividends that were declared and paid for during each quarter of fiscal 2016, 2015, and 2014.</w:t>
      </w:r>
    </w:p>
    <w:p>
      <w:pPr>
        <w:spacing w:after="0" w:line="117" w:lineRule="exact"/>
        <w:rPr>
          <w:rFonts w:ascii="Times New Roman" w:cs="Times New Roman" w:eastAsia="Times New Roman" w:hAnsi="Times New Roman"/>
          <w:sz w:val="18"/>
          <w:szCs w:val="18"/>
          <w:color w:val="auto"/>
        </w:rPr>
      </w:pPr>
    </w:p>
    <w:p>
      <w:pPr>
        <w:ind w:right="180" w:firstLine="8"/>
        <w:spacing w:after="0" w:line="282"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aggregate special dividends of $1.00 per share ($1.00 paid on August 29, 2014), and $2.00 per share ($1.00 paid November 29, 2013 and $1.00 paid February 28, 2014) that were declared and paid for during fiscal 2015 and fiscal 2014, respectively.</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are distributions made to option holders equal to the special dividends declared and paid.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796" w:right="239" w:bottom="1440" w:gutter="0" w:footer="0" w:header="0"/>
        </w:sectPr>
      </w:pPr>
    </w:p>
    <w:bookmarkStart w:id="86" w:name="page87"/>
    <w:bookmarkEnd w:id="86"/>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On May 18, 2016, the Company announced a regular quarterly cash dividend in the amount of $0.15 per share. The quarterly dividend is payable on June 30, 2016 to stockholders of record on June 10, 2016.</w:t>
      </w:r>
    </w:p>
    <w:p>
      <w:pPr>
        <w:spacing w:after="0" w:line="5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For each special dividend authorized and declared, the Board of Directors, acting as the Administrator of the Officers' Rollover Stock Plan and the EIP, is required to make a determination under the respective plan's antidilution provision to adjust the outstanding options. Refer to Note 16 for further discussion of the special dividends.</w:t>
      </w:r>
    </w:p>
    <w:p>
      <w:pPr>
        <w:spacing w:after="0" w:line="68"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total payout of the dividend and the dividend equivalents have been presented as a financing activity within the consolidated statement of cash flows.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recognized in the consolidated statements of operations:</w:t>
      </w:r>
    </w:p>
    <w:p>
      <w:pPr>
        <w:spacing w:after="0" w:line="275" w:lineRule="exact"/>
        <w:rPr>
          <w:sz w:val="20"/>
          <w:szCs w:val="20"/>
          <w:color w:val="auto"/>
        </w:rPr>
      </w:pPr>
    </w:p>
    <w:tbl>
      <w:tblPr>
        <w:tblLayout w:type="fixed"/>
        <w:tblInd w:w="128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0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5,672</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14,393</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20,065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recognized in the consolidated statements of operations by the following types of equity awards:</w:t>
      </w:r>
    </w:p>
    <w:p>
      <w:pPr>
        <w:spacing w:after="0" w:line="212" w:lineRule="exact"/>
        <w:rPr>
          <w:sz w:val="20"/>
          <w:szCs w:val="20"/>
          <w:color w:val="auto"/>
        </w:rPr>
      </w:pPr>
    </w:p>
    <w:tbl>
      <w:tblPr>
        <w:tblLayout w:type="fixed"/>
        <w:tblInd w:w="128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0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7,257</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Restricted Common Stock</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12,171</w:t>
            </w: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Rollover Options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Restricted Stock</w:t>
            </w: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20,065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As of March 31, 2016 and 2015, there was $20.3 million and $27.9 million, respectively, of total unrecognized compensation cost related to unvested stock-based compensation agreements. The unrecognized compensation cost as of March 31, 2016 is expected to be fully amortized over the next 5 years. Absent the effect of accelerating stock compensation cost for any departures of employees who may continue to vest in their equity awards, the following tables summarize the unrecognized compensation cost, the weighted average period the cost is expected to be amortized, and the estimated annual compensation cost for the future periods indicated below (excludes any future awards):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Unrecognized Compensation</w:t>
            </w:r>
          </w:p>
        </w:tc>
        <w:tc>
          <w:tcPr>
            <w:tcW w:w="60" w:type="dxa"/>
            <w:vAlign w:val="bottom"/>
          </w:tcPr>
          <w:p>
            <w:pPr>
              <w:spacing w:after="0"/>
              <w:rPr>
                <w:sz w:val="18"/>
                <w:szCs w:val="18"/>
                <w:color w:val="auto"/>
              </w:rPr>
            </w:pPr>
          </w:p>
        </w:tc>
        <w:tc>
          <w:tcPr>
            <w:tcW w:w="260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Weighted Average Remaining</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Period to be Recognized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60" w:type="dxa"/>
            <w:vAlign w:val="bottom"/>
          </w:tcPr>
          <w:p>
            <w:pPr>
              <w:spacing w:after="0"/>
              <w:rPr>
                <w:sz w:val="20"/>
                <w:szCs w:val="20"/>
                <w:color w:val="auto"/>
              </w:rPr>
            </w:pPr>
          </w:p>
        </w:tc>
        <w:tc>
          <w:tcPr>
            <w:tcW w:w="154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4,475</w:t>
            </w: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4"/>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Restricted Common Stock</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23,418</w:t>
            </w:r>
          </w:p>
        </w:tc>
        <w:tc>
          <w:tcPr>
            <w:tcW w:w="40" w:type="dxa"/>
            <w:vAlign w:val="bottom"/>
          </w:tcPr>
          <w:p>
            <w:pPr>
              <w:spacing w:after="0"/>
              <w:rPr>
                <w:sz w:val="21"/>
                <w:szCs w:val="21"/>
                <w:color w:val="auto"/>
              </w:rPr>
            </w:pPr>
          </w:p>
        </w:tc>
        <w:tc>
          <w:tcPr>
            <w:tcW w:w="84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27,893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14"/>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Total Unrecognized Compensation Cost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Equity Incentive Plan Options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2"/>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6"/>
              </w:rPr>
              <w:t>447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20"/>
                <w:szCs w:val="20"/>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Class A Restricted Common Stock</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6"/>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20,275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13,985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2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6"/>
              </w:rPr>
              <w:t>847</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F-25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97" w:right="259" w:bottom="1440" w:gutter="0" w:footer="0" w:header="0"/>
        </w:sectPr>
      </w:pPr>
    </w:p>
    <w:bookmarkStart w:id="87" w:name="page88"/>
    <w:bookmarkEnd w:id="8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EIP, was created in connection with the Merger Agreement for employees and directors of Holding. The Company created a pool of options, or EIP Options, to draw upon for future grants that would be governed by the EIP. All options under the EIP are exercisable, upon vesting, for shares of Class A common stock of Holding.</w:t>
      </w:r>
    </w:p>
    <w:p>
      <w:pPr>
        <w:spacing w:after="0" w:line="68"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Stock options are granted at the discretion of the Board of Directors or its Compensation Committee and expire ten years from the grant date. Options generally vest over a five-year period based upon required service and performance conditions. Starting on February 1, 2012, the Board of Directors or its Compensation Committee updated vesting conditions for stock options, whereby stock options only vest upon a required service condition. The Company calculates the pool of additional paid-in capital associated with excess tax benefits using the “simplified method.”</w:t>
      </w:r>
    </w:p>
    <w:p>
      <w:pPr>
        <w:spacing w:after="0" w:line="72"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On April 1, 2015, 457,320 options were granted under the EIP. The estimated fair value of the per-option grant was $6.71, resulting in a total fair value of $3.1 million.</w:t>
      </w:r>
    </w:p>
    <w:p>
      <w:pPr>
        <w:spacing w:after="0" w:line="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July 29, 2015, 15,102 options were granted under the EIP. The estimated fair value of the per-option grant was $6.62, resulting in a total fair value of $0.1 million.</w:t>
      </w:r>
    </w:p>
    <w:p>
      <w:pPr>
        <w:spacing w:after="0" w:line="5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On February 8, 2016, 40,511 options were granted under the EIP. The estimated fair value of the per-option grant was $6.17, resulting in a total fair value of $0.2 million.</w:t>
      </w:r>
    </w:p>
    <w:p>
      <w:pPr>
        <w:spacing w:after="0" w:line="5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aggregate grant date fair value of the EIP Options issued during fiscal 2016 and 2015, was $3.4 million and $1.7 million respectively, and is being recorded as expense over the vesting period. The total fair value of EIP Options vested during fiscal 2016 and 2015 was $14.9 million and $14.0 million, respectively. The total intrinsic value of EIP options exercised during fiscal 2016 and 2015 was $16.1 million and $15.0 million, respectively. As of March 31, 2016 and 2015, there were 12,147,850 and 12,753,436 options, respectively, available for future grant under the EIP.</w:t>
      </w:r>
    </w:p>
    <w:p>
      <w:pPr>
        <w:spacing w:after="0" w:line="7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In addition to options, the Board of Directors also grants restricted stock awards to members of the Board as compensation for services rendered to the Company. These awards generally vest over one year.</w:t>
      </w:r>
    </w:p>
    <w:p>
      <w:pPr>
        <w:spacing w:after="0" w:line="54"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During fiscal 2016, the Company also issued several equity awards in the form of restricted stock to certain newly hired and existing employees and officers of the Company. These awards will vest over a three year period subject to the employees' continued employment with the Company.</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Adoption of Annual Incentive Plan</w:t>
      </w:r>
    </w:p>
    <w:p>
      <w:pPr>
        <w:spacing w:after="0" w:line="11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October 1, 2010, the Board of Directors adopted a new compensation plan in connection with the initial public offering to more appropriately align the Company’s compensation programs with those of similarly situated companies. The amount of the annual incentive payment will be determined based on performance targets established by the Board of Directors and a portion of the bonus may be paid in the form of equity (including stock and other awards under the EIP). If the Board of Directors elects to make payments in equity, the value of the overall award will be increased by 20%, related to the portion paid in equity. Equity awards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The portion to be paid in cash is accrued ratably during the fiscal year in which the employees provide service and paid out during the first quarter of the subsequent fiscal year.</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Grants of Class A Restricted Common Stock and Restricted Stock Units</w:t>
      </w:r>
    </w:p>
    <w:p>
      <w:pPr>
        <w:spacing w:after="0" w:line="11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On April 1, 2015, the Board of Directors granted 23,719 Restricted Stock Units to certain newly hired officers. The aggregate value of this award was estimated at $0.7 million based on the stock price of $29.08 on the grant date.</w:t>
      </w:r>
    </w:p>
    <w:p>
      <w:pPr>
        <w:spacing w:after="0" w:line="54"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On May 19, 2015, the Board of Directors granted 2,094 Restricted Stock Units to certain newly hired officers. The aggregate value was estimated at $0.1 million based on the stock price of $28.65 on the grant date.</w:t>
      </w:r>
    </w:p>
    <w:p>
      <w:pPr>
        <w:spacing w:after="0" w:line="54"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On July 1, 2015 the Board of Directors granted 401,307 Restricted Stock Units in conjunction with the Annual Incentive Plan adopted on October 1, 2010, or Annual Incentive Plan. The amount of the annual incentive payment was determined based on performance targets established by the Compensation Committee and a portion of the incentive payment awarded under the Annual Incentive Plan was paid in the form of Restricted Stock Units. A Restricted Stock Unit represents a contingent right to receive one share of Class A Common Stock upon vesting. The Restricted Stock Units will vest based on the passage of time, subject to the participant’s continued employment with the Company. The aggregate fair value was estimated at $10.3 million based on the stock price of $25.70 on the grant date.</w:t>
      </w:r>
    </w:p>
    <w:p>
      <w:pPr>
        <w:spacing w:after="0" w:line="80"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On August 7, 2015, the Board of Directors granted 40,174 shares of Class A Restricted Common Stock to members of the Board of Directors. The aggregate fair value of this award was estimated at $1.1 million based on the stock price of $26.76 on the grant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00"/>
          </w:cols>
          <w:pgMar w:left="240" w:top="792" w:right="259" w:bottom="1440" w:gutter="0" w:footer="0" w:header="0"/>
        </w:sectPr>
      </w:pPr>
    </w:p>
    <w:bookmarkStart w:id="88" w:name="page89"/>
    <w:bookmarkEnd w:id="88"/>
    <w:p>
      <w:pPr>
        <w:ind w:left="420"/>
        <w:spacing w:after="0"/>
        <w:rPr>
          <w:sz w:val="20"/>
          <w:szCs w:val="20"/>
          <w:color w:val="auto"/>
        </w:rPr>
      </w:pPr>
      <w:r>
        <w:rPr>
          <w:rFonts w:ascii="Times New Roman" w:cs="Times New Roman" w:eastAsia="Times New Roman" w:hAnsi="Times New Roman"/>
          <w:sz w:val="18"/>
          <w:szCs w:val="18"/>
          <w:color w:val="auto"/>
        </w:rPr>
        <w:t>On October 28, 2015, the Board of Directors granted 2,808 shares of Class A Restricted Common Stock to a new member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value was estimated at $0.1 million based on the stock price of $30.30 on the grant date.</w:t>
      </w:r>
    </w:p>
    <w:p>
      <w:pPr>
        <w:spacing w:after="0" w:line="99"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On October 28, 2015, the Board of Directors granted 5,775 Class A Restricted Stock Units to certain newly hired employees. The aggregate value of this award was estimated at $0.2 million based on the stock price of $30.30 on the grant date.</w:t>
      </w:r>
    </w:p>
    <w:p>
      <w:pPr>
        <w:spacing w:after="0" w:line="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December 15, 2015, the Board of Directors granted 35,590 Class A Restricted Stock Units to certain newly hired and current officers. The aggregate value of this award was estimated at $1.0 million based on the stock price of $29.50 on the grant date.</w:t>
      </w:r>
    </w:p>
    <w:p>
      <w:pPr>
        <w:spacing w:after="0" w:line="54"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On January 27, 2016, the Board of Directors granted 10,861 Class A Restricted Stock Units to a newly hired employee. The aggregate value of this award was estimated at $0.3 million based on the stock price of $27.62 on the grant date.</w:t>
      </w:r>
    </w:p>
    <w:p>
      <w:pPr>
        <w:spacing w:after="0" w:line="54"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On February 8, 2016 the Board of Directors granted 9,466 Class A Restricted Stock Units to a newly promoted executive vice president. The aggregate value of this award was estimated at $0.2 million based on the stock price of $26.41 on the grant date.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fair value of restricted stock shares vested during fiscal 2016 and 2015 was $26.5 million and $15.0 million, respectively.</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Officers’ Rollover Stock Plan</w:t>
      </w:r>
    </w:p>
    <w:p>
      <w:pPr>
        <w:spacing w:after="0" w:line="121"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Rollover Plan was adopted as a mechanism to enable Company Officers to exchange a portion of their previous equity interests in the pre-acquisition Company for equity interests in the Company. Among the equity interests that were eligible for exchange were common stock and stock rights, both vested and unvested.</w:t>
      </w:r>
    </w:p>
    <w:p>
      <w:pPr>
        <w:spacing w:after="0" w:line="6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Unvested stock rights that would have vested in 2008 were exchanged for 2,028,270 shares of new Class C Restricted Stock issued by the Company at an estimated fair value of $10.00 on August 1, 2008. The aggregate grant date fair value of the Class C Restricted Stock issued of $20.3 million was recorded as expense over the vesting period. For the fiscal years ended March 31, 2015 and March 31, 2016 all shares of Class C Restricted Stock were fully vested and exercised. At March 31, 2016 and 2015, 3,971,730 shares of Class C Restricted Stock were authorized but unissued under the Plan. Notwithstanding the foregoing, Class C Restricted Stock was intended to be issued only in connection with the exchange process described above.</w:t>
      </w:r>
    </w:p>
    <w:p>
      <w:pPr>
        <w:spacing w:after="0" w:line="76"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In addition to the conversion of the stock rights that would have vested in 2008 to Class C Restricted Stock, Options were issued in exchange for old stock rights held by the U.S. government consulting partners of the pre-acquisition Company. The Rollover Options were granted based on the retirement eligibility of the Officer. For the purposes of these options, there were two categories of Officers - retirement eligible and non-retirement eligible. Those individuals who were considered retirement eligible also were given the opportunity to make a one-time election to be treated as non-retirement eligible. The determination of retirement eligibility was made as of a set point in time and could not be changed at a future date. The aggregate grant date fair value of the Rollover Options issued of $127.1 million was recorded as compensation expense over the vesting period. Rollover Options granted to retirement eligible Officers had different vesting and exercise schedules than those granted to non-retirement eligible Officers. The Rollover Options were fully vested as of March 31, 2015. Rollover Options granted to retirement-eligible Officers were fully exercised as of March 31, 2015. Rollover Options granted to non-retirement eligible Officers were fully exercised as of March 31, 2016.</w:t>
      </w:r>
    </w:p>
    <w:p>
      <w:pPr>
        <w:spacing w:after="0" w:line="8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As permitted under the terms of the EIP, the Compensation Committee as Administrator of the Plan, authorized the withholding of taxes not to exceed the minimum statutory withholding amount, through the surrender of shares of Class A common stock issuable upon the vesting or accelerated vesting of Restricted Stock. For those holders who elected to participate, the trade dates were as listed in the table below. As a result of these transactions, the Company repurchased a total of 299,203 shares and recorded them as treasury shares at a cost of $8.3 million, detailed as follows: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Total Shares Withheld to Cover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36830</wp:posOffset>
            </wp:positionV>
            <wp:extent cx="5925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57"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19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460" w:type="dxa"/>
            <w:vAlign w:val="bottom"/>
          </w:tcPr>
          <w:p>
            <w:pPr>
              <w:spacing w:after="0"/>
              <w:rPr>
                <w:sz w:val="20"/>
                <w:szCs w:val="20"/>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April 1, 2015</w:t>
            </w:r>
          </w:p>
        </w:tc>
        <w:tc>
          <w:tcPr>
            <w:tcW w:w="196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3,258</w:t>
            </w:r>
          </w:p>
        </w:tc>
        <w:tc>
          <w:tcPr>
            <w:tcW w:w="194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$29.08</w:t>
            </w:r>
          </w:p>
        </w:tc>
        <w:tc>
          <w:tcPr>
            <w:tcW w:w="460" w:type="dxa"/>
            <w:vAlign w:val="bottom"/>
            <w:tcBorders>
              <w:bottom w:val="single" w:sz="8" w:color="BFE4FF"/>
            </w:tcBorders>
            <w:shd w:val="clear" w:color="auto" w:fill="BFE4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94,743</w:t>
            </w:r>
          </w:p>
        </w:tc>
      </w:tr>
      <w:tr>
        <w:trPr>
          <w:trHeight w:val="243"/>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2015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157,305</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$25.24</w:t>
            </w: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3,970,378</w:t>
            </w:r>
          </w:p>
        </w:tc>
      </w:tr>
      <w:tr>
        <w:trPr>
          <w:trHeight w:val="27"/>
        </w:trPr>
        <w:tc>
          <w:tcPr>
            <w:tcW w:w="3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December 31, 2015</w:t>
            </w:r>
          </w:p>
        </w:tc>
        <w:tc>
          <w:tcPr>
            <w:tcW w:w="196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1,295</w:t>
            </w:r>
          </w:p>
        </w:tc>
        <w:tc>
          <w:tcPr>
            <w:tcW w:w="194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$30.85</w:t>
            </w:r>
          </w:p>
        </w:tc>
        <w:tc>
          <w:tcPr>
            <w:tcW w:w="460" w:type="dxa"/>
            <w:vAlign w:val="bottom"/>
            <w:tcBorders>
              <w:bottom w:val="single" w:sz="8" w:color="BFE4FF"/>
            </w:tcBorders>
            <w:shd w:val="clear" w:color="auto" w:fill="BFE4FF"/>
          </w:tcPr>
          <w:p>
            <w:pPr>
              <w:spacing w:after="0"/>
              <w:rPr>
                <w:sz w:val="21"/>
                <w:szCs w:val="21"/>
                <w:color w:val="auto"/>
              </w:rPr>
            </w:pPr>
          </w:p>
        </w:tc>
        <w:tc>
          <w:tcPr>
            <w:tcW w:w="15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39,951</w:t>
            </w:r>
          </w:p>
        </w:tc>
      </w:tr>
      <w:tr>
        <w:trPr>
          <w:trHeight w:val="243"/>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2016</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137,345</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$30.28</w:t>
            </w: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4,158,806</w:t>
            </w:r>
          </w:p>
        </w:tc>
      </w:tr>
      <w:tr>
        <w:trPr>
          <w:trHeight w:val="27"/>
        </w:trPr>
        <w:tc>
          <w:tcPr>
            <w:tcW w:w="3460" w:type="dxa"/>
            <w:vAlign w:val="bottom"/>
            <w:tcBorders>
              <w:bottom w:val="single" w:sz="8" w:color="BFE4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40" w:type="dxa"/>
            <w:vAlign w:val="bottom"/>
            <w:tcBorders>
              <w:bottom w:val="single" w:sz="8" w:color="BFE4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346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1960" w:type="dxa"/>
            <w:vAlign w:val="bottom"/>
            <w:tcBorders>
              <w:bottom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299,203</w:t>
            </w:r>
          </w:p>
        </w:tc>
        <w:tc>
          <w:tcPr>
            <w:tcW w:w="1940" w:type="dxa"/>
            <w:vAlign w:val="bottom"/>
            <w:tcBorders>
              <w:bottom w:val="single" w:sz="8" w:color="BFE4FF"/>
            </w:tcBorders>
            <w:shd w:val="clear" w:color="auto" w:fill="BFE4FF"/>
          </w:tcPr>
          <w:p>
            <w:pPr>
              <w:spacing w:after="0"/>
              <w:rPr>
                <w:sz w:val="22"/>
                <w:szCs w:val="22"/>
                <w:color w:val="auto"/>
              </w:rPr>
            </w:pPr>
          </w:p>
        </w:tc>
        <w:tc>
          <w:tcPr>
            <w:tcW w:w="460" w:type="dxa"/>
            <w:vAlign w:val="bottom"/>
            <w:tcBorders>
              <w:bottom w:val="single" w:sz="8" w:color="auto"/>
            </w:tcBorders>
            <w:shd w:val="clear" w:color="auto" w:fill="BFE4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8,263,878</w:t>
            </w:r>
          </w:p>
        </w:tc>
      </w:tr>
      <w:tr>
        <w:trPr>
          <w:trHeight w:val="20"/>
        </w:trPr>
        <w:tc>
          <w:tcPr>
            <w:tcW w:w="3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46"/>
        </w:trPr>
        <w:tc>
          <w:tcPr>
            <w:tcW w:w="3460" w:type="dxa"/>
            <w:vAlign w:val="bottom"/>
          </w:tcPr>
          <w:p>
            <w:pPr>
              <w:spacing w:after="0"/>
              <w:rPr>
                <w:sz w:val="24"/>
                <w:szCs w:val="24"/>
                <w:color w:val="auto"/>
              </w:rPr>
            </w:pPr>
          </w:p>
        </w:tc>
        <w:tc>
          <w:tcPr>
            <w:tcW w:w="19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F-27</w:t>
            </w:r>
          </w:p>
        </w:tc>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380"/>
          </w:cols>
          <w:pgMar w:left="240" w:top="796" w:right="279" w:bottom="1440" w:gutter="0" w:footer="0" w:header="0"/>
        </w:sectPr>
      </w:pPr>
    </w:p>
    <w:bookmarkStart w:id="89" w:name="page90"/>
    <w:bookmarkEnd w:id="89"/>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Methodology</w:t>
      </w:r>
    </w:p>
    <w:p>
      <w:pPr>
        <w:spacing w:after="0" w:line="12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estimated fair value for stock-based awards. The fair value of the Company’s stock is based on the closing price on the New York Stock Exchange.</w:t>
      </w:r>
    </w:p>
    <w:p>
      <w:pPr>
        <w:spacing w:after="0" w:line="5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During fiscal year 2016, the Company’s Board of Directors authorized and declared three regular quarterly cash dividends of $0.13 per share and one quarterly cash dividend of $0.15 per share. Therefore, an annualized dividend yield between 1.79% and 2.27% was used in the Black-Scholes option-pricing model for all grants issued during the fiscal year. The Company has excluded any special dividends from the annualized dividend yield because of their classification as special dividends and their non-recurring nature. The Company plans to continue paying recurring dividends in the near term and assessing its excess cash resources to determine the best way to utilize its excess cash flow in order to meet its objectives. One way the Company may utilize excess cash includes the payment of special dividends. The Company does not anticipate or forecast the payment of special dividends and therefore does not include special dividends in the annual dividend yield which the company uses to calculate the fair value of stock options, as the Company does not pay these special dividends on a regular basis.</w:t>
      </w:r>
    </w:p>
    <w:p>
      <w:pPr>
        <w:spacing w:after="0" w:line="77"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Implied volatility is calculated as of each grant date based on our historical volatility along with an assessment of the historical volatility of a peer group of publicly traded companies. Other than the expected life of the option, volatility is the most sensitive input to our option grants. To be consistent with all other implied calculations, the same peer group used to calculate other implied metrics is also used to calculate implied volatility.</w:t>
      </w:r>
    </w:p>
    <w:p>
      <w:pPr>
        <w:spacing w:after="0" w:line="6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risk-free interest rate is determined by reference to the U.S. Treasury yield curve rates with the remaining term equal to the expected life assumed at the date of grant. The average expected life is calculated based on the Company's historical experience with respect to its stock plan activity in combination with an estimate of when vested and unexercised option shares will be exercised. Forfeitures were estimated based on the Company’s historical analysis of Officer and Vice-President attrition levels and actual forfeiture rates by grant date.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assumptions used in the Black-Scholes option-pricing model for stock option awards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March 31,</w:t>
            </w:r>
          </w:p>
        </w:tc>
        <w:tc>
          <w:tcPr>
            <w:tcW w:w="11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23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7"/>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160" w:type="dxa"/>
            <w:vAlign w:val="bottom"/>
            <w:tcBorders>
              <w:bottom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1.83%</w:t>
            </w:r>
          </w:p>
        </w:tc>
        <w:tc>
          <w:tcPr>
            <w:tcW w:w="2360" w:type="dxa"/>
            <w:vAlign w:val="bottom"/>
            <w:tcBorders>
              <w:bottom w:val="single" w:sz="8" w:color="CCEEFF"/>
            </w:tcBorders>
            <w:gridSpan w:val="3"/>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8"/>
              </w:rPr>
              <w:t>2.19%</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29.85%</w:t>
            </w:r>
          </w:p>
        </w:tc>
        <w:tc>
          <w:tcPr>
            <w:tcW w:w="23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30.97%</w:t>
            </w: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tcBorders>
              <w:bottom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1.33%</w:t>
            </w:r>
          </w:p>
        </w:tc>
        <w:tc>
          <w:tcPr>
            <w:tcW w:w="2360" w:type="dxa"/>
            <w:vAlign w:val="bottom"/>
            <w:tcBorders>
              <w:bottom w:val="single" w:sz="8" w:color="CCEEFF"/>
            </w:tcBorders>
            <w:gridSpan w:val="3"/>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8"/>
              </w:rPr>
              <w:t>1.36%</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1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5"/>
              </w:rPr>
              <w:t>5.08</w:t>
            </w:r>
          </w:p>
        </w:tc>
        <w:tc>
          <w:tcPr>
            <w:tcW w:w="23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6.64</w:t>
            </w: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1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$6.67</w:t>
            </w:r>
          </w:p>
        </w:tc>
        <w:tc>
          <w:tcPr>
            <w:tcW w:w="2360" w:type="dxa"/>
            <w:vAlign w:val="bottom"/>
            <w:gridSpan w:val="3"/>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$5.55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8"/>
              </w:rPr>
              <w:t>$4.59</w:t>
            </w:r>
          </w:p>
        </w:tc>
      </w:tr>
      <w:tr>
        <w:trPr>
          <w:trHeight w:val="27"/>
        </w:trPr>
        <w:tc>
          <w:tcPr>
            <w:tcW w:w="60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Special Dividends</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Compensation Committee, acting as the Administrator of the Officers' Rollover Stock Plan and the EIP, have discretion in how to effect the required adjustment to keep option holders whole in the event of a distribution of dividends that trigger certain anti-dilution clauses within the respective plans. In the event the Compensation Committee elects to grant option holders a cash payment equal to the amount of the special dividend, the Company accrues a stock-based compensation liability as the EIP options are scheduled to be vested. The obligation will be settled on the later of the date the dividend is paid or the vesting date of the EIP options or the options' mandatory exercise date for Rollover Options. The stock-based compensation liability includes all special dividends declared. Rollover Options were fully vested and fully exercised as of March 31, 2016. Therefore the liability associated with these options was fully settled as of March 31, 2016.</w:t>
      </w:r>
    </w:p>
    <w:p>
      <w:pPr>
        <w:spacing w:after="0" w:line="29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July 30, 2014, the Board of Directors authorized and declared a special cash dividend of $1.00 per share. The dividend was paid on August 29, 2014 to stockholders of record on August 11, 2014. For each special dividend declared, the Compensation Committee, acting as the Administrator of the Officers' Rollover Stock Plan and the EIP, made a determination to adjust outstanding Rollover and EIP options for the special dividend to prevent the dilution of the benefit or potential benefit of the options. The adjustment was in the form of a $1.00 dividend equivalent. Holders of EIP options will receive a cash payment equal to the amount of the special dividend payable on the date the dividend was paid or the vesting of the EIP option, whichever is later. As of March 31, 2016, Rollover Options were fully exercised; therefore the liability associated with these options is fully settled.</w:t>
      </w:r>
    </w:p>
    <w:p>
      <w:pPr>
        <w:spacing w:after="0" w:line="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June 30, 2015, vested EIP option holders received a payment of $3.6 million related to the special dividends declared in fiscal years 2013 and 2014. On September 30, 2015, Rollover Options holders received a dividend equivalent payment of $28.0 million related to special dividends declared in fiscal years 2010, 2013, 2014, and 2015. On March 31, 2016, vested EIP option holders received a payment of $0.1 million related to the special dividends declared in fiscal years 2013, 2014, and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00"/>
          </w:cols>
          <w:pgMar w:left="240" w:top="792" w:right="259" w:bottom="1440" w:gutter="0" w:footer="0" w:header="0"/>
        </w:sectPr>
      </w:pPr>
    </w:p>
    <w:bookmarkStart w:id="90" w:name="page91"/>
    <w:bookmarkEnd w:id="90"/>
    <w:p>
      <w:pPr>
        <w:spacing w:after="0" w:line="261" w:lineRule="auto"/>
        <w:rPr>
          <w:sz w:val="20"/>
          <w:szCs w:val="20"/>
          <w:color w:val="auto"/>
        </w:rPr>
      </w:pPr>
      <w:r>
        <w:rPr>
          <w:rFonts w:ascii="Times New Roman" w:cs="Times New Roman" w:eastAsia="Times New Roman" w:hAnsi="Times New Roman"/>
          <w:sz w:val="18"/>
          <w:szCs w:val="18"/>
          <w:color w:val="auto"/>
        </w:rPr>
        <w:t>2015. Payment of the dividend equivalents were accounted for as modifications resulting in incremental benefit to the option holders resulting in additional compensation expense. Total compensation expense recorded in conjunction with the payment of all dividend equivalent to holders of unvested EIP options for the fiscal year ended March 31, 2016 was $0.3 million. Future compensation cost related to payment of the dividend equivalents to holders of EIP options not yet recognized in the statement of operations is $0.2 million and is expected to be recognized over 1.25 years.</w:t>
      </w:r>
    </w:p>
    <w:p>
      <w:pPr>
        <w:spacing w:after="0" w:line="28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As of March 31, 2016 and 2015, the Company calculated a total recorded and unrecorded stock-based compensation liability of $3.8 million and $35.8 million, respectively, related to the special dividends paid in July and December 2009, June and August 2012, November 2013, and February and August 2014, as follows:</w:t>
      </w:r>
    </w:p>
    <w:p>
      <w:pPr>
        <w:spacing w:after="0" w:line="200" w:lineRule="exact"/>
        <w:rPr>
          <w:sz w:val="20"/>
          <w:szCs w:val="20"/>
          <w:color w:val="auto"/>
        </w:rPr>
      </w:pP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4"/>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Rollover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Rollover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EIP Options</w:t>
            </w:r>
          </w:p>
        </w:tc>
        <w:tc>
          <w:tcPr>
            <w:tcW w:w="18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EIP 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16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Current portion of liability</w:t>
            </w:r>
            <w:r>
              <w:rPr>
                <w:rFonts w:ascii="Times New Roman" w:cs="Times New Roman" w:eastAsia="Times New Roman" w:hAnsi="Times New Roman"/>
                <w:sz w:val="25"/>
                <w:szCs w:val="25"/>
                <w:color w:val="auto"/>
                <w:vertAlign w:val="superscript"/>
              </w:rPr>
              <w:t>1</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31,732</w:t>
            </w:r>
          </w:p>
        </w:tc>
      </w:tr>
    </w:tbl>
    <w:p>
      <w:pPr>
        <w:spacing w:after="0" w:line="37" w:lineRule="exact"/>
        <w:rPr>
          <w:sz w:val="20"/>
          <w:szCs w:val="20"/>
          <w:color w:val="auto"/>
        </w:rPr>
      </w:pPr>
    </w:p>
    <w:p>
      <w:pPr>
        <w:ind w:left="120" w:hanging="112"/>
        <w:spacing w:after="0"/>
        <w:tabs>
          <w:tab w:leader="none" w:pos="120" w:val="left"/>
        </w:tabs>
        <w:numPr>
          <w:ilvl w:val="0"/>
          <w:numId w:val="6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Included in accrued compensation and benefits (Note 8).</w:t>
      </w:r>
    </w:p>
    <w:p>
      <w:pPr>
        <w:spacing w:after="0" w:line="9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As of March 31, 2016, $1.5 million related to EIP Options will be recorded as liabilities as the options vest over the next three years. As of March 31, 2015, there was an unrecorded liability of $4.1 million related to EIP options. There is no unrecorded liability related to Rollover options as of March 31, 2016 or 2015, as the Rollover options are fully vested.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unvested restricted stock activity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0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40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38"/>
        </w:trPr>
        <w:tc>
          <w:tcPr>
            <w:tcW w:w="40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40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40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Unvested Restricted Stock Awards</w:t>
            </w:r>
          </w:p>
        </w:tc>
        <w:tc>
          <w:tcPr>
            <w:tcW w:w="4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at March 31, 2015</w:t>
            </w:r>
          </w:p>
        </w:tc>
        <w:tc>
          <w:tcPr>
            <w:tcW w:w="5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2,218,015</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21.02</w:t>
            </w:r>
          </w:p>
        </w:tc>
      </w:tr>
      <w:tr>
        <w:trPr>
          <w:trHeight w:val="27"/>
        </w:trPr>
        <w:tc>
          <w:tcPr>
            <w:tcW w:w="40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6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531,794</w:t>
            </w: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26.32</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5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982,869</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20.32</w:t>
            </w:r>
          </w:p>
        </w:tc>
      </w:tr>
      <w:tr>
        <w:trPr>
          <w:trHeight w:val="27"/>
        </w:trPr>
        <w:tc>
          <w:tcPr>
            <w:tcW w:w="40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140" w:type="dxa"/>
            <w:vAlign w:val="bottom"/>
            <w:tcBorders>
              <w:bottom w:val="single" w:sz="8" w:color="CCEEFF"/>
            </w:tcBorders>
            <w:gridSpan w:val="2"/>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6,988</w:t>
            </w: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25.08</w:t>
            </w:r>
          </w:p>
        </w:tc>
      </w:tr>
      <w:tr>
        <w:trPr>
          <w:trHeight w:val="25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at March 31, 2016</w:t>
            </w:r>
          </w:p>
        </w:tc>
        <w:tc>
          <w:tcPr>
            <w:tcW w:w="4140" w:type="dxa"/>
            <w:vAlign w:val="bottom"/>
            <w:gridSpan w:val="2"/>
          </w:tcPr>
          <w:p>
            <w:pPr>
              <w:spacing w:after="0"/>
              <w:rPr>
                <w:sz w:val="22"/>
                <w:szCs w:val="22"/>
                <w:color w:val="auto"/>
              </w:rPr>
            </w:pP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1,759,952</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r>
      <w:tr>
        <w:trPr>
          <w:trHeight w:val="20"/>
        </w:trPr>
        <w:tc>
          <w:tcPr>
            <w:tcW w:w="40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5680" w:type="dxa"/>
            <w:vAlign w:val="bottom"/>
            <w:gridSpan w:val="3"/>
          </w:tcPr>
          <w:p>
            <w:pPr>
              <w:jc w:val="right"/>
              <w:ind w:right="3750"/>
              <w:spacing w:after="0"/>
              <w:rPr>
                <w:sz w:val="20"/>
                <w:szCs w:val="20"/>
                <w:color w:val="auto"/>
              </w:rPr>
            </w:pPr>
            <w:r>
              <w:rPr>
                <w:rFonts w:ascii="Times New Roman" w:cs="Times New Roman" w:eastAsia="Times New Roman" w:hAnsi="Times New Roman"/>
                <w:sz w:val="18"/>
                <w:szCs w:val="18"/>
                <w:color w:val="auto"/>
              </w:rPr>
              <w:t>F-29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360"/>
          </w:cols>
          <w:pgMar w:left="240" w:top="796" w:right="29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presented: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64"/>
        </w:trPr>
        <w:tc>
          <w:tcPr>
            <w:tcW w:w="7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540" w:type="dxa"/>
            <w:vAlign w:val="bottom"/>
          </w:tcPr>
          <w:p>
            <w:pPr>
              <w:spacing w:after="0"/>
              <w:rPr>
                <w:sz w:val="24"/>
                <w:szCs w:val="24"/>
                <w:color w:val="auto"/>
              </w:rPr>
            </w:pPr>
          </w:p>
        </w:tc>
      </w:tr>
      <w:tr>
        <w:trPr>
          <w:trHeight w:val="216"/>
        </w:trPr>
        <w:tc>
          <w:tcPr>
            <w:tcW w:w="7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540" w:type="dxa"/>
            <w:vAlign w:val="bottom"/>
          </w:tcPr>
          <w:p>
            <w:pPr>
              <w:spacing w:after="0"/>
              <w:rPr>
                <w:sz w:val="18"/>
                <w:szCs w:val="18"/>
                <w:color w:val="auto"/>
              </w:rPr>
            </w:pPr>
          </w:p>
        </w:tc>
      </w:tr>
      <w:tr>
        <w:trPr>
          <w:trHeight w:val="216"/>
        </w:trPr>
        <w:tc>
          <w:tcPr>
            <w:tcW w:w="7940" w:type="dxa"/>
            <w:vAlign w:val="bottom"/>
          </w:tcPr>
          <w:p>
            <w:pPr>
              <w:spacing w:after="0"/>
              <w:rPr>
                <w:sz w:val="18"/>
                <w:szCs w:val="18"/>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540" w:type="dxa"/>
            <w:vAlign w:val="bottom"/>
          </w:tcPr>
          <w:p>
            <w:pPr>
              <w:spacing w:after="0"/>
              <w:rPr>
                <w:sz w:val="18"/>
                <w:szCs w:val="18"/>
                <w:color w:val="auto"/>
              </w:rPr>
            </w:pPr>
          </w:p>
        </w:tc>
      </w:tr>
      <w:tr>
        <w:trPr>
          <w:trHeight w:val="238"/>
        </w:trPr>
        <w:tc>
          <w:tcPr>
            <w:tcW w:w="7940" w:type="dxa"/>
            <w:vAlign w:val="bottom"/>
          </w:tcPr>
          <w:p>
            <w:pPr>
              <w:spacing w:after="0"/>
              <w:rPr>
                <w:sz w:val="20"/>
                <w:szCs w:val="20"/>
                <w:color w:val="auto"/>
              </w:rPr>
            </w:pP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40" w:type="dxa"/>
            <w:vAlign w:val="bottom"/>
          </w:tcPr>
          <w:p>
            <w:pPr>
              <w:spacing w:after="0"/>
              <w:rPr>
                <w:sz w:val="20"/>
                <w:szCs w:val="20"/>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Officers’ Rollover Stock Plan Options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Non-Retirement Eligible:</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at March 31, 2015</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1,857,126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1,857,126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Options outstanding at March 31, 2016</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tcPr>
          <w:p>
            <w:pPr>
              <w:spacing w:after="0"/>
              <w:rPr>
                <w:sz w:val="24"/>
                <w:szCs w:val="24"/>
                <w:color w:val="auto"/>
              </w:rPr>
            </w:pPr>
          </w:p>
        </w:tc>
      </w:tr>
      <w:tr>
        <w:trPr>
          <w:trHeight w:val="237"/>
        </w:trPr>
        <w:tc>
          <w:tcPr>
            <w:tcW w:w="794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Equity Incentive Plan Options</w:t>
            </w: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outstanding at March 31, 2015</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6,276,805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512,933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28.84</w:t>
            </w: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17.88</w:t>
            </w:r>
          </w:p>
        </w:tc>
        <w:tc>
          <w:tcPr>
            <w:tcW w:w="54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17.71</w:t>
            </w: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866,780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9.19</w:t>
            </w:r>
          </w:p>
        </w:tc>
        <w:tc>
          <w:tcPr>
            <w:tcW w:w="540" w:type="dxa"/>
            <w:vAlign w:val="bottom"/>
          </w:tcPr>
          <w:p>
            <w:pPr>
              <w:spacing w:after="0"/>
              <w:rPr>
                <w:sz w:val="21"/>
                <w:szCs w:val="2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at March 31, 2016</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5,793,008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11.82</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firstLine="8"/>
        <w:spacing w:after="0" w:line="282" w:lineRule="auto"/>
        <w:tabs>
          <w:tab w:leader="none" w:pos="1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reduced for $4.642 dividend issued December 11, 2009, $1.087 dividend issued July 27, 2009, $1.50 dividend issued May 29, 2012, and the $6.50 dividend issued July 30, 2012.</w:t>
      </w:r>
    </w:p>
    <w:p>
      <w:pPr>
        <w:spacing w:after="0" w:line="54" w:lineRule="exact"/>
        <w:rPr>
          <w:sz w:val="20"/>
          <w:szCs w:val="20"/>
          <w:color w:val="auto"/>
        </w:rPr>
      </w:pPr>
    </w:p>
    <w:p>
      <w:pPr>
        <w:ind w:left="420" w:right="3480" w:hanging="412"/>
        <w:spacing w:after="0" w:line="407" w:lineRule="auto"/>
        <w:tabs>
          <w:tab w:leader="none" w:pos="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exercise price adjustment of $6.36 per grant for the $6.50 dividend per share issued July 30, 2012. The following table summarizes unvested stock options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806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38"/>
        </w:trPr>
        <w:tc>
          <w:tcPr>
            <w:tcW w:w="806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8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 Options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at March 31, 2015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2,229,925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r>
      <w:tr>
        <w:trPr>
          <w:trHeight w:val="27"/>
        </w:trPr>
        <w:tc>
          <w:tcPr>
            <w:tcW w:w="8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r>
      <w:tr>
        <w:trPr>
          <w:trHeight w:val="243"/>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w:t>
            </w:r>
          </w:p>
        </w:tc>
      </w:tr>
      <w:tr>
        <w:trPr>
          <w:trHeight w:val="27"/>
        </w:trPr>
        <w:tc>
          <w:tcPr>
            <w:tcW w:w="8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r>
      <w:tr>
        <w:trPr>
          <w:trHeight w:val="257"/>
        </w:trPr>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Unvested at March 31, 2016</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1,565,841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r>
      <w:tr>
        <w:trPr>
          <w:trHeight w:val="20"/>
        </w:trPr>
        <w:tc>
          <w:tcPr>
            <w:tcW w:w="8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 options outstanding at March 31,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60" w:type="dxa"/>
            <w:vAlign w:val="bottom"/>
          </w:tcPr>
          <w:p>
            <w:pPr>
              <w:spacing w:after="0"/>
              <w:rPr>
                <w:sz w:val="13"/>
                <w:szCs w:val="13"/>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16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5"/>
        </w:trPr>
        <w:tc>
          <w:tcPr>
            <w:tcW w:w="198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9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$4.28 - $29.38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5,793,008</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$11.82</w:t>
            </w:r>
          </w:p>
        </w:tc>
        <w:tc>
          <w:tcPr>
            <w:tcW w:w="4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2"/>
                <w:szCs w:val="22"/>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   106,926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4,227,167</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4.36</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$89,496</w:t>
            </w:r>
          </w:p>
        </w:tc>
        <w:tc>
          <w:tcPr>
            <w:tcW w:w="0" w:type="dxa"/>
            <w:vAlign w:val="bottom"/>
          </w:tcPr>
          <w:p>
            <w:pPr>
              <w:spacing w:after="0"/>
              <w:rPr>
                <w:sz w:val="1"/>
                <w:szCs w:val="1"/>
                <w:color w:val="auto"/>
              </w:rPr>
            </w:pPr>
          </w:p>
        </w:tc>
      </w:tr>
      <w:tr>
        <w:trPr>
          <w:trHeight w:val="340"/>
        </w:trPr>
        <w:tc>
          <w:tcPr>
            <w:tcW w:w="8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(1) Reflects exercise price adjustment of $6.36 per grant for the $6.50 dividend per share issued July 30, 2012.</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21"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1420"/>
          </w:cols>
          <w:pgMar w:left="240" w:top="1121" w:right="2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12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Recurring Fair Value Measurements</w:t>
            </w:r>
          </w:p>
        </w:tc>
        <w:tc>
          <w:tcPr>
            <w:tcW w:w="900" w:type="dxa"/>
            <w:vAlign w:val="bottom"/>
          </w:tcPr>
          <w:p>
            <w:pPr>
              <w:spacing w:after="0"/>
              <w:rPr>
                <w:sz w:val="18"/>
                <w:szCs w:val="18"/>
                <w:color w:val="auto"/>
              </w:rPr>
            </w:pPr>
          </w:p>
        </w:tc>
      </w:tr>
      <w:tr>
        <w:trPr>
          <w:trHeight w:val="238"/>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 March 31, 2016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42,102</w:t>
            </w: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145,427</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42,102</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145,427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187,529</w:t>
            </w:r>
          </w:p>
        </w:tc>
      </w:tr>
      <w:tr>
        <w:trPr>
          <w:trHeight w:val="27"/>
        </w:trPr>
        <w:tc>
          <w:tcPr>
            <w:tcW w:w="6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Recurring Fair Value Measurements</w:t>
            </w:r>
          </w:p>
        </w:tc>
        <w:tc>
          <w:tcPr>
            <w:tcW w:w="900" w:type="dxa"/>
            <w:vAlign w:val="bottom"/>
          </w:tcPr>
          <w:p>
            <w:pPr>
              <w:spacing w:after="0"/>
              <w:rPr>
                <w:sz w:val="18"/>
                <w:szCs w:val="18"/>
                <w:color w:val="auto"/>
              </w:rPr>
            </w:pPr>
          </w:p>
        </w:tc>
      </w:tr>
      <w:tr>
        <w:trPr>
          <w:trHeight w:val="238"/>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 March 31,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48,942</w:t>
            </w: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158,275</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158,275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207,217</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earnout liability (2)</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r>
    </w:tbl>
    <w:p>
      <w:pPr>
        <w:spacing w:after="0" w:line="252" w:lineRule="exact"/>
        <w:rPr>
          <w:sz w:val="20"/>
          <w:szCs w:val="20"/>
          <w:color w:val="auto"/>
        </w:rPr>
      </w:pPr>
    </w:p>
    <w:p>
      <w:pPr>
        <w:ind w:right="60" w:firstLine="8"/>
        <w:spacing w:after="0" w:line="282" w:lineRule="auto"/>
        <w:tabs>
          <w:tab w:leader="none" w:pos="29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Level 2 cash and cash equivalents are invested in money market funds that are intended to maintain a stable net asset value of $1.00 per share by investing in liquid, high quality U.S. dollar-denominated money market instruments. Therefore, the fair value approximates the carrying value. Depending on our short-term liquidity needs, we make regular transfers between money market funds and other cash equivalents.</w:t>
      </w:r>
    </w:p>
    <w:p>
      <w:pPr>
        <w:spacing w:after="0" w:line="161" w:lineRule="exact"/>
        <w:rPr>
          <w:rFonts w:ascii="Times New Roman" w:cs="Times New Roman" w:eastAsia="Times New Roman" w:hAnsi="Times New Roman"/>
          <w:sz w:val="20"/>
          <w:szCs w:val="20"/>
          <w:color w:val="auto"/>
        </w:rPr>
      </w:pPr>
    </w:p>
    <w:p>
      <w:pPr>
        <w:ind w:right="100" w:firstLine="8"/>
        <w:spacing w:after="0" w:line="255"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2014, the Company entered into a contingent consideration arrangement in connection with a business acquisition. Under the arrangement, the Company agreed to pay up to a maximum of $9 million in cash to the seller if certain financial performance thresholds are achieved in calendar years 2016 and 2017. The fair value of the contingent consideration liability as of March 31, 2015 was $4.5 million and is a Level 3 fair value measurement recorded within other long-term liabilities. It was valued using a Monte Carlo simulation and the key input besides projected cash flows was volatility, estimated as 30% based on the asset volatility of comparable publicly-traded companies. An increase (decrease) in volatility in isolation would result in a lower (higher) fair value measurement. As of March 31, 2016 the Company has determined that it is unlikely that the seller will meet the financial performance thresholds in the arrangement and therefore has estimated the fair value of the contingent consideration liability to be $0. This change in fair value was recognized in earnings during the quarter ended March 31, 2016.</w:t>
      </w:r>
    </w:p>
    <w:p>
      <w:pPr>
        <w:spacing w:after="0" w:line="77"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fair value of the Company's debt instruments approximates its carrying value at March 31, 2016 and March 31, 2015. The fair value of debt is determined based on interest rates available for debt with terms and maturities similar to the Company's existing debt arrangements (Level 2 inputs).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684" w:right="239" w:bottom="1440" w:gutter="0" w:footer="0" w:header="0"/>
        </w:sectPr>
      </w:pPr>
    </w:p>
    <w:bookmarkStart w:id="93" w:name="page94"/>
    <w:bookmarkEnd w:id="93"/>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changes in the fair value of the Company's contingent earnout liability categorized as Level 3 for the fiscal year ended March 31, 2016:</w:t>
      </w:r>
    </w:p>
    <w:p>
      <w:pPr>
        <w:spacing w:after="0" w:line="104"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8"/>
          <w:szCs w:val="18"/>
          <w:b w:val="1"/>
          <w:bCs w:val="1"/>
          <w:color w:val="auto"/>
        </w:rPr>
        <w:t>Contingent Earnout</w:t>
      </w:r>
    </w:p>
    <w:p>
      <w:pPr>
        <w:spacing w:after="0" w:line="31"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 w:lineRule="exact"/>
        <w:rPr>
          <w:sz w:val="20"/>
          <w:szCs w:val="20"/>
          <w:color w:val="auto"/>
        </w:rPr>
      </w:pPr>
    </w:p>
    <w:p>
      <w:pPr>
        <w:ind w:left="40"/>
        <w:spacing w:after="0"/>
        <w:tabs>
          <w:tab w:leader="none" w:pos="9260" w:val="left"/>
          <w:tab w:leader="none" w:pos="10880" w:val="left"/>
        </w:tabs>
        <w:rPr>
          <w:sz w:val="20"/>
          <w:szCs w:val="20"/>
          <w:color w:val="auto"/>
        </w:rPr>
      </w:pPr>
      <w:r>
        <w:rPr>
          <w:rFonts w:ascii="Times New Roman" w:cs="Times New Roman" w:eastAsia="Times New Roman" w:hAnsi="Times New Roman"/>
          <w:sz w:val="18"/>
          <w:szCs w:val="18"/>
          <w:b w:val="1"/>
          <w:bCs w:val="1"/>
          <w:color w:val="auto"/>
        </w:rPr>
        <w:t>Balance at March 31, 2015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4,500</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gains recognized in earnings, net</w:t>
      </w:r>
    </w:p>
    <w:p>
      <w:pPr>
        <w:spacing w:after="0" w:line="225" w:lineRule="exact"/>
        <w:rPr>
          <w:sz w:val="20"/>
          <w:szCs w:val="20"/>
          <w:color w:val="auto"/>
        </w:rPr>
      </w:pPr>
    </w:p>
    <w:p>
      <w:pPr>
        <w:ind w:left="10840"/>
        <w:spacing w:after="0"/>
        <w:rPr>
          <w:sz w:val="20"/>
          <w:szCs w:val="20"/>
          <w:color w:val="auto"/>
        </w:rPr>
      </w:pPr>
      <w:r>
        <w:rPr>
          <w:rFonts w:ascii="Times New Roman" w:cs="Times New Roman" w:eastAsia="Times New Roman" w:hAnsi="Times New Roman"/>
          <w:sz w:val="18"/>
          <w:szCs w:val="18"/>
          <w:color w:val="auto"/>
        </w:rPr>
        <w:t>(4,500)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9260" w:val="left"/>
          <w:tab w:leader="none" w:pos="11120" w:val="left"/>
        </w:tabs>
        <w:rPr>
          <w:sz w:val="20"/>
          <w:szCs w:val="20"/>
          <w:color w:val="auto"/>
        </w:rPr>
      </w:pPr>
      <w:r>
        <w:rPr>
          <w:rFonts w:ascii="Times New Roman" w:cs="Times New Roman" w:eastAsia="Times New Roman" w:hAnsi="Times New Roman"/>
          <w:sz w:val="18"/>
          <w:szCs w:val="18"/>
          <w:b w:val="1"/>
          <w:bCs w:val="1"/>
          <w:color w:val="auto"/>
        </w:rPr>
        <w:t>Balance at March 31, 2016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51435</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RELATED-PARTY TRANSACTIONS</w:t>
      </w:r>
    </w:p>
    <w:p>
      <w:pPr>
        <w:spacing w:after="0" w:line="2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Carlyle Group is the largest shareholder of the Company. On November 5, 2014, the Company entered into an agreement with an affiliate of The Carlyle Group to repurchase 1,000,000 shares of our Class A common stock pursuant to the repurchase program described in Note 15 above. The shares were repurchased at a price of $25.10 per share as part of a private non-underwritten transaction. On February 2, 2015, the Company entered into an underwriting agreement with an affiliate of the Carlyle Group, or the selling stockholder, and Morgan Stanley &amp; Co. LLC, or the underwriter, pursuant to which (i) the selling stockholder sold 12,000,000 shares of our Class A Common Stock to the underwriter and (ii) the Company repurchased 1,000,000 shares of our Class A common stock from the underwriter. The shares were repurchased at a price of $28.36 per share from the underwriter.</w:t>
      </w:r>
    </w:p>
    <w:p>
      <w:pPr>
        <w:spacing w:after="0" w:line="80"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fiscal 2016 were $0.2 million and $0.1 million, respectively. Revenue and cost associated with these related parties for fiscal 2015 were $1.1 million and $0.9 million, respectively. Revenue and cost associated with these related party transactions for fiscal 2014 were $0.4 million and $0.4 million, respectively.</w:t>
      </w:r>
    </w:p>
    <w:p>
      <w:pPr>
        <w:spacing w:after="0" w:line="7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In addition, investment vehicles affiliated with The Carlyle Group participated in a lender syndicate in the Company’s outstanding debt in the amounts of $44.0 million and $47.0 million at March 31, 2016 and 2015, respectively.</w:t>
      </w:r>
    </w:p>
    <w:p>
      <w:pPr>
        <w:spacing w:after="0" w:line="16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In addition, the Company made a one-time payment to TC Group of $20.0 million for investment banking, financial advisory, and other services provided to the Company in connection with the Acquisition of Booz Allen Hamilton, Inc. in 2008 by The Carlyle Group. For fiscal 2016, 2015, and 2014, the Company incurred $1.0 million per year in advisory fees.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Company leases office space under noncancelable operating leases that expire at various dates through 2028. The terms for the facility leases generally provide for rental payments on a graduated scale, which are recognized on a straight-line basis over the terms of the leases, including reasonably assured renewal periods, from the time the Company controls the leased property. Lease incentives are recorded as a deferred credit and recognized as a reduction to rent expense on a straight-line basis over the lease term. Rent expense was approximately $88.5 million, net of $0.5 million of sublease income, $92.9 million, net of $0.7 million of sublease income, and $103.5 million, net of $2.5 million of sublease income, for fiscal 2016, 2015, and 2014, respectively.</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80"/>
          </w:cols>
          <w:pgMar w:left="240" w:top="796" w:right="279" w:bottom="1440" w:gutter="0" w:footer="0" w:header="0"/>
        </w:sectPr>
      </w:pPr>
    </w:p>
    <w:bookmarkStart w:id="94" w:name="page95"/>
    <w:bookmarkEnd w:id="94"/>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Future minimum operating lease payments for noncancelable operating leases and future minimum income for noncancelable sublease rentals are summarized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3"/>
                <w:szCs w:val="13"/>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9"/>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Fiscal Year Ending March 31,</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20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Sublease</w:t>
            </w:r>
          </w:p>
        </w:tc>
        <w:tc>
          <w:tcPr>
            <w:tcW w:w="0" w:type="dxa"/>
            <w:vAlign w:val="bottom"/>
          </w:tcPr>
          <w:p>
            <w:pPr>
              <w:spacing w:after="0"/>
              <w:rPr>
                <w:sz w:val="1"/>
                <w:szCs w:val="1"/>
                <w:color w:val="auto"/>
              </w:rPr>
            </w:pPr>
          </w:p>
        </w:tc>
      </w:tr>
      <w:tr>
        <w:trPr>
          <w:trHeight w:val="195"/>
        </w:trPr>
        <w:tc>
          <w:tcPr>
            <w:tcW w:w="8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00" w:type="dxa"/>
            <w:vAlign w:val="bottom"/>
          </w:tcPr>
          <w:p>
            <w:pPr>
              <w:spacing w:after="0"/>
              <w:rPr>
                <w:sz w:val="16"/>
                <w:szCs w:val="16"/>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49"/>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58,354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112,584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362,971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80" w:firstLine="405"/>
        <w:spacing w:after="0" w:line="313" w:lineRule="auto"/>
        <w:rPr>
          <w:sz w:val="20"/>
          <w:szCs w:val="20"/>
          <w:color w:val="auto"/>
        </w:rPr>
      </w:pPr>
      <w:r>
        <w:rPr>
          <w:rFonts w:ascii="Times New Roman" w:cs="Times New Roman" w:eastAsia="Times New Roman" w:hAnsi="Times New Roman"/>
          <w:sz w:val="17"/>
          <w:szCs w:val="17"/>
          <w:color w:val="auto"/>
        </w:rPr>
        <w:t>Rent expense is included in occupancy costs, a component of general and administrative expenses, as shown on the consolidated statements of operations, and includes rent, sublease income from third parties, real estate taxes, utilities, parking, security, repairs and maintenance, and storage costs.</w:t>
      </w:r>
    </w:p>
    <w:p>
      <w:pPr>
        <w:spacing w:after="0" w:line="3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a result of the July 2008 Acquisition, the Company assigned a total of nine leases to Booz &amp; Co, which subsequently changed its name to Strategy&amp;. The Company remains liable for one lease, which expires in March 2017, for a facility located in London under the terms of the original lease should Strategy&amp; default on its obligations. All other leases assigned to Strategy&amp; have expired. There were no events of default under these leases as of March 31, 2016 or 2015, and the maximum potential amount of undiscounted future payments is $4.4 million. Based on the Company’s assessment of the likelihood of future payment, no amounts have been recorded related to the Company’s contingent liability on such leases.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Third-Party Guarantees</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As of March 31, 2016 and 2015, the Company was contingently liable under open standby letters of credit and bank guarantees issued by our banks in favor of third parties that totaled $6.6 million and $5.3 million, respectively. These letters of credit and bank guarantees primarily support insurance and bid and performance obligations. At March 31, 2016 and 2015, approximately $1.8 million and $5.2 million, respectively, of these instruments reduce the available borrowings under the revolving credit facility. The remainder are guaranteed under a separate $10.0 million facility established in fiscal 2015 of which $5.2 million and $4.9 million, respectively, was available to the Company at March 31, 2016 and 2015.</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Contracting Matters</w:t>
      </w:r>
    </w:p>
    <w:p>
      <w:pPr>
        <w:spacing w:after="0" w:line="121"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For fiscal 2016, 2015, and 2014, approximately 97%, 98%, and 98%, respectively, of the Company’s revenue was generated from contracts where the end client was an agency or department of the U.S. government, including contracts where Booz Allen performed in either a prime or subcontract position, and regardless of the geographic location in which the work was performed. Contracts with the U.S. government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U.S. government audits, inquiries, or investigations of the Company, whether related to the Company’s U.S. government 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During fiscal 2016, the Defense Contract Management Agency Administrative Contracting Officer negotiated annual final indirect cost rates for fiscal year 2008 and fiscal year 2009. As a result, the Company reduced a portion of its provision for the recovery of allowable expenses based on the outcome of these negotiations. The Company also revised its provision for emerging exposures that may result in future cost disallowances including cost reductions and/or penalties. Management believes it has recorded the appropriate provision for the estimated losses that may be experienced from any such reductions and/or penalties. As of March 31, 2016 and 2015, the Company has recorded a liability of approximately $189.9 million and $205.3 million, respectively, for its current best estimate, amounts to be refunded to customers for potential adjustments from audits or reviews of contract costs incurred subsequent to fiscal year 2009.</w:t>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80"/>
          </w:cols>
          <w:pgMar w:left="240" w:top="796" w:right="279" w:bottom="1440" w:gutter="0" w:footer="0" w:header="0"/>
        </w:sectPr>
      </w:pPr>
    </w:p>
    <w:bookmarkStart w:id="95" w:name="page96"/>
    <w:bookmarkEnd w:id="9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March 31, 2016 and 2015, there are no material amounts accrued in the consolidated financial statements related to these proceedings.</w:t>
      </w:r>
    </w:p>
    <w:p>
      <w:pPr>
        <w:spacing w:after="0" w:line="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is on appeal before the United States Court of Appeals for the Ninth Circuit. The other three remaining suits that were previously consolidated on September 7, 2010 have been dismissed by the United States District Court for the Southern District of New York and are on appeal before the United States Court of Appeals for the Second Circuit. As of March 31, 2016, the aggregate alleged damages sought in these four remaining suits was approximately $291.7 million (which is sought to be trebled pursuant to RICO) plus punitive damages, costs, and fees. As of March 31, 2015, the aggregate alleged damages sought was approximately $291.7 million (which is sought to be trebled pursuant to RICO) plus punitive damages, costs, and fees.</w:t>
      </w:r>
    </w:p>
    <w:p>
      <w:pPr>
        <w:spacing w:after="0" w:line="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792"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21. UNAUDITED QUARTERLY FINANCIAL DATA</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2016 Quarters</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5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80" w:type="dxa"/>
            <w:vAlign w:val="bottom"/>
          </w:tcPr>
          <w:p>
            <w:pPr>
              <w:spacing w:after="0"/>
              <w:rPr>
                <w:sz w:val="22"/>
                <w:szCs w:val="22"/>
                <w:color w:val="auto"/>
              </w:rPr>
            </w:pPr>
          </w:p>
        </w:tc>
        <w:tc>
          <w:tcPr>
            <w:tcW w:w="13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1,351,604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1,322,154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1,307,663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1,424,317</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126,144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108,816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105,116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104,508</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108,586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90,953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87,909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92,014</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64,306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56,216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108,055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65,517</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0.44</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0.43</w:t>
            </w:r>
          </w:p>
        </w:tc>
      </w:tr>
      <w:tr>
        <w:trPr>
          <w:trHeight w:val="562"/>
        </w:trPr>
        <w:tc>
          <w:tcPr>
            <w:tcW w:w="4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2015 Quarters</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5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80" w:type="dxa"/>
            <w:vAlign w:val="bottom"/>
          </w:tcPr>
          <w:p>
            <w:pPr>
              <w:spacing w:after="0"/>
              <w:rPr>
                <w:sz w:val="22"/>
                <w:szCs w:val="22"/>
                <w:color w:val="auto"/>
              </w:rPr>
            </w:pPr>
          </w:p>
        </w:tc>
        <w:tc>
          <w:tcPr>
            <w:tcW w:w="13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1,322,297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1,304,841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1,304,686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1,342,946</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139,023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121,983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105,256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92,560</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119,049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104,973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86,616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75,280</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71,115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65,284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52,807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43,363</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0.29</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 (1)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0.29</w:t>
            </w:r>
          </w:p>
        </w:tc>
      </w:tr>
      <w:tr>
        <w:trPr>
          <w:trHeight w:val="27"/>
        </w:trPr>
        <w:tc>
          <w:tcPr>
            <w:tcW w:w="4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left="320" w:hanging="258"/>
        <w:spacing w:after="0"/>
        <w:tabs>
          <w:tab w:leader="none" w:pos="3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are computed independently for each of the quarters presented and therefore may not sum to the total for the fiscal year.</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FINANCIAL INFORMATION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schedule summarizes valuation and qualifying accounts for the periods presented: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4100" w:type="dxa"/>
            <w:vAlign w:val="bottom"/>
          </w:tcPr>
          <w:p>
            <w:pPr>
              <w:spacing w:after="0"/>
              <w:rPr>
                <w:sz w:val="22"/>
                <w:szCs w:val="22"/>
                <w:color w:val="auto"/>
              </w:rPr>
            </w:pPr>
          </w:p>
        </w:tc>
        <w:tc>
          <w:tcPr>
            <w:tcW w:w="3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4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4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1,621</w:t>
            </w:r>
          </w:p>
        </w:tc>
      </w:tr>
      <w:tr>
        <w:trPr>
          <w:trHeight w:val="243"/>
        </w:trPr>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Charges against allowance</w:t>
            </w:r>
          </w:p>
        </w:tc>
        <w:tc>
          <w:tcPr>
            <w:tcW w:w="2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7"/>
        </w:trPr>
        <w:tc>
          <w:tcPr>
            <w:tcW w:w="41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Ending balance</w:t>
            </w:r>
          </w:p>
        </w:tc>
        <w:tc>
          <w:tcPr>
            <w:tcW w:w="340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4100" w:type="dxa"/>
            <w:vAlign w:val="bottom"/>
          </w:tcPr>
          <w:p>
            <w:pPr>
              <w:spacing w:after="0"/>
              <w:rPr>
                <w:sz w:val="24"/>
                <w:szCs w:val="24"/>
                <w:color w:val="auto"/>
              </w:rPr>
            </w:pPr>
          </w:p>
        </w:tc>
        <w:tc>
          <w:tcPr>
            <w:tcW w:w="3400" w:type="dxa"/>
            <w:vAlign w:val="bottom"/>
            <w:gridSpan w:val="2"/>
          </w:tcPr>
          <w:p>
            <w:pPr>
              <w:jc w:val="right"/>
              <w:ind w:right="1620"/>
              <w:spacing w:after="0"/>
              <w:rPr>
                <w:sz w:val="20"/>
                <w:szCs w:val="20"/>
                <w:color w:val="auto"/>
              </w:rPr>
            </w:pPr>
            <w:r>
              <w:rPr>
                <w:rFonts w:ascii="Times New Roman" w:cs="Times New Roman" w:eastAsia="Times New Roman" w:hAnsi="Times New Roman"/>
                <w:sz w:val="18"/>
                <w:szCs w:val="18"/>
                <w:color w:val="auto"/>
              </w:rPr>
              <w:t>F-35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97" w:name="page98"/>
    <w:bookmarkEnd w:id="9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4"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 and Attestation Report of the Registered Public Accounting Firm</w:t>
      </w:r>
    </w:p>
    <w:p>
      <w:pPr>
        <w:spacing w:after="0" w:line="94"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system was designed to provide reasonable assurance to our management and board of directors regarding the reliability of financial reporting and the preparation of financial statements for external purposes.</w:t>
      </w:r>
    </w:p>
    <w:p>
      <w:pPr>
        <w:spacing w:after="0" w:line="12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Our management conducted an assessment of the effectiveness of our internal control over financial reporting as of March 31, 2016. This assessment was based on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 framework)</w:t>
      </w:r>
      <w:r>
        <w:rPr>
          <w:rFonts w:ascii="Times New Roman" w:cs="Times New Roman" w:eastAsia="Times New Roman" w:hAnsi="Times New Roman"/>
          <w:sz w:val="18"/>
          <w:szCs w:val="18"/>
          <w:color w:val="auto"/>
        </w:rPr>
        <w:t>. Based on this assessment, management has concluded that, as of March 31, 2016, our internal control over financial reporting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w:t>
      </w:r>
    </w:p>
    <w:p>
      <w:pPr>
        <w:spacing w:after="0" w:line="126"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 report on the effectiveness of our internal control over financial reporting, which is below.</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240" w:top="684" w:right="31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Ernst &amp; Young LLP,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Regarding Internal Control over Financial Reporting</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Booz Allen Hamilton Holding Corporation</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Booz Allen Hamilton Holding Corporation’s internal control over financial reporting as of March 31, 2016, based on criteria established in Internal Control - Integrated Framework issued by the Committee of Sponsoring Organizations of the Treadway Commission (2013 framework) (the COSO criteria). Booz Allen Hamilton Holding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our opinion, Booz Allen Hamilton Holding Corporation maintained, in all material respects, effective internal control over financial reporting as of March 31, 2016 based on the COSO criteria.</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Booz Allen Hamilton Holding Corporation as of March 31, 2016 and March 31, 2015 and the related consolidated statements of operations, comprehensive income, stockholders’ equity, and cash flows for each of the three years in the period ended March 31, 2016 of Booz Allen Hamilton Holding Corporation and our report dated May 19, 2016 expressed an unqualified opinion thereon.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2016</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900" w:right="239" w:bottom="1440" w:gutter="0" w:footer="0" w:header="0"/>
        </w:sectPr>
      </w:pPr>
    </w:p>
    <w:bookmarkStart w:id="99" w:name="page100"/>
    <w:bookmarkEnd w:id="9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94" w:lineRule="exact"/>
        <w:rPr>
          <w:sz w:val="20"/>
          <w:szCs w:val="20"/>
          <w:color w:val="auto"/>
        </w:rPr>
      </w:pPr>
    </w:p>
    <w:p>
      <w:pPr>
        <w:ind w:right="960" w:firstLine="432"/>
        <w:spacing w:after="0" w:line="282" w:lineRule="auto"/>
        <w:rPr>
          <w:sz w:val="20"/>
          <w:szCs w:val="20"/>
          <w:color w:val="auto"/>
        </w:rPr>
      </w:pPr>
      <w:r>
        <w:rPr>
          <w:rFonts w:ascii="Times New Roman" w:cs="Times New Roman" w:eastAsia="Times New Roman" w:hAnsi="Times New Roman"/>
          <w:sz w:val="18"/>
          <w:szCs w:val="18"/>
          <w:color w:val="auto"/>
        </w:rPr>
        <w:t>Information related to our directors is set forth under the caption “Election of Directors” of our Proxy Statement for our Annual Meeting of Stockholders scheduled for July 28, 2016. Such information is incorporated herein by reference.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relating to our Executive Officers is included in Part I of this Annual Report under the caption “Executive Officers of the Registrant.”</w:t>
      </w:r>
    </w:p>
    <w:p>
      <w:pPr>
        <w:spacing w:after="0" w:line="171" w:lineRule="exact"/>
        <w:rPr>
          <w:sz w:val="20"/>
          <w:szCs w:val="20"/>
          <w:color w:val="auto"/>
        </w:rPr>
      </w:pPr>
    </w:p>
    <w:p>
      <w:pPr>
        <w:ind w:right="760" w:firstLine="432"/>
        <w:spacing w:after="0" w:line="282" w:lineRule="auto"/>
        <w:rPr>
          <w:sz w:val="20"/>
          <w:szCs w:val="20"/>
          <w:color w:val="auto"/>
        </w:rPr>
      </w:pPr>
      <w:r>
        <w:rPr>
          <w:rFonts w:ascii="Times New Roman" w:cs="Times New Roman" w:eastAsia="Times New Roman" w:hAnsi="Times New Roman"/>
          <w:sz w:val="18"/>
          <w:szCs w:val="18"/>
          <w:color w:val="auto"/>
        </w:rPr>
        <w:t>Information relating to compliance with Section 16(a) of the Exchange Act is set forth under the caption “Section 16(a) Beneficial Ownership Reporting Compliance” of our 2016 Proxy Statement. Such information is incorporated herein by reference.</w:t>
      </w:r>
    </w:p>
    <w:p>
      <w:pPr>
        <w:spacing w:after="0" w:line="108"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Information related to our code of ethics is set forth under the caption “Corporate Governance and General Information Concerning the Board of Directors and its Committees” of our 2016 Proxy Statement. Such information is incorporated herein by reference.</w:t>
      </w:r>
    </w:p>
    <w:p>
      <w:pPr>
        <w:spacing w:after="0" w:line="108" w:lineRule="exact"/>
        <w:rPr>
          <w:sz w:val="20"/>
          <w:szCs w:val="20"/>
          <w:color w:val="auto"/>
        </w:rPr>
      </w:pPr>
    </w:p>
    <w:p>
      <w:pPr>
        <w:ind w:right="420" w:firstLine="432"/>
        <w:spacing w:after="0" w:line="266" w:lineRule="auto"/>
        <w:rPr>
          <w:sz w:val="20"/>
          <w:szCs w:val="20"/>
          <w:color w:val="auto"/>
        </w:rPr>
      </w:pPr>
      <w:r>
        <w:rPr>
          <w:rFonts w:ascii="Times New Roman" w:cs="Times New Roman" w:eastAsia="Times New Roman" w:hAnsi="Times New Roman"/>
          <w:sz w:val="18"/>
          <w:szCs w:val="18"/>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2016 Proxy Statement. Such information is incorporated herein by reference.</w:t>
      </w:r>
    </w:p>
    <w:p>
      <w:pPr>
        <w:spacing w:after="0" w:line="3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94"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Information relating to this item is set forth under the captions “Compensation Discussion and Analysis,” “Director Compensation,” “Compensation Committee Interlocks and Insider Participation” and “Compensation Committee Report on Executive Compensation” of our 2016 Proxy Statement. Such information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concerning the securities authorized for issuance pursuant to our equity compensation plans as of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9"/>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4"/>
        </w:trPr>
        <w:tc>
          <w:tcPr>
            <w:tcW w:w="5120" w:type="dxa"/>
            <w:vAlign w:val="bottom"/>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securityholders</w:t>
            </w:r>
          </w:p>
        </w:tc>
        <w:tc>
          <w:tcPr>
            <w:tcW w:w="15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6,562,502</w:t>
            </w:r>
          </w:p>
        </w:tc>
        <w:tc>
          <w:tcPr>
            <w:tcW w:w="17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12,147,850</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securityholders</w:t>
            </w:r>
          </w:p>
        </w:tc>
        <w:tc>
          <w:tcPr>
            <w:tcW w:w="15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spacing w:after="0"/>
              <w:rPr>
                <w:sz w:val="2"/>
                <w:szCs w:val="2"/>
                <w:color w:val="auto"/>
              </w:rPr>
            </w:pPr>
          </w:p>
        </w:tc>
        <w:tc>
          <w:tcPr>
            <w:tcW w:w="170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15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6,562,502</w:t>
            </w:r>
          </w:p>
        </w:tc>
        <w:tc>
          <w:tcPr>
            <w:tcW w:w="170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0"/>
                <w:szCs w:val="20"/>
                <w:color w:val="auto"/>
              </w:rPr>
            </w:pPr>
          </w:p>
        </w:tc>
        <w:tc>
          <w:tcPr>
            <w:tcW w:w="148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12,147,850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17145</wp:posOffset>
            </wp:positionV>
            <wp:extent cx="19380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17145</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9" w:lineRule="exact"/>
        <w:rPr>
          <w:sz w:val="20"/>
          <w:szCs w:val="20"/>
          <w:color w:val="auto"/>
        </w:rPr>
      </w:pPr>
    </w:p>
    <w:p>
      <w:pPr>
        <w:ind w:left="540" w:right="80" w:hanging="316"/>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Column (a) includes: 769,494 shares that have been granted as restricted stock units (RSUs) and 5,793,008 shares granted as options under our equity compensation plans. The weighted average price in column (b) does not take into account shares issued pursuant to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-305435</wp:posOffset>
            </wp:positionV>
            <wp:extent cx="19380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-305435</wp:posOffset>
            </wp:positionV>
            <wp:extent cx="951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684" w:right="239" w:bottom="1440" w:gutter="0" w:footer="0" w:header="0"/>
        </w:sectPr>
      </w:pPr>
    </w:p>
    <w:bookmarkStart w:id="100" w:name="page101"/>
    <w:bookmarkEnd w:id="100"/>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Information relating to the security ownership of certain beneficial owners and management is included in our 2016 Proxy Statement under the caption “Security Ownership of Certain Beneficial Owners and Management” and is incorporated herein by reference.</w:t>
      </w:r>
    </w:p>
    <w:p>
      <w:pPr>
        <w:spacing w:after="0" w:line="3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9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Information relating to this item is set forth under the captions “Certain Relationships and Related Party Transactions” and “Corporate Governance and General Information Concerning the Board of Directors and its Committees” of our 2016 Proxy Statement. Such information is incorporated herein by reference.</w:t>
      </w:r>
    </w:p>
    <w:p>
      <w:pPr>
        <w:spacing w:after="0" w:line="25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Principal Accounting Fees and Services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relating to this item is set forth under the caption “Independent Registered Public Accounting Firm Fees” of our 2016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information is incorporated herein by reference.</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w:t>
      </w:r>
    </w:p>
    <w:p>
      <w:pPr>
        <w:spacing w:after="0" w:line="94" w:lineRule="exact"/>
        <w:rPr>
          <w:sz w:val="20"/>
          <w:szCs w:val="20"/>
          <w:color w:val="auto"/>
        </w:rPr>
      </w:pPr>
    </w:p>
    <w:p>
      <w:pPr>
        <w:ind w:left="900" w:hanging="244"/>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filed herewith are set forth in Item 8 of this Annual Report.</w:t>
      </w:r>
    </w:p>
    <w:p>
      <w:pPr>
        <w:spacing w:after="0" w:line="117" w:lineRule="exact"/>
        <w:rPr>
          <w:rFonts w:ascii="Times New Roman" w:cs="Times New Roman" w:eastAsia="Times New Roman" w:hAnsi="Times New Roman"/>
          <w:sz w:val="18"/>
          <w:szCs w:val="18"/>
          <w:color w:val="auto"/>
        </w:rPr>
      </w:pPr>
    </w:p>
    <w:p>
      <w:pPr>
        <w:ind w:left="1460" w:right="380" w:hanging="480"/>
        <w:spacing w:after="0" w:line="282" w:lineRule="auto"/>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either they are not applicable or the required information is included in the financial statements or the notes thereto.</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list of exhibits in the “Exhibit Index” immediately following the signature pages to this Annual Report is filed as part of this Annual Report and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769" w:right="279" w:bottom="1440" w:gutter="0" w:footer="0" w:header="0"/>
        </w:sectPr>
      </w:pPr>
    </w:p>
    <w:bookmarkStart w:id="101" w:name="page102"/>
    <w:bookmarkEnd w:id="10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Washington, DC, on this 19th day of May, 2016.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8"/>
          <w:szCs w:val="18"/>
          <w:color w:val="auto"/>
        </w:rPr>
        <w:t>BOOZ ALLEN HAMILTON HOLDING CORPORATION</w:t>
      </w:r>
    </w:p>
    <w:p>
      <w:pPr>
        <w:spacing w:after="0" w:line="27"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580"/>
        <w:spacing w:after="0"/>
        <w:tabs>
          <w:tab w:leader="none" w:pos="5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34290</wp:posOffset>
            </wp:positionV>
            <wp:extent cx="21697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Horacio D. Rozanski</w:t>
      </w:r>
    </w:p>
    <w:p>
      <w:pPr>
        <w:spacing w:after="0" w:line="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3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by the following persons in the capacities and on the dates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60" w:type="dxa"/>
            <w:vAlign w:val="bottom"/>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559"/>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Horacio D. Rozanski</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5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May 19, 2016</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Horacio D. Rozanski</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Kevin L. Cook</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w:t>
            </w:r>
          </w:p>
        </w:tc>
        <w:tc>
          <w:tcPr>
            <w:tcW w:w="15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May 19, 2016</w:t>
            </w:r>
          </w:p>
        </w:tc>
        <w:tc>
          <w:tcPr>
            <w:tcW w:w="0" w:type="dxa"/>
            <w:vAlign w:val="bottom"/>
          </w:tcPr>
          <w:p>
            <w:pPr>
              <w:spacing w:after="0"/>
              <w:rPr>
                <w:sz w:val="1"/>
                <w:szCs w:val="1"/>
                <w:color w:val="auto"/>
              </w:rPr>
            </w:pPr>
          </w:p>
        </w:tc>
      </w:tr>
      <w:tr>
        <w:trPr>
          <w:trHeight w:val="45"/>
        </w:trPr>
        <w:tc>
          <w:tcPr>
            <w:tcW w:w="4240" w:type="dxa"/>
            <w:vAlign w:val="bottom"/>
            <w:tcBorders>
              <w:bottom w:val="single" w:sz="8" w:color="auto"/>
            </w:tcBorders>
          </w:tcPr>
          <w:p>
            <w:pPr>
              <w:spacing w:after="0"/>
              <w:rPr>
                <w:sz w:val="3"/>
                <w:szCs w:val="3"/>
                <w:color w:val="auto"/>
              </w:rPr>
            </w:pPr>
          </w:p>
        </w:tc>
        <w:tc>
          <w:tcPr>
            <w:tcW w:w="5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Treasurer (Principal Financial and Accounting Officer)</w:t>
            </w: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Kevin L. Cook</w:t>
            </w:r>
          </w:p>
        </w:tc>
        <w:tc>
          <w:tcPr>
            <w:tcW w:w="51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Ralph W. Shrader</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5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May 19, 2016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Ralph W. Shrader</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Joan Lordi C. Amble</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May 19, 2016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Joan Lordi C. Amble</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Melody C. Barnes</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May 19, 2016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Melody C. Barnes</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Peter Clare</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May 19, 2016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Clare</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Ian Fujiyama</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May 19, 2016</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auto"/>
            </w:tcBorders>
          </w:tcPr>
          <w:p>
            <w:pPr>
              <w:spacing w:after="0"/>
              <w:rPr>
                <w:sz w:val="21"/>
                <w:szCs w:val="21"/>
                <w:color w:val="auto"/>
              </w:rPr>
            </w:pPr>
          </w:p>
        </w:tc>
        <w:tc>
          <w:tcPr>
            <w:tcW w:w="5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Ian Fujiyama</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Mark Gaumond</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May 19, 2016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 Gaumond</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Arthur E. Johnson</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May 19, 2016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Arthur E. Johnson</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68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240" w:top="684" w:right="45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Gretchen W. McClain</w:t>
            </w:r>
          </w:p>
        </w:tc>
        <w:tc>
          <w:tcPr>
            <w:tcW w:w="42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7"/>
              </w:rPr>
              <w:t>May 19, 2016</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Gretchen W. McClain</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0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Philip A. Odeen</w:t>
            </w:r>
          </w:p>
        </w:tc>
        <w:tc>
          <w:tcPr>
            <w:tcW w:w="42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7"/>
              </w:rPr>
              <w:t>May 19, 2016</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Philip A. Odeen</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0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Charles O. Rossotti</w:t>
            </w:r>
          </w:p>
        </w:tc>
        <w:tc>
          <w:tcPr>
            <w:tcW w:w="42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Director</w:t>
            </w:r>
          </w:p>
        </w:tc>
        <w:tc>
          <w:tcPr>
            <w:tcW w:w="240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7"/>
              </w:rPr>
              <w:t>May 19, 2016</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Charles O. Rossotti</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702"/>
        </w:trPr>
        <w:tc>
          <w:tcPr>
            <w:tcW w:w="4240" w:type="dxa"/>
            <w:vAlign w:val="bottom"/>
          </w:tcPr>
          <w:p>
            <w:pPr>
              <w:spacing w:after="0"/>
              <w:rPr>
                <w:sz w:val="24"/>
                <w:szCs w:val="24"/>
                <w:color w:val="auto"/>
              </w:rPr>
            </w:pPr>
          </w:p>
        </w:tc>
        <w:tc>
          <w:tcPr>
            <w:tcW w:w="426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65</w:t>
            </w:r>
          </w:p>
        </w:tc>
        <w:tc>
          <w:tcPr>
            <w:tcW w:w="2400" w:type="dxa"/>
            <w:vAlign w:val="bottom"/>
          </w:tcPr>
          <w:p>
            <w:pPr>
              <w:spacing w:after="0"/>
              <w:rPr>
                <w:sz w:val="24"/>
                <w:szCs w:val="24"/>
                <w:color w:val="auto"/>
              </w:rPr>
            </w:pPr>
          </w:p>
        </w:tc>
      </w:tr>
    </w:tbl>
    <w:p>
      <w:pPr>
        <w:sectPr>
          <w:pgSz w:w="11900" w:h="16838" w:orient="portrait"/>
          <w:cols w:equalWidth="0" w:num="1">
            <w:col w:w="10900"/>
          </w:cols>
          <w:pgMar w:left="240" w:top="1012" w:right="75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8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10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7"/>
              </w:rPr>
              <w:t>Number</w:t>
            </w:r>
          </w:p>
        </w:tc>
        <w:tc>
          <w:tcPr>
            <w:tcW w:w="160" w:type="dxa"/>
            <w:vAlign w:val="bottom"/>
          </w:tcPr>
          <w:p>
            <w:pPr>
              <w:spacing w:after="0"/>
              <w:rPr>
                <w:sz w:val="11"/>
                <w:szCs w:val="11"/>
                <w:color w:val="auto"/>
              </w:rPr>
            </w:pPr>
          </w:p>
        </w:tc>
        <w:tc>
          <w:tcPr>
            <w:tcW w:w="10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3"/>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3"/>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3"/>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Third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3.1 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3"/>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3"/>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Amended and Restated Stockholders Agreement (Incorporated by reference to Exhibit 10.1 to the Company’s Periodic Report on Form 8-K filed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on January 30, 2015) (File No. 001-34972))</w:t>
            </w:r>
          </w:p>
        </w:tc>
        <w:tc>
          <w:tcPr>
            <w:tcW w:w="0" w:type="dxa"/>
            <w:vAlign w:val="bottom"/>
          </w:tcPr>
          <w:p>
            <w:pPr>
              <w:spacing w:after="0"/>
              <w:rPr>
                <w:sz w:val="1"/>
                <w:szCs w:val="1"/>
                <w:color w:val="auto"/>
              </w:rPr>
            </w:pPr>
          </w:p>
        </w:tc>
      </w:tr>
      <w:tr>
        <w:trPr>
          <w:trHeight w:val="373"/>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6"/>
              </w:rPr>
              <w:t>167645))</w:t>
            </w:r>
          </w:p>
        </w:tc>
        <w:tc>
          <w:tcPr>
            <w:tcW w:w="9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Management Agreement, among Booz Allen Hamilton Holding Corporation (formerly known as Explorer Holding Corporation), Booz Allen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Hamilton Inc., and TC Group V US, LLC, dated as of July 31, 2008 (Incorporated by reference to Exhibit 10.6 to the Company’s Registration</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Statement on Form S-1 (File No. 333-167645))</w:t>
            </w:r>
          </w:p>
        </w:tc>
        <w:tc>
          <w:tcPr>
            <w:tcW w:w="0" w:type="dxa"/>
            <w:vAlign w:val="bottom"/>
          </w:tcPr>
          <w:p>
            <w:pPr>
              <w:spacing w:after="0"/>
              <w:rPr>
                <w:sz w:val="1"/>
                <w:szCs w:val="1"/>
                <w:color w:val="auto"/>
              </w:rPr>
            </w:pPr>
          </w:p>
        </w:tc>
      </w:tr>
      <w:tr>
        <w:trPr>
          <w:trHeight w:val="373"/>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10.2†</w:t>
            </w: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Second Amended and Restated Equity Incentive Plan of Booz Allen Hamilton Holding Corporation (Incorporated by reference to Exhibit 10.2</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3"/>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10.3†</w:t>
            </w: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3"/>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10.4†</w:t>
            </w: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3"/>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10.5†</w:t>
            </w: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3"/>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10.6†</w:t>
            </w: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3"/>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10.7†</w:t>
            </w: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333-167645))</w:t>
            </w:r>
          </w:p>
        </w:tc>
        <w:tc>
          <w:tcPr>
            <w:tcW w:w="0" w:type="dxa"/>
            <w:vAlign w:val="bottom"/>
          </w:tcPr>
          <w:p>
            <w:pPr>
              <w:spacing w:after="0"/>
              <w:rPr>
                <w:sz w:val="1"/>
                <w:szCs w:val="1"/>
                <w:color w:val="auto"/>
              </w:rPr>
            </w:pPr>
          </w:p>
        </w:tc>
      </w:tr>
      <w:tr>
        <w:trPr>
          <w:trHeight w:val="373"/>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10.8†</w:t>
            </w: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3"/>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10.9†</w:t>
            </w: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1333" w:right="259" w:bottom="1440" w:gutter="0" w:footer="0" w:header="0"/>
        </w:sectPr>
      </w:pP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60"/>
          </w:cols>
          <w:pgMar w:left="280" w:top="1333" w:right="25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 and Restated Booz Allen Hamilton Holding Corporation Annual Incentive Plan (Incorporated by reference to Exhibit 10.10 to the</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Company’s Quarterly Report for the period ended September 30, 2014 on Form 10-Q (File No. 001-34972))</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 on Form S-1 (File No. 333-167645))</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Officer’s Comprehensive Medical and Dental Plans (Incorporated by reference to Exhibit 10.17 to the Company’s Registration Statement on</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S-1 (File No. 333-167645))</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Retired Officer’s Comprehensive Medical and Dental Plans (Incorporated by reference to Exhibit 10.18 to the Company’s Registration</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Statement on Form S-1 (File No. 333-167645))</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Group Variable Universal Life Insurance (Incorporated by reference to Exhibit 10.14 to the Company’s Annual Report for the year ended March</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 2015 on Form 10-K (File No. 001-34972))</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(File No. 333-167645))</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Performance Program (Incorporated by reference to Exhibit 10.22 to the Company’s Registration Statement on Form S-1 (File No. 333-</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167645))</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10-K (File No. 001-34972))</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Agreement among Booz Allen Hamilton Inc., as the Borrower, the several lenders from time to time parties thereto, Bank of America,</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 as Administrative Agent, Collateral Agent and Issuing Lender, Merrill Lynch, Pierce, Fenner &amp; Smith Incorporated and Credit Suisse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(USA) LLC, as Joint Lead Arrangers, Merrill Lynch, Pierce, Fenner &amp; Smith Incorporated, Credit Suisse Securities (USA) LLC,</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 and Sumimoto Mitsui Banking Corporation, as Joint Bookrunners, Credit Suisse Securities (USA) LLC, as Syndication Agent, Barclays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PLC, Citigroup Global Markets Inc., HSBC Securities (USA) Inc., J.P. Morgan Securities LLC, Morgan Stanley Senior Funding, Inc.,</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Sumimoto Mitsui Banking Corporation and The Bank of Tokyo-Mitsubishi UFJ, Ltd., as Co-Documentation Agents, dated as of July 31, 2012</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6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First Amendment to Credit Agreement, dated as of August 16, 2013, among Booz Allen Hamilton Inc., as Borrower, Booz Allen Hamilton</w:t>
            </w:r>
          </w:p>
        </w:tc>
        <w:tc>
          <w:tcPr>
            <w:tcW w:w="0" w:type="dxa"/>
            <w:vAlign w:val="bottom"/>
          </w:tcPr>
          <w:p>
            <w:pPr>
              <w:spacing w:after="0"/>
              <w:rPr>
                <w:sz w:val="1"/>
                <w:szCs w:val="1"/>
                <w:color w:val="auto"/>
              </w:rPr>
            </w:pPr>
          </w:p>
        </w:tc>
      </w:tr>
      <w:tr>
        <w:trPr>
          <w:trHeight w:val="63"/>
        </w:trPr>
        <w:tc>
          <w:tcPr>
            <w:tcW w:w="700" w:type="dxa"/>
            <w:vAlign w:val="bottom"/>
          </w:tcPr>
          <w:p>
            <w:pPr>
              <w:spacing w:after="0"/>
              <w:rPr>
                <w:sz w:val="5"/>
                <w:szCs w:val="5"/>
                <w:color w:val="auto"/>
              </w:rPr>
            </w:pPr>
          </w:p>
        </w:tc>
        <w:tc>
          <w:tcPr>
            <w:tcW w:w="10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Investor Corporation, Booz Allen Hamilton Engineering Holding Co., LLC, Booz Allen Hamilton Engineering Services, LLC, SDI Technology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Corporation, ASE, Inc. and , Booz Allen Hamilton International, Inc., as Guarantors,, Bank of America, N.A., as Administrative Agent,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Collateral Agent and New Refinancing Tranche B Term Lender, and the other Lenders and financial institutions from time to time party thereto.</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Periodic Report on Form 8-K filed on August 20, 2013 (File No. 001-34972))</w:t>
            </w:r>
          </w:p>
        </w:tc>
        <w:tc>
          <w:tcPr>
            <w:tcW w:w="0" w:type="dxa"/>
            <w:vAlign w:val="bottom"/>
          </w:tcPr>
          <w:p>
            <w:pPr>
              <w:spacing w:after="0"/>
              <w:rPr>
                <w:sz w:val="1"/>
                <w:szCs w:val="1"/>
                <w:color w:val="auto"/>
              </w:rPr>
            </w:pPr>
          </w:p>
        </w:tc>
      </w:tr>
      <w:tr>
        <w:trPr>
          <w:trHeight w:val="45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Employment Agreement (Incorporated by reference to Exhibit 10.27 to the Company’s Annual Report for the year ended March 31,</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2014 on Form 10-K (File No. 001-34972))</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Restricted Stock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(Incorporated by reference to Exhibit 10.28 to the Company’s Annual Report for the year ended March 31, 2014 on Form 10-K (File No. 001-</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34972))</w:t>
            </w:r>
          </w:p>
        </w:tc>
        <w:tc>
          <w:tcPr>
            <w:tcW w:w="0" w:type="dxa"/>
            <w:vAlign w:val="bottom"/>
          </w:tcPr>
          <w:p>
            <w:pPr>
              <w:spacing w:after="0"/>
              <w:rPr>
                <w:sz w:val="1"/>
                <w:szCs w:val="1"/>
                <w:color w:val="auto"/>
              </w:rPr>
            </w:pP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Form of Restricted Stock Unit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(Incorporated by reference to Exhibit 10.29 to the Company’s Annual Report for the year ended March 31, 2014 on Form 10-K (File No. 001-</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34972))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850" w:right="27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280" w:top="850" w:right="279" w:bottom="1440" w:gutter="0" w:footer="0" w:header="0"/>
          <w:type w:val="continuous"/>
        </w:sectPr>
      </w:pPr>
    </w:p>
    <w:bookmarkStart w:id="105" w:name="page106"/>
    <w:bookmarkEnd w:id="105"/>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Second Amendment to Credit Agreement, dated as of May 7, 2014, among Booz Allen Hamilton Inc., as Borrower, Booz Allen Hamilton</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Investor Corporation, Booz Allen Hamilton Engineering Holding Co., LLC, Booz Allen Hamilton Engineering Services, LLC, SDI Technology</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Corporation, ASE, Inc. and Booz Allen Hamilton International, Inc., as Guarantors, Bank of America, N.A., as Administrative Agent, Collateral</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Agent and Issuing Lender, and the other Lenders and financial institutions from time to time party thereto (Incorporated by reference to Exhibit</w:t>
            </w:r>
          </w:p>
        </w:tc>
      </w:tr>
      <w:tr>
        <w:trPr>
          <w:trHeight w:val="234"/>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 to the Company’s Periodic Report on Form 8-K filed on May 13, 2014 (File No. 001-34972))</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13a-14(a)/15d-14(a) Certification of the Chief Executive Officer*</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13a-14(a)/15d-14(a) Certification of the Chief Financial Officer*</w:t>
            </w:r>
          </w:p>
        </w:tc>
      </w:tr>
      <w:tr>
        <w:trPr>
          <w:trHeight w:val="3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the Chief Executive Officer required by Rule 13a-14(b) or Rule 15d-14(b) and Section 1350 of Chapter 63 of Title 18 of the</w:t>
            </w:r>
          </w:p>
        </w:tc>
      </w:tr>
      <w:tr>
        <w:trPr>
          <w:trHeight w:val="234"/>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Code (18 U.S.C. 1350)*</w:t>
            </w:r>
          </w:p>
        </w:tc>
      </w:tr>
      <w:tr>
        <w:trPr>
          <w:trHeight w:val="37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the Chief Financial Officer required by Rule 13a-14(b) or Rule 15d-14(b) and Section 1350 of Chapter 63 of Title 18 of the</w:t>
            </w:r>
          </w:p>
        </w:tc>
      </w:tr>
      <w:tr>
        <w:trPr>
          <w:trHeight w:val="234"/>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Code (18 U.S.C. 1350)*</w:t>
            </w:r>
          </w:p>
        </w:tc>
      </w:tr>
    </w:tbl>
    <w:p>
      <w:pPr>
        <w:spacing w:after="0" w:line="157" w:lineRule="exact"/>
        <w:rPr>
          <w:sz w:val="20"/>
          <w:szCs w:val="20"/>
          <w:color w:val="auto"/>
        </w:rPr>
      </w:pPr>
    </w:p>
    <w:p>
      <w:pPr>
        <w:ind w:left="960" w:right="240" w:hanging="925"/>
        <w:spacing w:after="0" w:line="255"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Booz Allen Hamilton Holding Corporation’s Annual Report on Form 10-K for the fiscal year ended March 31, 2016, formatted in XBRL (eXtensible Business Reporting Language): (i) Consolidated Balance Sheets as of March 31, 2016 and 2015; (ii) Consolidated Statements of Operations for the fiscal years ended March 31, 2016, 2015 and 2014; (iii) Consolidated Statements of Comprehensive Income for the fiscal years ended March 31, 2016, 2015 and 2014; (iv) Consolidated Statements of Cash Flows for the fiscal years ended March 31, 2016, 2015 and 2014; (v) Consolidated Statements of Stockholders' Equity for the fiscal years ended March 31, 2016, 2015 and 2014; and (vi) Notes to Consolidated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electronically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arrangement.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60"/>
          </w:cols>
          <w:pgMar w:left="240" w:top="850" w:right="29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List of Subsidiaries of Booz Allen Hamilton Holding Corporation</w:t>
      </w:r>
    </w:p>
    <w:p>
      <w:pPr>
        <w:sectPr>
          <w:pgSz w:w="11900" w:h="16838" w:orient="portrait"/>
          <w:cols w:equalWidth="0" w:num="1">
            <w:col w:w="11420"/>
          </w:cols>
          <w:pgMar w:left="240" w:top="369" w:right="239" w:bottom="1440" w:gutter="0" w:footer="0" w:header="0"/>
        </w:sectPr>
      </w:pP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p>
      <w:pPr>
        <w:spacing w:after="0" w:line="160" w:lineRule="exact"/>
        <w:rPr>
          <w:sz w:val="20"/>
          <w:szCs w:val="20"/>
          <w:color w:val="auto"/>
        </w:rPr>
      </w:pPr>
    </w:p>
    <w:p>
      <w:pPr>
        <w:sectPr>
          <w:pgSz w:w="11900" w:h="16838" w:orient="portrait"/>
          <w:cols w:equalWidth="0" w:num="2">
            <w:col w:w="7420" w:space="720"/>
            <w:col w:w="3280"/>
          </w:cols>
          <w:pgMar w:left="240" w:top="369"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Booz Allen Cyber Solutions, LLC</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Consulting Pte. Ltd.</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(Dubai) Limited</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Egypt, LLC</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Engineering Holding Co., LLC</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Engineering Services, LLC</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Lebanon S.a.r.l.</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Inc.</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Intellectual Property Holding, LLC</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International, Inc.</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International Pte. Ltd.</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International (U.K.) Ltd.</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Investor Corporation</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Saudi Arabia, LLC</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Booz Allen Hamilton Singapore Holding Company Pte. Ltd.</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Singapore LP</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Booz Allen Hamilton Tanzania Limited</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Epidemico, Inc.</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Epidemico Limited</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PT Booz Allen Hamilton Indonesia</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SDI Technology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Dubai, UAE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Egypt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Lebanon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Saudi Arabia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Tanzania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Indonesia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Virginia</w:t>
      </w:r>
    </w:p>
    <w:p>
      <w:pPr>
        <w:sectPr>
          <w:pgSz w:w="11900" w:h="16838" w:orient="portrait"/>
          <w:cols w:equalWidth="0" w:num="2">
            <w:col w:w="7420" w:space="720"/>
            <w:col w:w="3280"/>
          </w:cols>
          <w:pgMar w:left="240" w:top="369" w:right="239" w:bottom="1440" w:gutter="0" w:footer="0" w:header="0"/>
          <w:type w:val="continuous"/>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Ernst &amp; Young LLP,</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Independent Registered Public Accounting Firm</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310" w:lineRule="exact"/>
        <w:rPr>
          <w:sz w:val="20"/>
          <w:szCs w:val="20"/>
          <w:color w:val="auto"/>
        </w:rPr>
      </w:pPr>
    </w:p>
    <w:p>
      <w:pPr>
        <w:ind w:left="660" w:right="280" w:hanging="328"/>
        <w:spacing w:after="0" w:line="281" w:lineRule="auto"/>
        <w:tabs>
          <w:tab w:leader="none" w:pos="6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 333-205956) pertaining to the Second Amended and Restated Equity Incentive Plan of Booz Allen Hamilton Holding Corporation</w:t>
      </w:r>
    </w:p>
    <w:p>
      <w:pPr>
        <w:spacing w:after="0" w:line="1" w:lineRule="exact"/>
        <w:rPr>
          <w:rFonts w:ascii="Times New Roman" w:cs="Times New Roman" w:eastAsia="Times New Roman" w:hAnsi="Times New Roman"/>
          <w:sz w:val="20"/>
          <w:szCs w:val="20"/>
          <w:color w:val="auto"/>
        </w:rPr>
      </w:pPr>
    </w:p>
    <w:p>
      <w:pPr>
        <w:ind w:left="660" w:right="60" w:hanging="328"/>
        <w:spacing w:after="0" w:line="296" w:lineRule="auto"/>
        <w:tabs>
          <w:tab w:leader="none" w:pos="6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S-8 (No 333-171288) pertaining to the Amended and Restated Equity Incentive Plan of Booz Allen Hamilton Holding Corporation, Booz Allen Hamilton Holding Corporation Officers’ Rollover Stock Plan, and Booz Allen Hamilton Holding Corporation Employee Stock Purchase Plan</w:t>
      </w:r>
    </w:p>
    <w:p>
      <w:pPr>
        <w:spacing w:after="0" w:line="229" w:lineRule="exact"/>
        <w:rPr>
          <w:sz w:val="20"/>
          <w:szCs w:val="20"/>
          <w:color w:val="auto"/>
        </w:rPr>
      </w:pPr>
    </w:p>
    <w:p>
      <w:pPr>
        <w:jc w:val="both"/>
        <w:ind w:right="180"/>
        <w:spacing w:after="0" w:line="296" w:lineRule="auto"/>
        <w:rPr>
          <w:sz w:val="20"/>
          <w:szCs w:val="20"/>
          <w:color w:val="auto"/>
        </w:rPr>
      </w:pPr>
      <w:r>
        <w:rPr>
          <w:rFonts w:ascii="Times New Roman" w:cs="Times New Roman" w:eastAsia="Times New Roman" w:hAnsi="Times New Roman"/>
          <w:sz w:val="20"/>
          <w:szCs w:val="20"/>
          <w:color w:val="auto"/>
        </w:rPr>
        <w:t>of our reports dated May 19, 2016,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2016.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McLean, Virginia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19, 2016</w:t>
      </w:r>
    </w:p>
    <w:p>
      <w:pPr>
        <w:sectPr>
          <w:pgSz w:w="11900" w:h="16838" w:orient="portrait"/>
          <w:cols w:equalWidth="0" w:num="1">
            <w:col w:w="11420"/>
          </w:cols>
          <w:pgMar w:left="240" w:top="1058"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Booz Allen Hamilton Holding Corporation.</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right="120" w:firstLine="8"/>
        <w:spacing w:after="0" w:line="266" w:lineRule="auto"/>
        <w:tabs>
          <w:tab w:leader="none" w:pos="2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40" w:firstLine="8"/>
        <w:spacing w:after="0" w:line="282" w:lineRule="auto"/>
        <w:tabs>
          <w:tab w:leader="none" w:pos="2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540" w:firstLine="8"/>
        <w:spacing w:after="0" w:line="266"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660" w:firstLine="8"/>
        <w:spacing w:after="0" w:line="282"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220" w:firstLine="8"/>
        <w:spacing w:after="0" w:line="282" w:lineRule="auto"/>
        <w:tabs>
          <w:tab w:leader="none" w:pos="2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7100" w:val="left"/>
          <w:tab w:leader="none" w:pos="7560" w:val="left"/>
        </w:tabs>
        <w:rPr>
          <w:sz w:val="20"/>
          <w:szCs w:val="20"/>
          <w:color w:val="auto"/>
        </w:rPr>
      </w:pPr>
      <w:r>
        <w:rPr>
          <w:rFonts w:ascii="Times New Roman" w:cs="Times New Roman" w:eastAsia="Times New Roman" w:hAnsi="Times New Roman"/>
          <w:sz w:val="18"/>
          <w:szCs w:val="18"/>
          <w:color w:val="auto"/>
        </w:rPr>
        <w:t>Date: May 19,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Horacio Rozanski</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L. Cook, certify that:</w:t>
      </w:r>
    </w:p>
    <w:p>
      <w:pPr>
        <w:spacing w:after="0" w:line="171" w:lineRule="exact"/>
        <w:rPr>
          <w:sz w:val="20"/>
          <w:szCs w:val="20"/>
          <w:color w:val="auto"/>
        </w:rPr>
      </w:pPr>
    </w:p>
    <w:p>
      <w:pPr>
        <w:ind w:left="180" w:hanging="172"/>
        <w:spacing w:after="0"/>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Booz Allen Hamilton Holding Corporation.</w:t>
      </w:r>
    </w:p>
    <w:p>
      <w:pPr>
        <w:spacing w:after="0" w:line="171"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right="120" w:firstLine="8"/>
        <w:spacing w:after="0" w:line="266" w:lineRule="auto"/>
        <w:tabs>
          <w:tab w:leader="none" w:pos="2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right="240" w:firstLine="8"/>
        <w:spacing w:after="0" w:line="266"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right="40" w:firstLine="8"/>
        <w:spacing w:after="0" w:line="282" w:lineRule="auto"/>
        <w:tabs>
          <w:tab w:leader="none" w:pos="2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540" w:firstLine="8"/>
        <w:spacing w:after="0" w:line="266"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sz w:val="20"/>
          <w:szCs w:val="20"/>
          <w:color w:val="auto"/>
        </w:rPr>
      </w:pPr>
    </w:p>
    <w:p>
      <w:pPr>
        <w:ind w:right="660" w:firstLine="8"/>
        <w:spacing w:after="0" w:line="282" w:lineRule="auto"/>
        <w:tabs>
          <w:tab w:leader="none" w:pos="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08" w:lineRule="exact"/>
        <w:rPr>
          <w:sz w:val="20"/>
          <w:szCs w:val="20"/>
          <w:color w:val="auto"/>
        </w:rPr>
      </w:pPr>
    </w:p>
    <w:p>
      <w:pPr>
        <w:ind w:right="220" w:firstLine="8"/>
        <w:spacing w:after="0" w:line="282" w:lineRule="auto"/>
        <w:tabs>
          <w:tab w:leader="none" w:pos="2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460" w:firstLine="8"/>
        <w:spacing w:after="0" w:line="282"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5720" w:val="left"/>
          <w:tab w:leader="none" w:pos="6180" w:val="left"/>
        </w:tabs>
        <w:rPr>
          <w:sz w:val="20"/>
          <w:szCs w:val="20"/>
          <w:color w:val="auto"/>
        </w:rPr>
      </w:pPr>
      <w:r>
        <w:rPr>
          <w:rFonts w:ascii="Times New Roman" w:cs="Times New Roman" w:eastAsia="Times New Roman" w:hAnsi="Times New Roman"/>
          <w:sz w:val="18"/>
          <w:szCs w:val="18"/>
          <w:color w:val="auto"/>
        </w:rPr>
        <w:t>Date: May 19, 2016</w:t>
      </w:r>
      <w:r>
        <w:rPr>
          <w:sz w:val="20"/>
          <w:szCs w:val="20"/>
          <w:color w:val="auto"/>
        </w:rPr>
        <w:tab/>
      </w:r>
      <w:r>
        <w:rPr>
          <w:rFonts w:ascii="Times New Roman" w:cs="Times New Roman" w:eastAsia="Times New Roman" w:hAnsi="Times New Roman"/>
          <w:sz w:val="18"/>
          <w:szCs w:val="18"/>
          <w:color w:val="auto"/>
        </w:rPr>
        <w:t>By:</w:t>
        <w:tab/>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Kevin L. Cook</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10-K of Booz Allen Hamilton Holding Corporation (the “Company”) for the fiscal year ended March 31, 2016,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18"/>
          <w:szCs w:val="18"/>
          <w:color w:val="auto"/>
        </w:rPr>
        <w:t>Date: May 19, 2016</w:t>
      </w:r>
      <w:r>
        <w:rPr>
          <w:sz w:val="20"/>
          <w:szCs w:val="20"/>
          <w:color w:val="auto"/>
        </w:rPr>
        <w:tab/>
      </w:r>
      <w:r>
        <w:rPr>
          <w:rFonts w:ascii="Times New Roman" w:cs="Times New Roman" w:eastAsia="Times New Roman" w:hAnsi="Times New Roman"/>
          <w:sz w:val="18"/>
          <w:szCs w:val="18"/>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34290</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Horacio Rozanski</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report on Form 10-K of Booz Allen Hamilton Holding Corporation (the “Company”) for the fiscal year ended March 31, 2016,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26" w:lineRule="exact"/>
        <w:rPr>
          <w:sz w:val="20"/>
          <w:szCs w:val="20"/>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19, 2016</w:t>
      </w:r>
      <w:r>
        <w:rPr>
          <w:sz w:val="20"/>
          <w:szCs w:val="20"/>
          <w:color w:val="auto"/>
        </w:rPr>
        <w:tab/>
      </w:r>
      <w:r>
        <w:rPr>
          <w:rFonts w:ascii="Times New Roman" w:cs="Times New Roman" w:eastAsia="Times New Roman" w:hAnsi="Times New Roman"/>
          <w:sz w:val="18"/>
          <w:szCs w:val="18"/>
          <w:color w:val="auto"/>
        </w:rPr>
        <w:t>By: /s/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Kevin L. Cook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 (Principal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Financial and Accounting Officer)</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upperLetter"/>
      <w:start w:val="11"/>
    </w:lvl>
  </w:abstractNum>
  <w:abstractNum w:abstractNumId="3">
    <w:nsid w:val="725A06FB"/>
    <w:multiLevelType w:val="hybridMultilevel"/>
    <w:lvl w:ilvl="0">
      <w:lvlJc w:val="left"/>
      <w:lvlText w:val="(%1)"/>
      <w:numFmt w:val="lowerRoman"/>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lvl w:ilvl="1">
      <w:lvlJc w:val="left"/>
      <w:lvlText w:val="◦"/>
      <w:numFmt w:val="bullet"/>
      <w:start w:val="1"/>
    </w:lvl>
  </w:abstractNum>
  <w:abstractNum w:abstractNumId="8">
    <w:nsid w:val="542289EC"/>
    <w:multiLevelType w:val="hybridMultilevel"/>
    <w:lvl w:ilvl="0">
      <w:lvlJc w:val="left"/>
      <w:lvlText w:val="•"/>
      <w:numFmt w:val="bullet"/>
      <w:start w:val="1"/>
    </w:lvl>
    <w:lvl w:ilvl="1">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1)"/>
      <w:numFmt w:val="decimal"/>
      <w:start w:val="1"/>
    </w:lvl>
    <w:lvl w:ilvl="1">
      <w:lvlJc w:val="left"/>
      <w:lvlText w:val="%"/>
      <w:numFmt w:val="bullet"/>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1)"/>
      <w:numFmt w:val="lowerLetter"/>
      <w:start w:val="1"/>
    </w:lvl>
  </w:abstractNum>
  <w:abstractNum w:abstractNumId="42">
    <w:nsid w:val="579BE4F1"/>
    <w:multiLevelType w:val="hybridMultilevel"/>
    <w:lvl w:ilvl="0">
      <w:lvlJc w:val="left"/>
      <w:lvlText w:val="(%1)"/>
      <w:numFmt w:val="lowerLetter"/>
      <w:start w:val="6"/>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decimal"/>
      <w:start w:val="2"/>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1."/>
      <w:numFmt w:val="decimal"/>
      <w:start w:val="4"/>
    </w:lvl>
  </w:abstractNum>
  <w:abstractNum w:abstractNumId="58">
    <w:nsid w:val="6B94764"/>
    <w:multiLevelType w:val="hybridMultilevel"/>
    <w:lvl w:ilvl="0">
      <w:lvlJc w:val="left"/>
      <w:lvlText w:val="%1."/>
      <w:numFmt w:val="decimal"/>
      <w:start w:val="7"/>
    </w:lvl>
  </w:abstractNum>
  <w:abstractNum w:abstractNumId="59">
    <w:nsid w:val="42C296BD"/>
    <w:multiLevelType w:val="hybridMultilevel"/>
    <w:lvl w:ilvl="0">
      <w:lvlJc w:val="left"/>
      <w:lvlText w:val="1"/>
      <w:numFmt w:val="bullet"/>
      <w:start w:val="1"/>
    </w:lvl>
  </w:abstractNum>
  <w:abstractNum w:abstractNumId="60">
    <w:nsid w:val="168E121F"/>
    <w:multiLevelType w:val="hybridMultilevel"/>
    <w:lvl w:ilvl="0">
      <w:lvlJc w:val="left"/>
      <w:lvlText w:val="2"/>
      <w:numFmt w:val="bullet"/>
      <w:start w:val="1"/>
    </w:lvl>
  </w:abstractNum>
  <w:abstractNum w:abstractNumId="61">
    <w:nsid w:val="1EBA5D23"/>
    <w:multiLevelType w:val="hybridMultilevel"/>
    <w:lvl w:ilvl="0">
      <w:lvlJc w:val="left"/>
      <w:lvlText w:val="%1."/>
      <w:numFmt w:val="decimal"/>
      <w:start w:val="12"/>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1"/>
      <w:numFmt w:val="decimal"/>
      <w:start w:val="1"/>
    </w:lvl>
    <w:lvl w:ilvl="1">
      <w:lvlJc w:val="left"/>
      <w:lvlText w:val="(%2)"/>
      <w:numFmt w:val="decimal"/>
      <w:start w:val="1"/>
    </w:lvl>
  </w:abstractNum>
  <w:abstractNum w:abstractNumId="68">
    <w:nsid w:val="BF72B14"/>
    <w:multiLevelType w:val="hybridMultilevel"/>
    <w:lvl w:ilvl="0">
      <w:lvlJc w:val="left"/>
      <w:lvlText w:val="%1."/>
      <w:numFmt w:val="decimal"/>
      <w:start w:val="22"/>
    </w:lvl>
    <w:lvl w:ilvl="1">
      <w:lvlJc w:val="left"/>
      <w:lvlText w:val="%2"/>
      <w:numFmt w:val="decimal"/>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lowerLetter"/>
      <w:start w:val="1"/>
    </w:lvl>
    <w:lvl w:ilvl="1">
      <w:lvlJc w:val="left"/>
      <w:lvlText w:val="(%2)"/>
      <w:numFmt w:val="decimal"/>
      <w:start w:val="1"/>
    </w:lvl>
  </w:abstractNum>
  <w:abstractNum w:abstractNumId="71">
    <w:nsid w:val="A0382C5"/>
    <w:multiLevelType w:val="hybridMultilevel"/>
    <w:lvl w:ilvl="0">
      <w:lvlJc w:val="left"/>
      <w:lvlText w:val="%1"/>
      <w:numFmt w:val="decimal"/>
      <w:start w:val="10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decimal"/>
      <w:start w:val="5"/>
    </w:lvl>
  </w:abstractNum>
  <w:abstractNum w:abstractNumId="77">
    <w:nsid w:val="60B6DF70"/>
    <w:multiLevelType w:val="hybridMultilevel"/>
    <w:lvl w:ilvl="0">
      <w:lvlJc w:val="left"/>
      <w:lvlText w:val="(%1)"/>
      <w:numFmt w:val="lowerLetter"/>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decimal"/>
      <w:start w:val="5"/>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2019-12-29T11:46:17Z</dcterms:created>
  <dcterms:modified xsi:type="dcterms:W3CDTF">2019-12-29T11:46:17Z</dcterms:modified>
</cp:coreProperties>
</file>