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277495</wp:posOffset>
            </wp:positionH>
            <wp:positionV relativeFrom="page">
              <wp:posOffset>680720</wp:posOffset>
            </wp:positionV>
            <wp:extent cx="70065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659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-224155</wp:posOffset>
            </wp:positionV>
            <wp:extent cx="7006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fiscal year ended March 31, 2019</w:t>
      </w:r>
    </w:p>
    <w:p>
      <w:pPr>
        <w:spacing w:after="0" w:line="12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THE SECURITIES EXCHANGE ACT OF</w:t>
      </w:r>
    </w:p>
    <w:p>
      <w:pPr>
        <w:spacing w:after="0" w:line="3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1934</w:t>
      </w: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No. 001-34972</w:t>
      </w:r>
    </w:p>
    <w:p>
      <w:pPr>
        <w:spacing w:after="0" w:line="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6520" w:type="dxa"/>
            <w:vAlign w:val="bottom"/>
          </w:tcPr>
          <w:p>
            <w:pPr>
              <w:jc w:val="center"/>
              <w:ind w:right="3200"/>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jc w:val="right"/>
              <w:ind w:right="61"/>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6520" w:type="dxa"/>
            <w:vAlign w:val="bottom"/>
          </w:tcPr>
          <w:p>
            <w:pPr>
              <w:jc w:val="center"/>
              <w:ind w:right="3200"/>
              <w:spacing w:after="0"/>
              <w:rPr>
                <w:sz w:val="20"/>
                <w:szCs w:val="20"/>
                <w:color w:val="auto"/>
              </w:rPr>
            </w:pPr>
            <w:r>
              <w:rPr>
                <w:rFonts w:ascii="Arial" w:cs="Arial" w:eastAsia="Arial" w:hAnsi="Arial"/>
                <w:sz w:val="14"/>
                <w:szCs w:val="14"/>
                <w:b w:val="1"/>
                <w:bCs w:val="1"/>
                <w:color w:val="auto"/>
                <w:w w:val="93"/>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00"/>
              <w:spacing w:after="0"/>
              <w:rPr>
                <w:sz w:val="20"/>
                <w:szCs w:val="20"/>
                <w:color w:val="auto"/>
              </w:rPr>
            </w:pPr>
            <w:r>
              <w:rPr>
                <w:rFonts w:ascii="Arial" w:cs="Arial" w:eastAsia="Arial" w:hAnsi="Arial"/>
                <w:sz w:val="14"/>
                <w:szCs w:val="14"/>
                <w:b w:val="1"/>
                <w:bCs w:val="1"/>
                <w:color w:val="auto"/>
                <w:w w:val="94"/>
              </w:rPr>
              <w:t>incorporation or organization)</w:t>
            </w:r>
          </w:p>
        </w:tc>
        <w:tc>
          <w:tcPr>
            <w:tcW w:w="1540" w:type="dxa"/>
            <w:vAlign w:val="bottom"/>
          </w:tcPr>
          <w:p>
            <w:pPr>
              <w:jc w:val="center"/>
              <w:ind w:left="321"/>
              <w:spacing w:after="0"/>
              <w:rPr>
                <w:sz w:val="20"/>
                <w:szCs w:val="20"/>
                <w:color w:val="auto"/>
              </w:rPr>
            </w:pPr>
            <w:r>
              <w:rPr>
                <w:rFonts w:ascii="Arial" w:cs="Arial" w:eastAsia="Arial" w:hAnsi="Arial"/>
                <w:sz w:val="14"/>
                <w:szCs w:val="14"/>
                <w:b w:val="1"/>
                <w:bCs w:val="1"/>
                <w:color w:val="auto"/>
                <w:w w:val="96"/>
              </w:rPr>
              <w:t>Identification No.)</w:t>
            </w:r>
          </w:p>
        </w:tc>
      </w:tr>
      <w:tr>
        <w:trPr>
          <w:trHeight w:val="377"/>
        </w:trPr>
        <w:tc>
          <w:tcPr>
            <w:tcW w:w="6520" w:type="dxa"/>
            <w:vAlign w:val="bottom"/>
          </w:tcPr>
          <w:p>
            <w:pPr>
              <w:jc w:val="center"/>
              <w:ind w:right="3200"/>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22102</w:t>
            </w:r>
          </w:p>
        </w:tc>
      </w:tr>
      <w:tr>
        <w:trPr>
          <w:trHeight w:val="218"/>
        </w:trPr>
        <w:tc>
          <w:tcPr>
            <w:tcW w:w="6520" w:type="dxa"/>
            <w:vAlign w:val="bottom"/>
          </w:tcPr>
          <w:p>
            <w:pPr>
              <w:jc w:val="center"/>
              <w:ind w:right="32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21"/>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6520" w:type="dxa"/>
            <w:vAlign w:val="bottom"/>
          </w:tcPr>
          <w:p>
            <w:pPr>
              <w:jc w:val="right"/>
              <w:ind w:right="1320"/>
              <w:spacing w:after="0"/>
              <w:rPr>
                <w:sz w:val="20"/>
                <w:szCs w:val="20"/>
                <w:color w:val="auto"/>
              </w:rPr>
            </w:pPr>
            <w:r>
              <w:rPr>
                <w:rFonts w:ascii="Arial" w:cs="Arial" w:eastAsia="Arial" w:hAnsi="Arial"/>
                <w:sz w:val="18"/>
                <w:szCs w:val="18"/>
                <w:b w:val="1"/>
                <w:bCs w:val="1"/>
                <w:color w:val="auto"/>
              </w:rPr>
              <w:t>(703) 902-5000</w:t>
            </w:r>
          </w:p>
        </w:tc>
        <w:tc>
          <w:tcPr>
            <w:tcW w:w="1540" w:type="dxa"/>
            <w:vAlign w:val="bottom"/>
          </w:tcPr>
          <w:p>
            <w:pPr>
              <w:spacing w:after="0"/>
              <w:rPr>
                <w:sz w:val="22"/>
                <w:szCs w:val="22"/>
                <w:color w:val="auto"/>
              </w:rPr>
            </w:pPr>
          </w:p>
        </w:tc>
      </w:tr>
      <w:tr>
        <w:trPr>
          <w:trHeight w:val="186"/>
        </w:trPr>
        <w:tc>
          <w:tcPr>
            <w:tcW w:w="6520" w:type="dxa"/>
            <w:vAlign w:val="bottom"/>
          </w:tcPr>
          <w:p>
            <w:pPr>
              <w:jc w:val="center"/>
              <w:ind w:left="25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16"/>
                <w:szCs w:val="16"/>
                <w:color w:val="auto"/>
              </w:rPr>
            </w:pPr>
          </w:p>
        </w:tc>
      </w:tr>
    </w:tbl>
    <w:p>
      <w:pPr>
        <w:spacing w:after="0" w:line="25"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77"/>
        </w:trPr>
        <w:tc>
          <w:tcPr>
            <w:tcW w:w="3660" w:type="dxa"/>
            <w:vAlign w:val="bottom"/>
            <w:gridSpan w:val="3"/>
          </w:tcPr>
          <w:p>
            <w:pPr>
              <w:jc w:val="center"/>
              <w:ind w:left="1696"/>
              <w:spacing w:after="0"/>
              <w:rPr>
                <w:sz w:val="20"/>
                <w:szCs w:val="20"/>
                <w:color w:val="auto"/>
              </w:rPr>
            </w:pPr>
            <w:r>
              <w:rPr>
                <w:rFonts w:ascii="Arial" w:cs="Arial" w:eastAsia="Arial" w:hAnsi="Arial"/>
                <w:sz w:val="18"/>
                <w:szCs w:val="18"/>
                <w:color w:val="auto"/>
                <w:w w:val="90"/>
              </w:rPr>
              <w:t>Class A Common Stock</w:t>
            </w:r>
          </w:p>
        </w:tc>
        <w:tc>
          <w:tcPr>
            <w:tcW w:w="1460" w:type="dxa"/>
            <w:vAlign w:val="bottom"/>
          </w:tcPr>
          <w:p>
            <w:pPr>
              <w:spacing w:after="0"/>
              <w:rPr>
                <w:sz w:val="24"/>
                <w:szCs w:val="2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color w:val="auto"/>
              </w:rPr>
              <w:t>BAH</w:t>
            </w:r>
          </w:p>
        </w:tc>
        <w:tc>
          <w:tcPr>
            <w:tcW w:w="38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None.</w:t>
            </w: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3"/>
          </w:tcPr>
          <w:p>
            <w:pPr>
              <w:jc w:val="center"/>
              <w:ind w:left="859"/>
              <w:spacing w:after="0"/>
              <w:rPr>
                <w:sz w:val="20"/>
                <w:szCs w:val="20"/>
                <w:color w:val="auto"/>
              </w:rPr>
            </w:pPr>
            <w:r>
              <w:rPr>
                <w:rFonts w:ascii="Arial" w:cs="Arial" w:eastAsia="Arial" w:hAnsi="Arial"/>
                <w:sz w:val="16"/>
                <w:szCs w:val="16"/>
                <w:color w:val="auto"/>
                <w:w w:val="91"/>
              </w:rPr>
              <w:t>__________________</w:t>
            </w: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640" w:type="dxa"/>
            <w:vAlign w:val="bottom"/>
            <w:vMerge w:val="restart"/>
          </w:tcPr>
          <w:p>
            <w:pPr>
              <w:jc w:val="center"/>
              <w:ind w:right="109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9"/>
        </w:trPr>
        <w:tc>
          <w:tcPr>
            <w:tcW w:w="7760" w:type="dxa"/>
            <w:vAlign w:val="bottom"/>
            <w:gridSpan w:val="8"/>
          </w:tcPr>
          <w:p>
            <w:pPr>
              <w:spacing w:after="0" w:line="159" w:lineRule="exact"/>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7760" w:type="dxa"/>
            <w:vAlign w:val="bottom"/>
            <w:gridSpan w:val="8"/>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64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46" w:lineRule="auto"/>
        <w:rPr>
          <w:sz w:val="20"/>
          <w:szCs w:val="20"/>
          <w:color w:val="auto"/>
        </w:rPr>
      </w:pPr>
      <w:r>
        <w:rPr>
          <w:rFonts w:ascii="Arial" w:cs="Arial" w:eastAsia="Arial" w:hAnsi="Arial"/>
          <w:sz w:val="16"/>
          <w:szCs w:val="16"/>
          <w:color w:val="auto"/>
        </w:rPr>
        <w:t>Note — Checking the box above will not relieve any registrant required to file reports pursuant to Section 13 or 15(d) of the Exchange Act from their obligations under those sections.</w:t>
      </w:r>
    </w:p>
    <w:p>
      <w:pPr>
        <w:spacing w:after="0" w:line="1" w:lineRule="exact"/>
        <w:rPr>
          <w:sz w:val="24"/>
          <w:szCs w:val="24"/>
          <w:color w:val="auto"/>
        </w:rPr>
      </w:pPr>
    </w:p>
    <w:p>
      <w:pPr>
        <w:ind w:right="20"/>
        <w:spacing w:after="0" w:line="25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ind w:right="420"/>
        <w:spacing w:after="0" w:line="19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100"/>
        <w:spacing w:after="0" w:line="32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 of “large accelerated filer”, “accelerated filer”, “smaller reporting company” and "emerging growth company" in Rule 12b-2 of the Exchange Act. (Check one):</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8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510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ectPr>
          <w:pgSz w:w="11900" w:h="16838" w:orient="portrait"/>
          <w:cols w:equalWidth="0" w:num="1">
            <w:col w:w="11260"/>
          </w:cols>
          <w:pgMar w:left="240" w:top="1084" w:right="39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As of September 28, 2018, the market value of the voting and non-voting common equity held by non-affiliates based on the closing price as of that day was $6,933,296,946.</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r>
        <w:rPr>
          <w:rFonts w:ascii="Arial" w:cs="Arial" w:eastAsia="Arial" w:hAnsi="Arial"/>
          <w:sz w:val="18"/>
          <w:szCs w:val="18"/>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080" w:type="dxa"/>
            <w:vAlign w:val="bottom"/>
          </w:tcPr>
          <w:p>
            <w:pPr>
              <w:jc w:val="right"/>
              <w:ind w:right="37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6240" w:type="dxa"/>
            <w:vAlign w:val="bottom"/>
          </w:tcPr>
          <w:p>
            <w:pPr>
              <w:spacing w:after="0"/>
              <w:rPr>
                <w:sz w:val="16"/>
                <w:szCs w:val="16"/>
                <w:color w:val="auto"/>
              </w:rPr>
            </w:pPr>
          </w:p>
        </w:tc>
        <w:tc>
          <w:tcPr>
            <w:tcW w:w="5080" w:type="dxa"/>
            <w:vAlign w:val="bottom"/>
          </w:tcPr>
          <w:p>
            <w:pPr>
              <w:jc w:val="right"/>
              <w:ind w:right="416"/>
              <w:spacing w:after="0"/>
              <w:rPr>
                <w:sz w:val="20"/>
                <w:szCs w:val="20"/>
                <w:color w:val="auto"/>
              </w:rPr>
            </w:pPr>
            <w:r>
              <w:rPr>
                <w:rFonts w:ascii="Arial" w:cs="Arial" w:eastAsia="Arial" w:hAnsi="Arial"/>
                <w:sz w:val="14"/>
                <w:szCs w:val="14"/>
                <w:b w:val="1"/>
                <w:bCs w:val="1"/>
                <w:color w:val="auto"/>
              </w:rPr>
              <w:t>as of May 22, 2019</w:t>
            </w:r>
          </w:p>
        </w:tc>
      </w:tr>
      <w:tr>
        <w:trPr>
          <w:trHeight w:val="256"/>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5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140,030,725</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508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624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5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508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180340</wp:posOffset>
            </wp:positionV>
            <wp:extent cx="7006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-127635</wp:posOffset>
            </wp:positionV>
            <wp:extent cx="7006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65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registrant’s Proxy Statement for its Annual Meeting of Stockholders scheduled for July 25, 2019 are incorporated by reference into Part III.</w:t>
      </w:r>
    </w:p>
    <w:p>
      <w:pPr>
        <w:sectPr>
          <w:pgSz w:w="11900" w:h="16838" w:orient="portrait"/>
          <w:cols w:equalWidth="0" w:num="1">
            <w:col w:w="11320"/>
          </w:cols>
          <w:pgMar w:left="240" w:top="72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9"/>
          </w:tcPr>
          <w:p>
            <w:pPr>
              <w:ind w:left="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0120" w:type="dxa"/>
            <w:vAlign w:val="bottom"/>
            <w:gridSpan w:val="2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INTRODUCTORY NOTE</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372"/>
        </w:trPr>
        <w:tc>
          <w:tcPr>
            <w:tcW w:w="156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4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gridSpan w:val="3"/>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b w:val="1"/>
                <w:bCs w:val="1"/>
                <w:color w:val="0000EE"/>
                <w:w w:val="79"/>
              </w:rPr>
            </w:pPr>
            <w:hyperlink w:anchor="page6">
              <w:r>
                <w:rPr>
                  <w:rFonts w:ascii="Arial" w:cs="Arial" w:eastAsia="Arial" w:hAnsi="Arial"/>
                  <w:sz w:val="18"/>
                  <w:szCs w:val="18"/>
                  <w:b w:val="1"/>
                  <w:bCs w:val="1"/>
                  <w:color w:val="0000EE"/>
                  <w:w w:val="79"/>
                </w:rPr>
                <w:t>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w:t>
            </w:r>
          </w:p>
        </w:tc>
        <w:tc>
          <w:tcPr>
            <w:tcW w:w="8560" w:type="dxa"/>
            <w:vAlign w:val="bottom"/>
            <w:gridSpan w:val="20"/>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Business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3</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4"/>
          </w:tcPr>
          <w:p>
            <w:pPr>
              <w:spacing w:after="0"/>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Risk Factors</w:t>
              </w:r>
            </w:hyperlink>
          </w:p>
        </w:tc>
        <w:tc>
          <w:tcPr>
            <w:tcW w:w="7580" w:type="dxa"/>
            <w:vAlign w:val="bottom"/>
            <w:gridSpan w:val="16"/>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13</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1B.</w:t>
            </w:r>
          </w:p>
        </w:tc>
        <w:tc>
          <w:tcPr>
            <w:tcW w:w="2160" w:type="dxa"/>
            <w:vAlign w:val="bottom"/>
            <w:gridSpan w:val="9"/>
          </w:tcPr>
          <w:p>
            <w:pPr>
              <w:spacing w:after="0"/>
              <w:rPr>
                <w:rFonts w:ascii="Arial" w:cs="Arial" w:eastAsia="Arial" w:hAnsi="Arial"/>
                <w:sz w:val="18"/>
                <w:szCs w:val="18"/>
                <w:b w:val="1"/>
                <w:bCs w:val="1"/>
                <w:color w:val="0000EE"/>
                <w:w w:val="88"/>
              </w:rPr>
            </w:pPr>
            <w:hyperlink w:anchor="page39">
              <w:r>
                <w:rPr>
                  <w:rFonts w:ascii="Arial" w:cs="Arial" w:eastAsia="Arial" w:hAnsi="Arial"/>
                  <w:sz w:val="18"/>
                  <w:szCs w:val="18"/>
                  <w:b w:val="1"/>
                  <w:bCs w:val="1"/>
                  <w:color w:val="0000EE"/>
                  <w:w w:val="88"/>
                </w:rPr>
                <w:t>Unresolved Staff Comments</w:t>
              </w:r>
            </w:hyperlink>
          </w:p>
        </w:tc>
        <w:tc>
          <w:tcPr>
            <w:tcW w:w="6400" w:type="dxa"/>
            <w:vAlign w:val="bottom"/>
            <w:gridSpan w:val="11"/>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36</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2.</w:t>
            </w:r>
          </w:p>
        </w:tc>
        <w:tc>
          <w:tcPr>
            <w:tcW w:w="800" w:type="dxa"/>
            <w:vAlign w:val="bottom"/>
            <w:gridSpan w:val="3"/>
          </w:tcPr>
          <w:p>
            <w:pPr>
              <w:spacing w:after="0"/>
              <w:rPr>
                <w:rFonts w:ascii="Arial" w:cs="Arial" w:eastAsia="Arial" w:hAnsi="Arial"/>
                <w:sz w:val="18"/>
                <w:szCs w:val="18"/>
                <w:b w:val="1"/>
                <w:bCs w:val="1"/>
                <w:color w:val="0000EE"/>
                <w:w w:val="85"/>
              </w:rPr>
            </w:pPr>
            <w:hyperlink w:anchor="page39">
              <w:r>
                <w:rPr>
                  <w:rFonts w:ascii="Arial" w:cs="Arial" w:eastAsia="Arial" w:hAnsi="Arial"/>
                  <w:sz w:val="18"/>
                  <w:szCs w:val="18"/>
                  <w:b w:val="1"/>
                  <w:bCs w:val="1"/>
                  <w:color w:val="0000EE"/>
                  <w:w w:val="85"/>
                </w:rPr>
                <w:t>Properties</w:t>
              </w:r>
            </w:hyperlink>
          </w:p>
        </w:tc>
        <w:tc>
          <w:tcPr>
            <w:tcW w:w="1360" w:type="dxa"/>
            <w:vAlign w:val="bottom"/>
            <w:gridSpan w:val="6"/>
          </w:tcPr>
          <w:p>
            <w:pPr>
              <w:spacing w:after="0"/>
              <w:rPr>
                <w:sz w:val="24"/>
                <w:szCs w:val="24"/>
                <w:color w:val="auto"/>
              </w:rPr>
            </w:pPr>
          </w:p>
        </w:tc>
        <w:tc>
          <w:tcPr>
            <w:tcW w:w="6400" w:type="dxa"/>
            <w:vAlign w:val="bottom"/>
            <w:gridSpan w:val="11"/>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36</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3.</w:t>
            </w:r>
          </w:p>
        </w:tc>
        <w:tc>
          <w:tcPr>
            <w:tcW w:w="8560" w:type="dxa"/>
            <w:vAlign w:val="bottom"/>
            <w:gridSpan w:val="20"/>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Legal Proceedings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36</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4.</w:t>
            </w:r>
          </w:p>
        </w:tc>
        <w:tc>
          <w:tcPr>
            <w:tcW w:w="1820" w:type="dxa"/>
            <w:vAlign w:val="bottom"/>
            <w:gridSpan w:val="7"/>
          </w:tcPr>
          <w:p>
            <w:pPr>
              <w:spacing w:after="0"/>
              <w:rPr>
                <w:rFonts w:ascii="Arial" w:cs="Arial" w:eastAsia="Arial" w:hAnsi="Arial"/>
                <w:sz w:val="18"/>
                <w:szCs w:val="18"/>
                <w:b w:val="1"/>
                <w:bCs w:val="1"/>
                <w:color w:val="0000EE"/>
                <w:w w:val="85"/>
              </w:rPr>
            </w:pPr>
            <w:hyperlink w:anchor="page41">
              <w:r>
                <w:rPr>
                  <w:rFonts w:ascii="Arial" w:cs="Arial" w:eastAsia="Arial" w:hAnsi="Arial"/>
                  <w:sz w:val="18"/>
                  <w:szCs w:val="18"/>
                  <w:b w:val="1"/>
                  <w:bCs w:val="1"/>
                  <w:color w:val="0000EE"/>
                  <w:w w:val="85"/>
                </w:rPr>
                <w:t>Mine Safety Disclosures</w:t>
              </w:r>
            </w:hyperlink>
          </w:p>
        </w:tc>
        <w:tc>
          <w:tcPr>
            <w:tcW w:w="6740" w:type="dxa"/>
            <w:vAlign w:val="bottom"/>
            <w:gridSpan w:val="13"/>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38</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660" w:type="dxa"/>
            <w:vAlign w:val="bottom"/>
            <w:gridSpan w:val="2"/>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PART II</w:t>
              </w:r>
            </w:hyperlink>
          </w:p>
        </w:tc>
        <w:tc>
          <w:tcPr>
            <w:tcW w:w="9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40</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5.</w:t>
            </w:r>
          </w:p>
        </w:tc>
        <w:tc>
          <w:tcPr>
            <w:tcW w:w="8560" w:type="dxa"/>
            <w:vAlign w:val="bottom"/>
            <w:gridSpan w:val="20"/>
          </w:tcPr>
          <w:p>
            <w:pPr>
              <w:spacing w:after="0"/>
              <w:rPr>
                <w:rFonts w:ascii="Arial" w:cs="Arial" w:eastAsia="Arial" w:hAnsi="Arial"/>
                <w:sz w:val="18"/>
                <w:szCs w:val="18"/>
                <w:b w:val="1"/>
                <w:bCs w:val="1"/>
                <w:color w:val="0000EE"/>
                <w:w w:val="98"/>
              </w:rPr>
            </w:pPr>
            <w:hyperlink w:anchor="page43">
              <w:r>
                <w:rPr>
                  <w:rFonts w:ascii="Arial" w:cs="Arial" w:eastAsia="Arial" w:hAnsi="Arial"/>
                  <w:sz w:val="18"/>
                  <w:szCs w:val="18"/>
                  <w:b w:val="1"/>
                  <w:bCs w:val="1"/>
                  <w:color w:val="0000EE"/>
                  <w:w w:val="98"/>
                </w:rPr>
                <w:t>Market for Registrant's Common Equity, Related Stockholder Matters and Issuer Purchases of Equity</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40</w:t>
              </w:r>
            </w:hyperlink>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Securities</w:t>
              </w:r>
            </w:hyperlink>
          </w:p>
        </w:tc>
        <w:tc>
          <w:tcPr>
            <w:tcW w:w="7080" w:type="dxa"/>
            <w:vAlign w:val="bottom"/>
            <w:tcBorders>
              <w:top w:val="single" w:sz="8" w:color="0000EE"/>
            </w:tcBorders>
            <w:gridSpan w:val="16"/>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6.</w:t>
            </w:r>
          </w:p>
        </w:tc>
        <w:tc>
          <w:tcPr>
            <w:tcW w:w="1820" w:type="dxa"/>
            <w:vAlign w:val="bottom"/>
            <w:gridSpan w:val="7"/>
          </w:tcPr>
          <w:p>
            <w:pPr>
              <w:spacing w:after="0"/>
              <w:rPr>
                <w:rFonts w:ascii="Arial" w:cs="Arial" w:eastAsia="Arial" w:hAnsi="Arial"/>
                <w:sz w:val="18"/>
                <w:szCs w:val="18"/>
                <w:b w:val="1"/>
                <w:bCs w:val="1"/>
                <w:color w:val="0000EE"/>
                <w:w w:val="88"/>
              </w:rPr>
            </w:pPr>
            <w:hyperlink w:anchor="page44">
              <w:r>
                <w:rPr>
                  <w:rFonts w:ascii="Arial" w:cs="Arial" w:eastAsia="Arial" w:hAnsi="Arial"/>
                  <w:sz w:val="18"/>
                  <w:szCs w:val="18"/>
                  <w:b w:val="1"/>
                  <w:bCs w:val="1"/>
                  <w:color w:val="0000EE"/>
                  <w:w w:val="88"/>
                </w:rPr>
                <w:t>Selected Financial Data</w:t>
              </w:r>
            </w:hyperlink>
          </w:p>
        </w:tc>
        <w:tc>
          <w:tcPr>
            <w:tcW w:w="6740" w:type="dxa"/>
            <w:vAlign w:val="bottom"/>
            <w:gridSpan w:val="13"/>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7.</w:t>
            </w:r>
          </w:p>
        </w:tc>
        <w:tc>
          <w:tcPr>
            <w:tcW w:w="6840" w:type="dxa"/>
            <w:vAlign w:val="bottom"/>
            <w:gridSpan w:val="16"/>
          </w:tcPr>
          <w:p>
            <w:pPr>
              <w:spacing w:after="0"/>
              <w:rPr>
                <w:rFonts w:ascii="Arial" w:cs="Arial" w:eastAsia="Arial" w:hAnsi="Arial"/>
                <w:sz w:val="18"/>
                <w:szCs w:val="18"/>
                <w:b w:val="1"/>
                <w:bCs w:val="1"/>
                <w:color w:val="0000EE"/>
                <w:w w:val="89"/>
              </w:rPr>
            </w:pPr>
            <w:hyperlink w:anchor="page46">
              <w:r>
                <w:rPr>
                  <w:rFonts w:ascii="Arial" w:cs="Arial" w:eastAsia="Arial" w:hAnsi="Arial"/>
                  <w:sz w:val="18"/>
                  <w:szCs w:val="18"/>
                  <w:b w:val="1"/>
                  <w:bCs w:val="1"/>
                  <w:color w:val="0000EE"/>
                  <w:w w:val="89"/>
                </w:rPr>
                <w:t>Management's Discussion and Analysis of Financial Condition and Results of Operations</w:t>
              </w:r>
            </w:hyperlink>
          </w:p>
        </w:tc>
        <w:tc>
          <w:tcPr>
            <w:tcW w:w="1720" w:type="dxa"/>
            <w:vAlign w:val="bottom"/>
            <w:gridSpan w:val="4"/>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43</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7A.</w:t>
            </w:r>
          </w:p>
        </w:tc>
        <w:tc>
          <w:tcPr>
            <w:tcW w:w="6840" w:type="dxa"/>
            <w:vAlign w:val="bottom"/>
            <w:gridSpan w:val="16"/>
          </w:tcPr>
          <w:p>
            <w:pP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Quantitative and Qualitative Disclosures About Market Risk</w:t>
              </w:r>
            </w:hyperlink>
          </w:p>
        </w:tc>
        <w:tc>
          <w:tcPr>
            <w:tcW w:w="1720" w:type="dxa"/>
            <w:vAlign w:val="bottom"/>
            <w:gridSpan w:val="4"/>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65</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8.</w:t>
            </w:r>
          </w:p>
        </w:tc>
        <w:tc>
          <w:tcPr>
            <w:tcW w:w="3600" w:type="dxa"/>
            <w:vAlign w:val="bottom"/>
            <w:gridSpan w:val="12"/>
          </w:tcPr>
          <w:p>
            <w:pPr>
              <w:spacing w:after="0"/>
              <w:rPr>
                <w:rFonts w:ascii="Arial" w:cs="Arial" w:eastAsia="Arial" w:hAnsi="Arial"/>
                <w:sz w:val="18"/>
                <w:szCs w:val="18"/>
                <w:b w:val="1"/>
                <w:bCs w:val="1"/>
                <w:color w:val="0000EE"/>
                <w:w w:val="90"/>
              </w:rPr>
            </w:pPr>
            <w:hyperlink w:anchor="page69">
              <w:r>
                <w:rPr>
                  <w:rFonts w:ascii="Arial" w:cs="Arial" w:eastAsia="Arial" w:hAnsi="Arial"/>
                  <w:sz w:val="18"/>
                  <w:szCs w:val="18"/>
                  <w:b w:val="1"/>
                  <w:bCs w:val="1"/>
                  <w:color w:val="0000EE"/>
                  <w:w w:val="90"/>
                </w:rPr>
                <w:t>Financial Statements and Supplementary Data</w:t>
              </w:r>
            </w:hyperlink>
          </w:p>
        </w:tc>
        <w:tc>
          <w:tcPr>
            <w:tcW w:w="1060" w:type="dxa"/>
            <w:vAlign w:val="bottom"/>
            <w:gridSpan w:val="2"/>
          </w:tcPr>
          <w:p>
            <w:pPr>
              <w:spacing w:after="0"/>
              <w:rPr>
                <w:sz w:val="24"/>
                <w:szCs w:val="24"/>
                <w:color w:val="auto"/>
              </w:rPr>
            </w:pPr>
          </w:p>
        </w:tc>
        <w:tc>
          <w:tcPr>
            <w:tcW w:w="3900" w:type="dxa"/>
            <w:vAlign w:val="bottom"/>
            <w:gridSpan w:val="6"/>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F-1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w:t>
            </w:r>
          </w:p>
        </w:tc>
        <w:tc>
          <w:tcPr>
            <w:tcW w:w="8560" w:type="dxa"/>
            <w:vAlign w:val="bottom"/>
            <w:gridSpan w:val="20"/>
          </w:tcPr>
          <w:p>
            <w:pPr>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Changes in and Disagreements With Accountants on Accounting and Financial Disclosure</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66</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9A.</w:t>
            </w:r>
          </w:p>
        </w:tc>
        <w:tc>
          <w:tcPr>
            <w:tcW w:w="1900" w:type="dxa"/>
            <w:vAlign w:val="bottom"/>
            <w:gridSpan w:val="8"/>
          </w:tcPr>
          <w:p>
            <w:pPr>
              <w:spacing w:after="0"/>
              <w:rPr>
                <w:rFonts w:ascii="Arial" w:cs="Arial" w:eastAsia="Arial" w:hAnsi="Arial"/>
                <w:sz w:val="18"/>
                <w:szCs w:val="18"/>
                <w:b w:val="1"/>
                <w:bCs w:val="1"/>
                <w:color w:val="0000EE"/>
                <w:w w:val="86"/>
              </w:rPr>
            </w:pPr>
            <w:hyperlink w:anchor="page113">
              <w:r>
                <w:rPr>
                  <w:rFonts w:ascii="Arial" w:cs="Arial" w:eastAsia="Arial" w:hAnsi="Arial"/>
                  <w:sz w:val="18"/>
                  <w:szCs w:val="18"/>
                  <w:b w:val="1"/>
                  <w:bCs w:val="1"/>
                  <w:color w:val="0000EE"/>
                  <w:w w:val="86"/>
                </w:rPr>
                <w:t>Controls and Procedures</w:t>
              </w:r>
            </w:hyperlink>
          </w:p>
        </w:tc>
        <w:tc>
          <w:tcPr>
            <w:tcW w:w="5000" w:type="dxa"/>
            <w:vAlign w:val="bottom"/>
            <w:gridSpan w:val="9"/>
          </w:tcPr>
          <w:p>
            <w:pPr>
              <w:spacing w:after="0"/>
              <w:rPr>
                <w:sz w:val="24"/>
                <w:szCs w:val="24"/>
                <w:color w:val="auto"/>
              </w:rPr>
            </w:pPr>
          </w:p>
        </w:tc>
        <w:tc>
          <w:tcPr>
            <w:tcW w:w="1660" w:type="dxa"/>
            <w:vAlign w:val="bottom"/>
            <w:gridSpan w:val="3"/>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66</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9B.</w:t>
            </w:r>
          </w:p>
        </w:tc>
        <w:tc>
          <w:tcPr>
            <w:tcW w:w="1900" w:type="dxa"/>
            <w:vAlign w:val="bottom"/>
            <w:gridSpan w:val="8"/>
          </w:tcPr>
          <w:p>
            <w:pPr>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Other Information</w:t>
              </w:r>
            </w:hyperlink>
          </w:p>
        </w:tc>
        <w:tc>
          <w:tcPr>
            <w:tcW w:w="6660" w:type="dxa"/>
            <w:vAlign w:val="bottom"/>
            <w:gridSpan w:val="12"/>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68</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PART III</w:t>
              </w:r>
            </w:hyperlink>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68</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10.</w:t>
            </w:r>
          </w:p>
        </w:tc>
        <w:tc>
          <w:tcPr>
            <w:tcW w:w="4380" w:type="dxa"/>
            <w:vAlign w:val="bottom"/>
            <w:gridSpan w:val="13"/>
          </w:tcPr>
          <w:p>
            <w:pPr>
              <w:spacing w:after="0"/>
              <w:rPr>
                <w:rFonts w:ascii="Arial" w:cs="Arial" w:eastAsia="Arial" w:hAnsi="Arial"/>
                <w:sz w:val="18"/>
                <w:szCs w:val="18"/>
                <w:b w:val="1"/>
                <w:bCs w:val="1"/>
                <w:color w:val="0000EE"/>
                <w:w w:val="90"/>
              </w:rPr>
            </w:pPr>
            <w:hyperlink w:anchor="page115">
              <w:r>
                <w:rPr>
                  <w:rFonts w:ascii="Arial" w:cs="Arial" w:eastAsia="Arial" w:hAnsi="Arial"/>
                  <w:sz w:val="18"/>
                  <w:szCs w:val="18"/>
                  <w:b w:val="1"/>
                  <w:bCs w:val="1"/>
                  <w:color w:val="0000EE"/>
                  <w:w w:val="90"/>
                </w:rPr>
                <w:t>Directors, Executive Officers and Corporate Governance</w:t>
              </w:r>
            </w:hyperlink>
          </w:p>
        </w:tc>
        <w:tc>
          <w:tcPr>
            <w:tcW w:w="4180" w:type="dxa"/>
            <w:vAlign w:val="bottom"/>
            <w:gridSpan w:val="7"/>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68</w:t>
              </w:r>
            </w:hyperlink>
          </w:p>
        </w:tc>
      </w:tr>
      <w:tr>
        <w:trPr>
          <w:trHeight w:val="20"/>
        </w:trPr>
        <w:tc>
          <w:tcPr>
            <w:tcW w:w="1560" w:type="dxa"/>
            <w:vAlign w:val="bottom"/>
            <w:gridSpan w:val="4"/>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11.</w:t>
            </w:r>
          </w:p>
        </w:tc>
        <w:tc>
          <w:tcPr>
            <w:tcW w:w="4380" w:type="dxa"/>
            <w:vAlign w:val="bottom"/>
            <w:gridSpan w:val="13"/>
          </w:tcPr>
          <w:p>
            <w:pPr>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Executive Compensation</w:t>
              </w:r>
            </w:hyperlink>
          </w:p>
        </w:tc>
        <w:tc>
          <w:tcPr>
            <w:tcW w:w="4180" w:type="dxa"/>
            <w:vAlign w:val="bottom"/>
            <w:gridSpan w:val="7"/>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68</w:t>
              </w:r>
            </w:hyperlink>
          </w:p>
        </w:tc>
      </w:tr>
      <w:tr>
        <w:trPr>
          <w:trHeight w:val="20"/>
        </w:trPr>
        <w:tc>
          <w:tcPr>
            <w:tcW w:w="1560" w:type="dxa"/>
            <w:vAlign w:val="bottom"/>
            <w:gridSpan w:val="4"/>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12.</w:t>
            </w:r>
          </w:p>
        </w:tc>
        <w:tc>
          <w:tcPr>
            <w:tcW w:w="8560" w:type="dxa"/>
            <w:vAlign w:val="bottom"/>
            <w:gridSpan w:val="20"/>
          </w:tcPr>
          <w:p>
            <w:pPr>
              <w:spacing w:after="0"/>
              <w:rPr>
                <w:rFonts w:ascii="Arial" w:cs="Arial" w:eastAsia="Arial" w:hAnsi="Arial"/>
                <w:sz w:val="18"/>
                <w:szCs w:val="18"/>
                <w:b w:val="1"/>
                <w:bCs w:val="1"/>
                <w:color w:val="0000EE"/>
                <w:w w:val="99"/>
              </w:rPr>
            </w:pPr>
            <w:hyperlink w:anchor="page116">
              <w:r>
                <w:rPr>
                  <w:rFonts w:ascii="Arial" w:cs="Arial" w:eastAsia="Arial" w:hAnsi="Arial"/>
                  <w:sz w:val="18"/>
                  <w:szCs w:val="18"/>
                  <w:b w:val="1"/>
                  <w:bCs w:val="1"/>
                  <w:color w:val="0000EE"/>
                  <w:w w:val="99"/>
                </w:rPr>
                <w:t>Security Ownership of Certain Beneficial Owners and Management and Related Stockholder Matters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69</w:t>
              </w:r>
            </w:hyperlink>
          </w:p>
        </w:tc>
      </w:tr>
      <w:tr>
        <w:trPr>
          <w:trHeight w:val="20"/>
        </w:trPr>
        <w:tc>
          <w:tcPr>
            <w:tcW w:w="1560" w:type="dxa"/>
            <w:vAlign w:val="bottom"/>
            <w:gridSpan w:val="4"/>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13.</w:t>
            </w:r>
          </w:p>
        </w:tc>
        <w:tc>
          <w:tcPr>
            <w:tcW w:w="7800" w:type="dxa"/>
            <w:vAlign w:val="bottom"/>
            <w:gridSpan w:val="18"/>
          </w:tcPr>
          <w:p>
            <w:pPr>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Certain Relationships and Related Transactions, and Director Independence</w:t>
              </w:r>
            </w:hyperlink>
          </w:p>
        </w:tc>
        <w:tc>
          <w:tcPr>
            <w:tcW w:w="760" w:type="dxa"/>
            <w:vAlign w:val="bottom"/>
            <w:gridSpan w:val="2"/>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69</w:t>
              </w:r>
            </w:hyperlink>
          </w:p>
        </w:tc>
      </w:tr>
      <w:tr>
        <w:trPr>
          <w:trHeight w:val="20"/>
        </w:trPr>
        <w:tc>
          <w:tcPr>
            <w:tcW w:w="1560" w:type="dxa"/>
            <w:vAlign w:val="bottom"/>
            <w:gridSpan w:val="4"/>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14.</w:t>
            </w:r>
          </w:p>
        </w:tc>
        <w:tc>
          <w:tcPr>
            <w:tcW w:w="3040" w:type="dxa"/>
            <w:vAlign w:val="bottom"/>
            <w:gridSpan w:val="10"/>
          </w:tcPr>
          <w:p>
            <w:pPr>
              <w:spacing w:after="0"/>
              <w:rPr>
                <w:rFonts w:ascii="Arial" w:cs="Arial" w:eastAsia="Arial" w:hAnsi="Arial"/>
                <w:sz w:val="18"/>
                <w:szCs w:val="18"/>
                <w:b w:val="1"/>
                <w:bCs w:val="1"/>
                <w:color w:val="0000EE"/>
                <w:w w:val="88"/>
              </w:rPr>
            </w:pPr>
            <w:hyperlink w:anchor="page116">
              <w:r>
                <w:rPr>
                  <w:rFonts w:ascii="Arial" w:cs="Arial" w:eastAsia="Arial" w:hAnsi="Arial"/>
                  <w:sz w:val="18"/>
                  <w:szCs w:val="18"/>
                  <w:b w:val="1"/>
                  <w:bCs w:val="1"/>
                  <w:color w:val="0000EE"/>
                  <w:w w:val="88"/>
                </w:rPr>
                <w:t>Principal Accounting Fees and Services</w:t>
              </w:r>
            </w:hyperlink>
          </w:p>
        </w:tc>
        <w:tc>
          <w:tcPr>
            <w:tcW w:w="2820" w:type="dxa"/>
            <w:vAlign w:val="bottom"/>
            <w:gridSpan w:val="5"/>
          </w:tcPr>
          <w:p>
            <w:pPr>
              <w:spacing w:after="0"/>
              <w:rPr>
                <w:sz w:val="24"/>
                <w:szCs w:val="24"/>
                <w:color w:val="auto"/>
              </w:rPr>
            </w:pPr>
          </w:p>
        </w:tc>
        <w:tc>
          <w:tcPr>
            <w:tcW w:w="2700" w:type="dxa"/>
            <w:vAlign w:val="bottom"/>
            <w:gridSpan w:val="5"/>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69</w:t>
              </w:r>
            </w:hyperlink>
          </w:p>
        </w:tc>
      </w:tr>
      <w:tr>
        <w:trPr>
          <w:trHeight w:val="20"/>
        </w:trPr>
        <w:tc>
          <w:tcPr>
            <w:tcW w:w="1560" w:type="dxa"/>
            <w:vAlign w:val="bottom"/>
            <w:gridSpan w:val="4"/>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15.</w:t>
            </w:r>
          </w:p>
        </w:tc>
        <w:tc>
          <w:tcPr>
            <w:tcW w:w="8560" w:type="dxa"/>
            <w:vAlign w:val="bottom"/>
            <w:gridSpan w:val="20"/>
          </w:tcPr>
          <w:p>
            <w:pPr>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Exhibits, Financial Statement Schedules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69</w:t>
              </w:r>
            </w:hyperlink>
          </w:p>
        </w:tc>
      </w:tr>
      <w:tr>
        <w:trPr>
          <w:trHeight w:val="20"/>
        </w:trPr>
        <w:tc>
          <w:tcPr>
            <w:tcW w:w="1560" w:type="dxa"/>
            <w:vAlign w:val="bottom"/>
            <w:gridSpan w:val="4"/>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16.</w:t>
            </w:r>
          </w:p>
        </w:tc>
        <w:tc>
          <w:tcPr>
            <w:tcW w:w="3080" w:type="dxa"/>
            <w:vAlign w:val="bottom"/>
            <w:gridSpan w:val="11"/>
          </w:tcPr>
          <w:p>
            <w:pPr>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Form 10-K Summary</w:t>
              </w:r>
            </w:hyperlink>
          </w:p>
        </w:tc>
        <w:tc>
          <w:tcPr>
            <w:tcW w:w="5480" w:type="dxa"/>
            <w:vAlign w:val="bottom"/>
            <w:gridSpan w:val="9"/>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74</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60"/>
          </w:cols>
          <w:pgMar w:left="280" w:top="931" w:right="5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175" w:lineRule="exact"/>
        <w:rPr>
          <w:sz w:val="20"/>
          <w:szCs w:val="20"/>
          <w:color w:val="auto"/>
        </w:rPr>
      </w:pPr>
    </w:p>
    <w:p>
      <w:pPr>
        <w:jc w:val="center"/>
        <w:ind w:left="400"/>
        <w:spacing w:after="0"/>
        <w:rPr>
          <w:sz w:val="20"/>
          <w:szCs w:val="20"/>
          <w:color w:val="auto"/>
        </w:rPr>
      </w:pPr>
      <w:r>
        <w:rPr>
          <w:rFonts w:ascii="Arial" w:cs="Arial" w:eastAsia="Arial" w:hAnsi="Arial"/>
          <w:sz w:val="16"/>
          <w:szCs w:val="16"/>
          <w:i w:val="1"/>
          <w:iCs w:val="1"/>
          <w:color w:val="auto"/>
        </w:rPr>
        <w:t>Unless the context otherwise indicates or requires, as used in this Annual Report on Form 10-K for the fiscal year ended March 31, 2019, references to:</w:t>
      </w:r>
    </w:p>
    <w:p>
      <w:pPr>
        <w:spacing w:after="0" w:line="46" w:lineRule="exact"/>
        <w:rPr>
          <w:sz w:val="20"/>
          <w:szCs w:val="20"/>
          <w:color w:val="auto"/>
        </w:rPr>
      </w:pPr>
    </w:p>
    <w:p>
      <w:pPr>
        <w:ind w:firstLine="8"/>
        <w:spacing w:after="0" w:line="252" w:lineRule="auto"/>
        <w:tabs>
          <w:tab w:leader="none" w:pos="21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and "Booz Allen" refer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2019. We have made rounding adjustments to reach some of the figures included in this Annual Report and, unless otherwise indicated, percentages presented in this Annual Report are approximate.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5" w:lineRule="exact"/>
        <w:rPr>
          <w:sz w:val="20"/>
          <w:szCs w:val="20"/>
          <w:color w:val="auto"/>
        </w:rPr>
      </w:pPr>
    </w:p>
    <w:p>
      <w:pPr>
        <w:ind w:left="540" w:right="40" w:hanging="316"/>
        <w:spacing w:after="0" w:line="26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efforts by Congress and other U.S. government bodies to reduce U.S. government spending and address budgetary constraints, including automatic sequestration required by the Budget Control Act of 2011 (as subsequently amended) and the U.S. deficit, as well as associated uncertainty around the timing, extent, nature and effect of such efforts;</w:t>
      </w:r>
    </w:p>
    <w:p>
      <w:pPr>
        <w:spacing w:after="0" w:line="19" w:lineRule="exact"/>
        <w:rPr>
          <w:rFonts w:ascii="Arial" w:cs="Arial" w:eastAsia="Arial" w:hAnsi="Arial"/>
          <w:sz w:val="18"/>
          <w:szCs w:val="18"/>
          <w:color w:val="auto"/>
        </w:rPr>
      </w:pPr>
    </w:p>
    <w:p>
      <w:pPr>
        <w:ind w:left="540" w:right="80" w:hanging="316"/>
        <w:spacing w:after="0" w:line="305"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delayed funding of our contracts due to uncertainty relating to funding of the U.S. government and a possible failure of Congressional efforts to approve such funding and to craft a long-term agreement on the U.S. government’s ability to incur indebtedness in excess of its current limits, or changes in the pattern or timing of government funding and spending (including those resulting from or related to cuts associated with sequestration);</w:t>
      </w:r>
    </w:p>
    <w:p>
      <w:pPr>
        <w:ind w:left="540" w:right="76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8" w:lineRule="exact"/>
        <w:rPr>
          <w:rFonts w:ascii="Arial" w:cs="Arial" w:eastAsia="Arial" w:hAnsi="Arial"/>
          <w:sz w:val="18"/>
          <w:szCs w:val="18"/>
          <w:color w:val="auto"/>
        </w:rPr>
      </w:pPr>
    </w:p>
    <w:p>
      <w:pPr>
        <w:ind w:left="540" w:right="460" w:hanging="316"/>
        <w:spacing w:after="0" w:line="298"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government shutdowns as a result of the failure by elected officials to fund the government;</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63" w:lineRule="exact"/>
        <w:rPr>
          <w:rFonts w:ascii="Arial" w:cs="Arial" w:eastAsia="Arial" w:hAnsi="Arial"/>
          <w:sz w:val="18"/>
          <w:szCs w:val="18"/>
          <w:color w:val="auto"/>
        </w:rPr>
      </w:pPr>
    </w:p>
    <w:p>
      <w:pPr>
        <w:ind w:left="540" w:right="300" w:hanging="316"/>
        <w:spacing w:after="0" w:line="298"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ind w:left="540" w:right="10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8"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74" w:lineRule="exact"/>
        <w:rPr>
          <w:rFonts w:ascii="Arial" w:cs="Arial" w:eastAsia="Arial" w:hAnsi="Arial"/>
          <w:sz w:val="17"/>
          <w:szCs w:val="17"/>
          <w:color w:val="auto"/>
        </w:rPr>
      </w:pPr>
    </w:p>
    <w:p>
      <w:pPr>
        <w:ind w:left="540" w:right="260" w:hanging="316"/>
        <w:spacing w:after="0" w:line="26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costs and other expenses or otherwise limit such reimbursements and an increased risk of compensation being deemed unreasonable and unallowable or payments being withheld as a result of U.S. government audit, review, or investigation;</w:t>
      </w:r>
    </w:p>
    <w:p>
      <w:pPr>
        <w:spacing w:after="0" w:line="19" w:lineRule="exact"/>
        <w:rPr>
          <w:rFonts w:ascii="Arial" w:cs="Arial" w:eastAsia="Arial" w:hAnsi="Arial"/>
          <w:sz w:val="18"/>
          <w:szCs w:val="18"/>
          <w:color w:val="auto"/>
        </w:rPr>
      </w:pPr>
    </w:p>
    <w:p>
      <w:pPr>
        <w:ind w:left="540" w:right="48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full value of and replenish our backlog, generate revenue under certain of our contracts, and the timing of our receipt of revenue under contracts included in backlog;</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and experience;</w:t>
      </w:r>
    </w:p>
    <w:p>
      <w:pPr>
        <w:spacing w:after="0" w:line="63" w:lineRule="exact"/>
        <w:rPr>
          <w:rFonts w:ascii="Arial" w:cs="Arial" w:eastAsia="Arial" w:hAnsi="Arial"/>
          <w:sz w:val="18"/>
          <w:szCs w:val="18"/>
          <w:color w:val="auto"/>
        </w:rPr>
      </w:pPr>
    </w:p>
    <w:p>
      <w:pPr>
        <w:ind w:left="540" w:right="18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inability to timely hire, assimilate and effectively utilize our employees, ensure that employees obtain and maintain necessary security clearances and/or effectively manage our cost structure;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688" w:right="259" w:bottom="1440" w:gutter="0" w:footer="0" w:header="0"/>
        </w:sectPr>
      </w:pPr>
    </w:p>
    <w:bookmarkStart w:id="4" w:name="page5"/>
    <w:bookmarkEnd w:id="4"/>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63" w:lineRule="exact"/>
        <w:rPr>
          <w:rFonts w:ascii="Arial" w:cs="Arial" w:eastAsia="Arial" w:hAnsi="Arial"/>
          <w:sz w:val="18"/>
          <w:szCs w:val="18"/>
          <w:color w:val="auto"/>
        </w:rPr>
      </w:pPr>
    </w:p>
    <w:p>
      <w:pPr>
        <w:ind w:left="540" w:right="54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8"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63"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8" w:lineRule="exact"/>
        <w:rPr>
          <w:rFonts w:ascii="Arial" w:cs="Arial" w:eastAsia="Arial" w:hAnsi="Arial"/>
          <w:sz w:val="18"/>
          <w:szCs w:val="18"/>
          <w:color w:val="auto"/>
        </w:rPr>
      </w:pPr>
    </w:p>
    <w:p>
      <w:pPr>
        <w:jc w:val="both"/>
        <w:ind w:left="540" w:right="120" w:hanging="316"/>
        <w:spacing w:after="0" w:line="26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19" w:lineRule="exact"/>
        <w:rPr>
          <w:rFonts w:ascii="Arial" w:cs="Arial" w:eastAsia="Arial" w:hAnsi="Arial"/>
          <w:sz w:val="18"/>
          <w:szCs w:val="18"/>
          <w:color w:val="auto"/>
        </w:rPr>
      </w:pPr>
    </w:p>
    <w:p>
      <w:pPr>
        <w:ind w:left="540" w:right="26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or internal cyber attacks on our network and internal systems;</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the potential implementation and operation of new financial management systems;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inherent in the government contracting environment;</w:t>
      </w:r>
    </w:p>
    <w:p>
      <w:pPr>
        <w:spacing w:after="0" w:line="63" w:lineRule="exact"/>
        <w:rPr>
          <w:rFonts w:ascii="Arial" w:cs="Arial" w:eastAsia="Arial" w:hAnsi="Arial"/>
          <w:sz w:val="18"/>
          <w:szCs w:val="18"/>
          <w:color w:val="auto"/>
        </w:rPr>
      </w:pPr>
    </w:p>
    <w:p>
      <w:pPr>
        <w:ind w:left="540" w:right="26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associated with increased competition, new relationships, clients, capabilities, and service offerings in our U.S. and international businesses;</w:t>
      </w:r>
    </w:p>
    <w:p>
      <w:pPr>
        <w:spacing w:after="0" w:line="86" w:lineRule="exact"/>
        <w:rPr>
          <w:rFonts w:ascii="Arial" w:cs="Arial" w:eastAsia="Arial" w:hAnsi="Arial"/>
          <w:sz w:val="16"/>
          <w:szCs w:val="16"/>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86" w:lineRule="exact"/>
        <w:rPr>
          <w:rFonts w:ascii="Arial" w:cs="Arial" w:eastAsia="Arial" w:hAnsi="Arial"/>
          <w:sz w:val="16"/>
          <w:szCs w:val="16"/>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63"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for any reason, including as a result of a change in laws or regulations;</w:t>
      </w:r>
    </w:p>
    <w:p>
      <w:pPr>
        <w:spacing w:after="0" w:line="63"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w:t>
      </w:r>
    </w:p>
    <w:p>
      <w:pPr>
        <w:spacing w:after="0" w:line="8" w:lineRule="exact"/>
        <w:rPr>
          <w:rFonts w:ascii="Arial" w:cs="Arial" w:eastAsia="Arial" w:hAnsi="Arial"/>
          <w:sz w:val="18"/>
          <w:szCs w:val="18"/>
          <w:color w:val="auto"/>
        </w:rPr>
      </w:pPr>
    </w:p>
    <w:p>
      <w:pPr>
        <w:ind w:left="540" w:right="320" w:hanging="316"/>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8"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Annual Report.</w:t>
      </w:r>
    </w:p>
    <w:p>
      <w:pPr>
        <w:spacing w:after="0" w:line="6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46"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For more than 100 years, business, government, and military leaders have turned to Booz Allen Hamilton to solve their most complex problems. A values-driven organization with a guiding purpose to empower people to change the world, we remain focused on providing long-term solutions to our clients’ emerging and ever-changing challenges. Our people are passionate about their service to our clients and their missions and the communities in which we live and work. This is our heritage, and it is as true today as when the Company was founded in 1914.</w:t>
      </w:r>
    </w:p>
    <w:p>
      <w:pPr>
        <w:spacing w:after="0" w:line="63"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A collaborative culture is an integral part of our unique operating model, which encourages our people to bring a diversity of ideas and talent to every client engagement. Building on our legacy of passionate client service and guided by our comprehensive Vision 2020 strategy, we blend deep expertise in management consulting with advanced technical capabilities to deliver powerful solutions. By investing in markets, capabilities, and talent and building new business models, including ventures, partnerships, and product offerings, we believe we are creating sustainable quality growth for the Company.</w:t>
      </w:r>
    </w:p>
    <w:p>
      <w:pPr>
        <w:spacing w:after="0" w:line="181"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Through our dedication to our clients' missions, and a commitment to evolving our business to address their needs, we have longstanding relationships with our clients, some more than 75 years. We support critical missions for a diverse base of federal government clients, including nearly all of the</w:t>
      </w:r>
    </w:p>
    <w:p>
      <w:pPr>
        <w:ind w:right="300"/>
        <w:spacing w:after="0" w:line="292" w:lineRule="auto"/>
        <w:rPr>
          <w:sz w:val="20"/>
          <w:szCs w:val="20"/>
          <w:color w:val="auto"/>
        </w:rPr>
      </w:pPr>
      <w:r>
        <w:rPr>
          <w:rFonts w:ascii="Arial" w:cs="Arial" w:eastAsia="Arial" w:hAnsi="Arial"/>
          <w:sz w:val="16"/>
          <w:szCs w:val="16"/>
          <w:color w:val="auto"/>
        </w:rPr>
        <w:t>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governmental efficiency to achieve better outcomes. We serve commercial clients across industries including aerospace, financial services, health and life sciences, energy, and transportation. Our international clients are primarily in the Middle East, and Southeast Asia.</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Corporate Structure</w:t>
      </w:r>
    </w:p>
    <w:p>
      <w:pPr>
        <w:spacing w:after="0" w:line="121"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the fields of analytics, digital solutions, engineering and cyber.</w:t>
      </w:r>
    </w:p>
    <w:p>
      <w:pPr>
        <w:spacing w:after="0" w:line="5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are organized and operate as a corporation, but sometimes use the term “partner” to refer to our Chief Executive Officer and our Senior and Executive Vice Presidents. The use of the term “partner” reflects our collaborative culture, and is not meant to imply that we operate our Company as, or have any intention to create a legal entity that is, a partnership.</w:t>
      </w:r>
    </w:p>
    <w:p>
      <w:pPr>
        <w:spacing w:after="0" w:line="73"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Booz Allen Holding was incorporated in Delaware in May 2008 to serve as the top-level holding company for the consolidated Booz Allen Hamilton U.S. government consulting business. On July 31, 2008, Booz Allen Hamilton completed the separation of its U.S. government consulting business from its legacy commercial and international consulting business, the spin-off of the commercial and international business, and the sale of 100% of its outstanding common stock to Booz Allen Holding, or the Carlyle Acquisition, which was majority owned by The Carlyle Group and certain of its affiliated investment funds, or Carlyle. Our Company is a corporation that is the successor to the U.S. government consulting business of Booz Allen Hamilton following the separation. Between 2013 and 2016, we registered the offering and sale of common stock by Carlyle, and on December 6, 2016, Carlyle disposed of its remaining shares of the Company's Class A Common Stock in a registered secondary offering.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Institution and Operating Model</w:t>
      </w:r>
    </w:p>
    <w:p>
      <w:pPr>
        <w:spacing w:after="0" w:line="121"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We operate as a single profit/loss center with a single bonus pool for leadership. Our operating model encourages collaboration allowing us to bring a mix of the best talent to every client engagement. Our partnership-style culture provides the operational flexibility necessary to quickly mobilize people and capabilities to react to market changes faster than our competitors. As a result, we can go to market as a whole firm rather than as a collection of individual competing business units or profit centers. Our operating model also encourages and enables continuous investment in the right markets, capabilities, and talent to position the Company for further growth by anticipating what government and commercial clients will need next.</w:t>
      </w:r>
    </w:p>
    <w:p>
      <w:pPr>
        <w:spacing w:after="0" w:line="5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Across all markets, we address our clients’ complex and evolving needs by deploying multifaceted teams with a combination of deep mission understanding, market-leading functional capabilities, consulting talent, and true technical and engineering expertise. These client-facing teams, which are fundamental to our differentiated value proposition, better position us to create market-relevant growth strategies and plan for and meet current, future, and prospective market needs. They also help us identify and deliver against diverse client needs in a more agile manner. Our significant win rates during fiscal 2019 on new and re-competed contracts of 60% and 83%, respectively, as compared to 63% and 87%, respectively, in fiscal 2018 demonstrate the strength of this approach.</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688"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People</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ability to deliver lasting value and results to our clients has always been, and continues to be, a product of the strong character, expertise and tremendous passion of our people. Our approximately 26,100 employees work to solve hard problems by making our clients’ missions their own, combining decades of consulting and domain expertise with functional expertise in areas such as analytics, digital solutions, engineering, and cybersecurity. Our talented people are supported by a culture of innovation, diversity, and inclusion.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people at a glance:</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81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Nearly 29% are veterans, including 18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85% hold bachelor’s degrees; approximately 40% hold master’s degrees; and approximately 3% hold doctoral degrees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66% hold security clearances</w:t>
      </w:r>
    </w:p>
    <w:p>
      <w:pPr>
        <w:spacing w:after="0" w:line="117"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We attract and retain the best people by providing them with opportunities to grow, build skills, and be appreciated for their contributions as they work on our clients’ toughest challenges. We continuously invest in elements of our employee value proposition to ensure we remain an employer of choice in a highly competitive talent marketplace. This value proposition creates a virtuous circle in which our employees know they are making a difference while growing their careers, which furthers their commitment to Booz Allen and makes them ambassadors for future talent. Booz Allen has always recognized the importance of our people and culture, and we continue to build on that strong legacy as we support our employees to meet their full potential.</w:t>
      </w:r>
    </w:p>
    <w:p>
      <w:pPr>
        <w:spacing w:after="0" w:line="50"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We also foster the spirit of innovation through events, partnerships, programs, and tools that facilitate collaboration to tackle a common challenge or pitch new products and capabilities. It is the diversity of our employees that fuels this innovation and enhances the way we work by bringing a wealth of experiences and expertise to any challenge. We celebrate difference in all forms, building an environment of diversity and inclusion regardless of ethnicity, religion, gender, sexual orientation, age or disability.</w:t>
      </w:r>
    </w:p>
    <w:p>
      <w:pPr>
        <w:spacing w:after="0" w:line="7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 xml:space="preserve">The importance we place on our people continues to receive external recognition. For the ninth consecutive year, Booz Allen has received a perfect score on the Corporate Equality Index (CEI), a national benchmarking survey on corporate policies and practices related to LGBTQ workplace equality administered by the Human Rights Campaign Foundation. In addition, for the fourth consecutive year, Booz Allen received a perfect score on the 2018 Disability Equality Index (DEI), and has been named a DEI "Best Place to Work." Vault.com ranked us as #1 in public sector consulting.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named us as one of the World’s Most Admired Companies and </w:t>
      </w:r>
      <w:r>
        <w:rPr>
          <w:rFonts w:ascii="Arial" w:cs="Arial" w:eastAsia="Arial" w:hAnsi="Arial"/>
          <w:sz w:val="17"/>
          <w:szCs w:val="17"/>
          <w:i w:val="1"/>
          <w:iCs w:val="1"/>
          <w:color w:val="auto"/>
        </w:rPr>
        <w:t>Forbes</w:t>
      </w:r>
      <w:r>
        <w:rPr>
          <w:rFonts w:ascii="Arial" w:cs="Arial" w:eastAsia="Arial" w:hAnsi="Arial"/>
          <w:sz w:val="17"/>
          <w:szCs w:val="17"/>
          <w:color w:val="auto"/>
        </w:rPr>
        <w:t xml:space="preserve"> selected us as one of the Best Employers for Women, a Best Management Consulting Firm, and a Best Employer for New Grads in 2018. We have also been honored with industry awards that showcase our employer brand, including "One of the 9 Best Management Consulting Firms" by </w:t>
      </w:r>
      <w:r>
        <w:rPr>
          <w:rFonts w:ascii="Arial" w:cs="Arial" w:eastAsia="Arial" w:hAnsi="Arial"/>
          <w:sz w:val="17"/>
          <w:szCs w:val="17"/>
          <w:i w:val="1"/>
          <w:iCs w:val="1"/>
          <w:color w:val="auto"/>
        </w:rPr>
        <w:t>Business Insider</w:t>
      </w:r>
      <w:r>
        <w:rPr>
          <w:rFonts w:ascii="Arial" w:cs="Arial" w:eastAsia="Arial" w:hAnsi="Arial"/>
          <w:sz w:val="17"/>
          <w:szCs w:val="17"/>
          <w:color w:val="auto"/>
        </w:rPr>
        <w:t xml:space="preserve">, "Top-Rated Workplace" and #11 ranked "Hottest Company for Job Seekers" by </w:t>
      </w:r>
      <w:r>
        <w:rPr>
          <w:rFonts w:ascii="Arial" w:cs="Arial" w:eastAsia="Arial" w:hAnsi="Arial"/>
          <w:sz w:val="17"/>
          <w:szCs w:val="17"/>
          <w:i w:val="1"/>
          <w:iCs w:val="1"/>
          <w:color w:val="auto"/>
        </w:rPr>
        <w:t>Indeed</w:t>
      </w:r>
      <w:r>
        <w:rPr>
          <w:rFonts w:ascii="Arial" w:cs="Arial" w:eastAsia="Arial" w:hAnsi="Arial"/>
          <w:sz w:val="17"/>
          <w:szCs w:val="17"/>
          <w:color w:val="auto"/>
        </w:rPr>
        <w:t xml:space="preserve">, "Best for Vets" by </w:t>
      </w:r>
      <w:r>
        <w:rPr>
          <w:rFonts w:ascii="Arial" w:cs="Arial" w:eastAsia="Arial" w:hAnsi="Arial"/>
          <w:sz w:val="17"/>
          <w:szCs w:val="17"/>
          <w:i w:val="1"/>
          <w:iCs w:val="1"/>
          <w:color w:val="auto"/>
        </w:rPr>
        <w:t>Military Times</w:t>
      </w:r>
      <w:r>
        <w:rPr>
          <w:rFonts w:ascii="Arial" w:cs="Arial" w:eastAsia="Arial" w:hAnsi="Arial"/>
          <w:sz w:val="17"/>
          <w:szCs w:val="17"/>
          <w:color w:val="auto"/>
        </w:rPr>
        <w:t xml:space="preserve">, "Working Mother Top 100", "Best Place to Work for New Dads" by </w:t>
      </w:r>
      <w:r>
        <w:rPr>
          <w:rFonts w:ascii="Arial" w:cs="Arial" w:eastAsia="Arial" w:hAnsi="Arial"/>
          <w:sz w:val="17"/>
          <w:szCs w:val="17"/>
          <w:i w:val="1"/>
          <w:iCs w:val="1"/>
          <w:color w:val="auto"/>
        </w:rPr>
        <w:t>Fatherly</w:t>
      </w:r>
      <w:r>
        <w:rPr>
          <w:rFonts w:ascii="Arial" w:cs="Arial" w:eastAsia="Arial" w:hAnsi="Arial"/>
          <w:sz w:val="17"/>
          <w:szCs w:val="17"/>
          <w:color w:val="auto"/>
        </w:rPr>
        <w:t xml:space="preserve">, #18 ranked "Best Places to Work in IT" by </w:t>
      </w:r>
      <w:r>
        <w:rPr>
          <w:rFonts w:ascii="Arial" w:cs="Arial" w:eastAsia="Arial" w:hAnsi="Arial"/>
          <w:sz w:val="17"/>
          <w:szCs w:val="17"/>
          <w:i w:val="1"/>
          <w:iCs w:val="1"/>
          <w:color w:val="auto"/>
        </w:rPr>
        <w:t>Computer World</w:t>
      </w:r>
      <w:r>
        <w:rPr>
          <w:rFonts w:ascii="Arial" w:cs="Arial" w:eastAsia="Arial" w:hAnsi="Arial"/>
          <w:sz w:val="17"/>
          <w:szCs w:val="17"/>
          <w:color w:val="auto"/>
        </w:rPr>
        <w:t xml:space="preserve"> and #17 ranked "Largest Global Defense Contractor" by </w:t>
      </w:r>
      <w:r>
        <w:rPr>
          <w:rFonts w:ascii="Arial" w:cs="Arial" w:eastAsia="Arial" w:hAnsi="Arial"/>
          <w:sz w:val="17"/>
          <w:szCs w:val="17"/>
          <w:i w:val="1"/>
          <w:iCs w:val="1"/>
          <w:color w:val="auto"/>
        </w:rPr>
        <w:t>DefenseNews</w:t>
      </w:r>
      <w:r>
        <w:rPr>
          <w:rFonts w:ascii="Arial" w:cs="Arial" w:eastAsia="Arial" w:hAnsi="Arial"/>
          <w:sz w:val="17"/>
          <w:szCs w:val="17"/>
          <w:color w:val="auto"/>
        </w:rPr>
        <w:t>.</w:t>
      </w:r>
    </w:p>
    <w:p>
      <w:pPr>
        <w:spacing w:after="0" w:line="74"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Beyond their client work, our people and our Company demonstrate passionate service in their commitment to our country, military, and communities. Our social impact strategy connects people, organizations, and communities with transformational innovation and technological solutions that power human potential and wider social impact in a spirit of passionate service. For example, we support a variety of organizations assisting veterans and military families, including supporting training in cyber and science, technology, engineering, and math (STEM) careers, and providing data analytics and other technology solutions in support of operations. Our partners include United Service Organization (USO) of Metropolitan Washington-Baltimore, the Hiring Our Heroes program of the U.S. Chamber of Commerce, and the Elizabeth Dole Foundation.</w:t>
      </w:r>
    </w:p>
    <w:p>
      <w:pPr>
        <w:spacing w:after="0" w:line="7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In the past year, we issued 465 "dollars for doers" volunteer service grants to approximately 390 nonprofit groups and schools to recognize employees who volunteered more than 40 hours per year to each of these organizations. Employees recorded more than 88,500 total hours of service during the year and donated generously (with donations matched by the firm) to the American Red Cross National Disaster Relief Fund, Team Rubicon, Good360 and the Booz Allen Foundation for disaster response in communities impacted by recent disasters across the United States. We deployed employees to use their technical and consulting skills to help nonprofits solve their biggest problems through pro bono initiatives for organizations such as the Kennedy Center for the Performing Arts, the Mission Continues, and the National Postal Museum.</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337" w:right="259" w:bottom="1440" w:gutter="0" w:footer="0" w:header="0"/>
        </w:sectPr>
      </w:pPr>
    </w:p>
    <w:bookmarkStart w:id="7" w:name="page8"/>
    <w:bookmarkEnd w:id="7"/>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Purpose and Values. </w:t>
      </w:r>
      <w:r>
        <w:rPr>
          <w:rFonts w:ascii="Arial" w:cs="Arial" w:eastAsia="Arial" w:hAnsi="Arial"/>
          <w:sz w:val="18"/>
          <w:szCs w:val="18"/>
          <w:color w:val="auto"/>
        </w:rPr>
        <w:t>As one of the first organizations in the United States to adopt a formal code of business ethics, we have always believed that doing</w:t>
      </w:r>
      <w:r>
        <w:rPr>
          <w:rFonts w:ascii="Arial" w:cs="Arial" w:eastAsia="Arial" w:hAnsi="Arial"/>
          <w:sz w:val="18"/>
          <w:szCs w:val="18"/>
          <w:i w:val="1"/>
          <w:iCs w:val="1"/>
          <w:color w:val="auto"/>
        </w:rPr>
        <w:t xml:space="preserve"> </w:t>
      </w:r>
      <w:r>
        <w:rPr>
          <w:rFonts w:ascii="Arial" w:cs="Arial" w:eastAsia="Arial" w:hAnsi="Arial"/>
          <w:sz w:val="18"/>
          <w:szCs w:val="18"/>
          <w:color w:val="auto"/>
        </w:rPr>
        <w:t>what’s right and holding ourselves and others accountable is the only way to do business. Our people exemplify our purpose to "empower people to change the world" and live our values:</w:t>
      </w:r>
    </w:p>
    <w:p>
      <w:pPr>
        <w:spacing w:after="0" w:line="100" w:lineRule="exact"/>
        <w:rPr>
          <w:sz w:val="20"/>
          <w:szCs w:val="20"/>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Ferocious Integrity: Do right; hold ourselves accountable</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Unflinching Courage: Speak truth to power; maintain convictions; bring bold thinking</w:t>
      </w:r>
    </w:p>
    <w:p>
      <w:pPr>
        <w:spacing w:after="0" w:line="157"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Passionate Service: Embrace the mission; build community through generosity; make meaningful connections; listen and act with empathy</w:t>
      </w:r>
    </w:p>
    <w:p>
      <w:pPr>
        <w:spacing w:after="0" w:line="169" w:lineRule="exact"/>
        <w:rPr>
          <w:rFonts w:ascii="Arial" w:cs="Arial" w:eastAsia="Arial" w:hAnsi="Arial"/>
          <w:sz w:val="17"/>
          <w:szCs w:val="17"/>
          <w:color w:val="auto"/>
        </w:rPr>
      </w:pPr>
    </w:p>
    <w:p>
      <w:pPr>
        <w:ind w:right="160" w:firstLine="413"/>
        <w:spacing w:after="0" w:line="324" w:lineRule="auto"/>
        <w:tabs>
          <w:tab w:leader="none" w:pos="71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Collective Ingenuity: Find the biggest problem and solve it; be resourceful and creative; seek to make the biggest difference; harness the power of diversity; be devoted to the team</w:t>
      </w:r>
    </w:p>
    <w:p>
      <w:pPr>
        <w:spacing w:after="0" w:line="62" w:lineRule="exact"/>
        <w:rPr>
          <w:rFonts w:ascii="Arial" w:cs="Arial" w:eastAsia="Arial" w:hAnsi="Arial"/>
          <w:sz w:val="18"/>
          <w:szCs w:val="18"/>
          <w:color w:val="auto"/>
        </w:rPr>
      </w:pPr>
    </w:p>
    <w:p>
      <w:pPr>
        <w:ind w:left="720" w:hanging="307"/>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Champion’s Heart: Crave being the best; bring joy to the pursuit; learn from failure; compete with passion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Service Offerings</w:t>
      </w:r>
    </w:p>
    <w:p>
      <w:pPr>
        <w:spacing w:after="0" w:line="121"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offer five functional service offerings, which are supported by continued investment and innovation, that drive our capacity to meet market demand today and into the future. We provide a range of technological capabilities that have had an enduring impact for our clients, our people, and the communities where we live and work.</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functional service offerings are summarized below:</w:t>
      </w:r>
    </w:p>
    <w:p>
      <w:pPr>
        <w:spacing w:after="0" w:line="117" w:lineRule="exact"/>
        <w:rPr>
          <w:sz w:val="20"/>
          <w:szCs w:val="20"/>
          <w:color w:val="auto"/>
        </w:rPr>
      </w:pPr>
    </w:p>
    <w:p>
      <w:pPr>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Consulting </w:t>
      </w:r>
      <w:r>
        <w:rPr>
          <w:rFonts w:ascii="Arial" w:cs="Arial" w:eastAsia="Arial" w:hAnsi="Arial"/>
          <w:sz w:val="17"/>
          <w:szCs w:val="17"/>
          <w:color w:val="auto"/>
        </w:rPr>
        <w:t>focuses on the talent and expertise needed to solve client problems and develop mission-oriented solutions for specific domains,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strategies, human capital, and operations through new and innovative approaches. We help clients boost organizational performance, deploy new technologies in smart ways, and change and streamline processes to achieve better outcomes.</w:t>
      </w:r>
    </w:p>
    <w:p>
      <w:pPr>
        <w:spacing w:after="0" w:line="57" w:lineRule="exact"/>
        <w:rPr>
          <w:rFonts w:ascii="Arial" w:cs="Arial" w:eastAsia="Arial" w:hAnsi="Arial"/>
          <w:sz w:val="17"/>
          <w:szCs w:val="17"/>
          <w:color w:val="auto"/>
        </w:rPr>
      </w:pPr>
    </w:p>
    <w:p>
      <w:pPr>
        <w:jc w:val="both"/>
        <w:ind w:left="660" w:right="380" w:hanging="328"/>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Analytics </w:t>
      </w:r>
      <w:r>
        <w:rPr>
          <w:rFonts w:ascii="Arial" w:cs="Arial" w:eastAsia="Arial" w:hAnsi="Arial"/>
          <w:sz w:val="16"/>
          <w:szCs w:val="16"/>
          <w:color w:val="auto"/>
        </w:rPr>
        <w:t>focuses on delivering transformational solutions in the areas of decision analytics (including operations research and cost estimation),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automation, and data science (including predictive modeling and machine learning) as well as new or emerging areas such as deep learning and artificial intelligence. We pioneer new approaches to apply analytical technology to clients' problems, draft industry-defining publications, and introduce transformative products such as graphics processing unit (GPU) accelerated deep learning software to the market.</w:t>
      </w:r>
    </w:p>
    <w:p>
      <w:pPr>
        <w:spacing w:after="0" w:line="100" w:lineRule="exact"/>
        <w:rPr>
          <w:rFonts w:ascii="Arial" w:cs="Arial" w:eastAsia="Arial" w:hAnsi="Arial"/>
          <w:sz w:val="16"/>
          <w:szCs w:val="16"/>
          <w:color w:val="auto"/>
        </w:rPr>
      </w:pPr>
    </w:p>
    <w:p>
      <w:pPr>
        <w:ind w:left="660" w:right="320" w:hanging="328"/>
        <w:spacing w:after="0" w:line="27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 Solutions </w:t>
      </w:r>
      <w:r>
        <w:rPr>
          <w:rFonts w:ascii="Arial" w:cs="Arial" w:eastAsia="Arial" w:hAnsi="Arial"/>
          <w:sz w:val="17"/>
          <w:szCs w:val="17"/>
          <w:color w:val="auto"/>
        </w:rPr>
        <w:t>combines the power of modern systems development techniques and cloud platforms with the power of machine learning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transform customer and mission experiences. We blend in-depth client mission understanding and digital technical expertise with a consultative approach. We develop, design, and implement powerful solutions built on contemporary methodologies and modern architectures. We accelerate clients to open, cloud native environments, where capability can be securely developed and deployed at scale, and effort allocated toward data management challenges is redirected to analysis and insights.</w:t>
      </w:r>
    </w:p>
    <w:p>
      <w:pPr>
        <w:spacing w:after="0" w:line="64" w:lineRule="exact"/>
        <w:rPr>
          <w:rFonts w:ascii="Arial" w:cs="Arial" w:eastAsia="Arial" w:hAnsi="Arial"/>
          <w:sz w:val="17"/>
          <w:szCs w:val="17"/>
          <w:color w:val="auto"/>
        </w:rPr>
      </w:pPr>
    </w:p>
    <w:p>
      <w:pPr>
        <w:ind w:left="660" w:right="4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Engineering </w:t>
      </w:r>
      <w:r>
        <w:rPr>
          <w:rFonts w:ascii="Arial" w:cs="Arial" w:eastAsia="Arial" w:hAnsi="Arial"/>
          <w:sz w:val="17"/>
          <w:szCs w:val="17"/>
          <w:color w:val="auto"/>
        </w:rPr>
        <w:t>delivers engineering services and solutions to define, develop, implement, sustain, and modernize complex physical systems.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 mature engineering methodologies to solve our clients' most complex problems. We bring a holistic understanding of client needs and technical strategy as well as policy experts to deliver purpose-fit solutions to problems. Our engineering capabilities include external industry standard certifications (e.g., International Organization for Standardization 90001 and AS9100).</w:t>
      </w:r>
    </w:p>
    <w:p>
      <w:pPr>
        <w:spacing w:after="0" w:line="63" w:lineRule="exact"/>
        <w:rPr>
          <w:rFonts w:ascii="Arial" w:cs="Arial" w:eastAsia="Arial" w:hAnsi="Arial"/>
          <w:sz w:val="17"/>
          <w:szCs w:val="17"/>
          <w:color w:val="auto"/>
        </w:rPr>
      </w:pPr>
    </w:p>
    <w:p>
      <w:pPr>
        <w:ind w:left="660" w:right="4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Cyber </w:t>
      </w:r>
      <w:r>
        <w:rPr>
          <w:rFonts w:ascii="Arial" w:cs="Arial" w:eastAsia="Arial" w:hAnsi="Arial"/>
          <w:sz w:val="18"/>
          <w:szCs w:val="18"/>
          <w:color w:val="auto"/>
        </w:rPr>
        <w:t>focuses on active prevention, detection, and cost effectiveness. Active prevention includes methods of securing platforms and enterprises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cyber attacks. Detection is the instrumentation of networks to provide lead indicators of penetrations. Cost effectiveness includes our integrated engineering capabilities. Our cyber capabilities are rooted in decades of service to the U.S. federal intelligence community and today afford us the opportunity to maintain technical expertise in network security. With decades of mission intelligence combined with the most advanced tools available, we help clients understand the business value of cyber risk management and prepare for future cybersecurity needs with a lens toward efficiency and effectiveness.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 and Solutions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developing transformative solutions that build lasting value for our clients and drive focused innovation to seed next generation businesses in the areas of artificial intelligence, immersive technologies, secure mobility, advanced engineering (such as directed energy), and customer-centric modern digital platforms. We are advancing and creating the infrastructure and mechanics for new and disruptive business models by enabling a vibrant innovation culture, bringing a solutions mindset to our marketplace and sales force, and by building the Company’s presence and brand in the external innovation ecosystem. As a gateway to driving innovation, our solutions combine market-prioritized needs with the Company’s capabilities and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800" w:right="259" w:bottom="1440" w:gutter="0" w:footer="0" w:header="0"/>
        </w:sectPr>
      </w:pPr>
    </w:p>
    <w:bookmarkStart w:id="8" w:name="page9"/>
    <w:bookmarkEnd w:id="8"/>
    <w:p>
      <w:pPr>
        <w:ind w:right="120"/>
        <w:spacing w:after="0" w:line="277" w:lineRule="auto"/>
        <w:rPr>
          <w:sz w:val="20"/>
          <w:szCs w:val="20"/>
          <w:color w:val="auto"/>
        </w:rPr>
      </w:pPr>
      <w:r>
        <w:rPr>
          <w:rFonts w:ascii="Arial" w:cs="Arial" w:eastAsia="Arial" w:hAnsi="Arial"/>
          <w:sz w:val="18"/>
          <w:szCs w:val="18"/>
          <w:color w:val="auto"/>
        </w:rPr>
        <w:t>These solutions enhance future revenue opportunities, monetize the firm's intellectual property, and create differentiated business models and sales channels to drive greater value for our clients.</w:t>
      </w:r>
    </w:p>
    <w:p>
      <w:pPr>
        <w:spacing w:after="0" w:line="6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addition, we are an essential partner in regional innovation communities all over the country. Through our innovation ecosystem, we are focused on solution co-creation and technology scouting, and are physically co-locating, co-creating, mentoring, incubating, contributing, and investing with organizations in Washington, D.C.; Boston, Massachusetts; Austin, Texas; San Francisco, California; and from Seattle, Washington to San Diego, California (the corridor of venture capitalists and digital powerhouses), with hubs in Herndon, Virginia, Laurel, Maryland, and Charleston, South Carolina. We harness next-generation technologies being created in academic, startup, and big technology firms to imagine and incubate new offerings, solutions, and growth for the Company.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21"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Vision 2020 is a comprehensive strategy to transform Booz Allen and create sustainable quality growth for the Company. Fiscal 2019 was the sixth year of implementing the strategy, but its design reaches back to before the government market began to contract in 2011 and 2012. We anticipated the market downturn and set in place a strategy that would allow us to emerge in a strong position vis-à-vis our competitors. Under Vision 2020, we are:</w:t>
      </w:r>
    </w:p>
    <w:p>
      <w:pPr>
        <w:spacing w:after="0" w:line="3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Moving closer to the center of our clients’ core missions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technical content of our work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Attracting and retaining superior talent in diverse areas of expertise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Leveraging innovation to deliver complex, differentiated, end-to-end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Creating a broad network of external partners and alliances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into the commercial and international markets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success of our strategy can be seen in:</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Backlog growth, which achieved record levels during fiscal 2019</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Headcount growth and a corresponding shift in our talent portfolio to more technical expertise in disciplines such as systems development, cyber, and analytics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growth in the global commercial market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Execution against our capability focused acquisition strategy.</w:t>
      </w:r>
    </w:p>
    <w:p>
      <w:pPr>
        <w:spacing w:after="0" w:line="117"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To support our success against our Vision 2020 long-term strategy, we are considering and have taken steps in preparation for the implementation of new financial management systems to, among other things, support business growth and facilitate the exploration of new lines of business in the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21" w:lineRule="exact"/>
        <w:rPr>
          <w:sz w:val="20"/>
          <w:szCs w:val="20"/>
          <w:color w:val="auto"/>
        </w:rPr>
      </w:pPr>
    </w:p>
    <w:p>
      <w:pPr>
        <w:jc w:val="both"/>
        <w:ind w:right="480" w:firstLine="405"/>
        <w:spacing w:after="0" w:line="277" w:lineRule="auto"/>
        <w:rPr>
          <w:sz w:val="20"/>
          <w:szCs w:val="20"/>
          <w:color w:val="auto"/>
        </w:rPr>
      </w:pPr>
      <w:r>
        <w:rPr>
          <w:rFonts w:ascii="Arial" w:cs="Arial" w:eastAsia="Arial" w:hAnsi="Arial"/>
          <w:sz w:val="18"/>
          <w:szCs w:val="18"/>
          <w:color w:val="auto"/>
        </w:rPr>
        <w:t>Booz Allen is committed to solving our clients’ toughest challenges, and we work with a diverse base of public and private sector clients across a number of industries, in the U.S. and internationally.</w:t>
      </w:r>
    </w:p>
    <w:p>
      <w:pPr>
        <w:spacing w:after="0" w:line="62" w:lineRule="exact"/>
        <w:rPr>
          <w:sz w:val="20"/>
          <w:szCs w:val="20"/>
          <w:color w:val="auto"/>
        </w:rPr>
      </w:pPr>
    </w:p>
    <w:p>
      <w:pPr>
        <w:jc w:val="both"/>
        <w:ind w:right="480" w:firstLine="405"/>
        <w:spacing w:after="0" w:line="264" w:lineRule="auto"/>
        <w:rPr>
          <w:sz w:val="20"/>
          <w:szCs w:val="20"/>
          <w:color w:val="auto"/>
        </w:rPr>
      </w:pPr>
      <w:r>
        <w:rPr>
          <w:rFonts w:ascii="Arial" w:cs="Arial" w:eastAsia="Arial" w:hAnsi="Arial"/>
          <w:sz w:val="18"/>
          <w:szCs w:val="18"/>
          <w:color w:val="auto"/>
        </w:rPr>
        <w:t>Our clients call us to work on their hardest problems, such as delivering effective healthcare, protecting soldiers in combat and their families, and keeping our national infrastructure secure. We are investing in markets, capabilities, and talent and are building new business models through strategic ventures, partnerships, and product offerings.</w:t>
      </w:r>
    </w:p>
    <w:p>
      <w:pPr>
        <w:spacing w:after="0" w:line="7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government clients include substantially all of the cabinet-level departments of the U.S government. We serve commercial clients across industries including financial services, health and life sciences, energy, and transportation to solve their hardest and most sophisticated challenges, including cybersecurity challenges, and have a thriving portfolio of international clients in the Middle East and Southeast Asia.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Large Addressable Market</w:t>
      </w:r>
    </w:p>
    <w:p>
      <w:pPr>
        <w:spacing w:after="0" w:line="117"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We believe that the U.S government is the world’s largest consumer of management and technology consulting services. The U.S. government’s total spending for its fiscal year ended September 30, 2018 was close to $4.1 trillion, excluding authorizations from Overseas Contingency Operations and supplemental funding for the Department of Defense. Of this amount, approximately $1.4 trillion was for discretionary budget authority, including $701 billion for the Department of Defense and intelligence community and $722 billion for civil agencies. Based on data from the Federal Procurement Data System, approximately $555 billion of the U.S. government’s fiscal year 2018 discretionary outlays were non-intelligence agency funding-related products and services procured from private contractors. We estimate that $137.3 billion of the spending</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800" w:right="29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directed toward private contractors in U.S. government fiscal year 2018 was for management, technology, and engineering services, with $76.3 billion spent by the Department of Defense and $61.0 billion spent by civil agencies. The agencies of the U.S. intelligence community that we serve represent an additional market. These numbers also exclude a large addressable market for our services and capabilities in the global commercial markets where we have a modest but growing footprint.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Highlights of Booz Allen’s fiscal 2019 are as follows:</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derived 96% of our revenue from contracts where the end client was an agency or department of the U.S. government.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delivered services under 4,709 contracts and task orders.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derived 92% of our revenue in fiscal 2019 from engagements for which we acted as the prime contractor.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derived 13% of our revenue in fiscal 2019 from the Navy Marine Corps, which was the single largest client that we served in that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Long-Term Client Relationships</w:t>
      </w: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Relationship</w:t>
            </w:r>
          </w:p>
        </w:tc>
        <w:tc>
          <w:tcPr>
            <w:tcW w:w="0" w:type="dxa"/>
            <w:vAlign w:val="bottom"/>
          </w:tcPr>
          <w:p>
            <w:pPr>
              <w:spacing w:after="0"/>
              <w:rPr>
                <w:sz w:val="1"/>
                <w:szCs w:val="1"/>
                <w:color w:val="auto"/>
              </w:rPr>
            </w:pPr>
          </w:p>
        </w:tc>
      </w:tr>
      <w:tr>
        <w:trPr>
          <w:trHeight w:val="149"/>
        </w:trPr>
        <w:tc>
          <w:tcPr>
            <w:tcW w:w="5940" w:type="dxa"/>
            <w:vAlign w:val="bottom"/>
            <w:vMerge w:val="restart"/>
          </w:tcPr>
          <w:p>
            <w:pPr>
              <w:spacing w:after="0"/>
              <w:rPr>
                <w:sz w:val="20"/>
                <w:szCs w:val="20"/>
                <w:color w:val="auto"/>
              </w:rPr>
            </w:pPr>
            <w:r>
              <w:rPr>
                <w:rFonts w:ascii="Arial" w:cs="Arial" w:eastAsia="Arial" w:hAnsi="Arial"/>
                <w:sz w:val="14"/>
                <w:szCs w:val="14"/>
                <w:b w:val="1"/>
                <w:bCs w:val="1"/>
                <w:color w:val="auto"/>
              </w:rPr>
              <w:t>Client (1)</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Length</w:t>
            </w:r>
          </w:p>
        </w:tc>
        <w:tc>
          <w:tcPr>
            <w:tcW w:w="0" w:type="dxa"/>
            <w:vAlign w:val="bottom"/>
          </w:tcPr>
          <w:p>
            <w:pPr>
              <w:spacing w:after="0"/>
              <w:rPr>
                <w:sz w:val="1"/>
                <w:szCs w:val="1"/>
                <w:color w:val="auto"/>
              </w:rPr>
            </w:pPr>
          </w:p>
        </w:tc>
      </w:tr>
      <w:tr>
        <w:trPr>
          <w:trHeight w:val="192"/>
        </w:trPr>
        <w:tc>
          <w:tcPr>
            <w:tcW w:w="5940" w:type="dxa"/>
            <w:vAlign w:val="bottom"/>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0"/>
                <w:szCs w:val="20"/>
                <w:color w:val="auto"/>
              </w:rPr>
            </w:pPr>
            <w:r>
              <w:rPr>
                <w:rFonts w:ascii="Arial" w:cs="Arial" w:eastAsia="Arial" w:hAnsi="Arial"/>
                <w:sz w:val="18"/>
                <w:szCs w:val="18"/>
                <w:color w:val="auto"/>
              </w:rPr>
              <w:t>U.S. Navy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75+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U.S. Army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70+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Department of Energy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40+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U.S. Air Force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40+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National Security Agency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Department of Homeland Security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Federal Bureau of Investigation</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25+</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Department of Health and Human Services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National Reconnaissance Office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A U.S. intelligence agency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Arial" w:cs="Arial" w:eastAsia="Arial" w:hAnsi="Arial"/>
                <w:sz w:val="18"/>
                <w:szCs w:val="18"/>
                <w:color w:val="auto"/>
              </w:rPr>
              <w:t>Internal Revenue Service</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Includes predecessor organizations.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 and Intelligence Clients</w:t>
      </w:r>
    </w:p>
    <w:p>
      <w:pPr>
        <w:spacing w:after="0" w:line="117"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We help our military services take on new missions, tackle acquisition and budgeting challenges, and address the medical needs of soldiers in combat. We also help our defense and intelligence clients adopt innovative technologies by bringing tools, techniques, and expertise to challenges and applying them in innovative ways.</w:t>
      </w:r>
    </w:p>
    <w:p>
      <w:pPr>
        <w:spacing w:after="0" w:line="73"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The men and women we hire have served their country and have the experience and determination to help our defense clients keep our nation safe. Our technologists and innovators work alongside our experts in strategy development, acquisition, and operations to help commanders and their staffs in the field share mission-critical information and make crucial battlefield decisions.</w:t>
      </w:r>
    </w:p>
    <w:p>
      <w:pPr>
        <w:spacing w:after="0" w:line="73"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count among our many defense and intelligence clients all four branches of the U.S. military, the Office of the Secretary of Defense, the Joint Staff and members of the intelligence community. Our key defense clients include the Army, Navy/Marine Corps, Air Force, and Joint Combatant Commands. Our key intelligence clients include U.S. intelligence agencies</w:t>
      </w:r>
      <w:r>
        <w:rPr>
          <w:rFonts w:ascii="Arial" w:cs="Arial" w:eastAsia="Arial" w:hAnsi="Arial"/>
          <w:sz w:val="18"/>
          <w:szCs w:val="18"/>
          <w:i w:val="1"/>
          <w:iCs w:val="1"/>
          <w:color w:val="auto"/>
        </w:rPr>
        <w:t>,</w:t>
      </w:r>
      <w:r>
        <w:rPr>
          <w:rFonts w:ascii="Arial" w:cs="Arial" w:eastAsia="Arial" w:hAnsi="Arial"/>
          <w:sz w:val="18"/>
          <w:szCs w:val="18"/>
          <w:color w:val="auto"/>
        </w:rPr>
        <w:t xml:space="preserve"> such as the National Security Agency, National Geospatial-Intelligence Agency, and National Reconnaissance Office, and military intelligence agencies</w:t>
      </w:r>
      <w:r>
        <w:rPr>
          <w:rFonts w:ascii="Arial" w:cs="Arial" w:eastAsia="Arial" w:hAnsi="Arial"/>
          <w:sz w:val="18"/>
          <w:szCs w:val="18"/>
          <w:i w:val="1"/>
          <w:iCs w:val="1"/>
          <w:color w:val="auto"/>
        </w:rPr>
        <w:t>,</w:t>
      </w:r>
      <w:r>
        <w:rPr>
          <w:rFonts w:ascii="Arial" w:cs="Arial" w:eastAsia="Arial" w:hAnsi="Arial"/>
          <w:sz w:val="18"/>
          <w:szCs w:val="18"/>
          <w:color w:val="auto"/>
        </w:rPr>
        <w:t xml:space="preserve"> such as the Defense Intelligence Agency, Service Intelligence Centers, and Intelligence Surveillance Reconnaissance units.</w:t>
      </w:r>
    </w:p>
    <w:p>
      <w:pPr>
        <w:spacing w:after="0" w:line="80"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Revenue generated from defense clients was $3.1 billion, or approximately 46.6% of our revenue in fiscal 2019 as compared to $2.8 billion, or approximately 45.9% of our revenue in fiscal 2018. Revenue generated from defense clients also includes foreign military sales to non-U.S. government clients. Revenue generated from intelligence clients was $1.6 billion, or approximately 23.4% of our revenue in fiscal 2019 as compared to $1.5 billion, or approximately 24.2% of our revenue in fiscal 2018.</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Civil Clients</w:t>
      </w:r>
    </w:p>
    <w:p>
      <w:pPr>
        <w:spacing w:after="0" w:line="117" w:lineRule="exact"/>
        <w:rPr>
          <w:sz w:val="20"/>
          <w:szCs w:val="20"/>
          <w:color w:val="auto"/>
        </w:rPr>
      </w:pPr>
    </w:p>
    <w:p>
      <w:pPr>
        <w:ind w:right="360" w:firstLine="405"/>
        <w:spacing w:after="0" w:line="312" w:lineRule="auto"/>
        <w:rPr>
          <w:sz w:val="20"/>
          <w:szCs w:val="20"/>
          <w:color w:val="auto"/>
        </w:rPr>
      </w:pPr>
      <w:r>
        <w:rPr>
          <w:rFonts w:ascii="Arial" w:cs="Arial" w:eastAsia="Arial" w:hAnsi="Arial"/>
          <w:sz w:val="16"/>
          <w:szCs w:val="16"/>
          <w:color w:val="auto"/>
        </w:rPr>
        <w:t>Whether ensuring the safety, security, and well-being of citizens, or boosting national competitiveness, we work with leaders in civil government to support their public service missions. We excel at tackling the most complex challenges from reforming financial regulatory oversight and evolving our healthcare system to improving information sharing among law enforcement organizations and supporting green building initiatives.</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work with leaders so they make better decisions and foster better user experiences both inside and outside of their organizations.</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work spans the full breadth of civil government, including energy and the environment, financial services, health, homeland security, law enforcement, transportation, grants, international development and diplomacy, and benefits and entitlements. Our major civil government clients include the Departments of Homeland Security, Health and Human Services, Veterans Affairs, Treasury, and Justice.</w:t>
      </w:r>
    </w:p>
    <w:p>
      <w:pPr>
        <w:spacing w:after="0" w:line="73"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Revenue generated from civil government was $1.8 billion, or approximately 26.3% of our revenue in fiscal 2019 as compared to $1.6 billion, or approximately 26.7% of our revenue in fiscal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Commercial Clients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Global commercial clients are comprised of U.S. commercial and international clients.</w:t>
      </w:r>
    </w:p>
    <w:p>
      <w:pPr>
        <w:spacing w:after="0" w:line="117" w:lineRule="exact"/>
        <w:rPr>
          <w:sz w:val="20"/>
          <w:szCs w:val="20"/>
          <w:color w:val="auto"/>
        </w:rPr>
      </w:pPr>
    </w:p>
    <w:p>
      <w:pPr>
        <w:jc w:val="both"/>
        <w:ind w:right="100" w:firstLine="405"/>
        <w:spacing w:after="0" w:line="286" w:lineRule="auto"/>
        <w:rPr>
          <w:sz w:val="20"/>
          <w:szCs w:val="20"/>
          <w:color w:val="auto"/>
        </w:rPr>
      </w:pPr>
      <w:r>
        <w:rPr>
          <w:rFonts w:ascii="Arial" w:cs="Arial" w:eastAsia="Arial" w:hAnsi="Arial"/>
          <w:sz w:val="17"/>
          <w:szCs w:val="17"/>
          <w:color w:val="auto"/>
        </w:rPr>
        <w:t>For our commercial clients, we combine our consulting heritage with cybersecurity practitioner experience gained from cyber incidents and challenges in the public and private sectors to deliver market-leading cyber defense solutions that include consulting and managed service. We serve commercial clients in a variety of industries including aerospace, financial services, health and life sciences, and energy and transportation.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our international clients, we work alongside public and private sector leaders to help shape and execute their critical agendas.</w:t>
      </w:r>
    </w:p>
    <w:p>
      <w:pPr>
        <w:spacing w:after="0" w:line="11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Following the 2011 expiration of our non-competition agreement with our spun-off commercial business, we re-entered the Middle East and North Africa (MENA) and Southeast Asia (SEA) markets. We originally established our international offices located in MENA more than six decades ago and our offices in SEA more than three decades ago. Since re-entering these markets, our strategy and technology consultants have empowered our clients in these regions with the knowledge and experience they need to build their own local resources and capabilities.</w:t>
      </w:r>
    </w:p>
    <w:p>
      <w:pPr>
        <w:spacing w:after="0" w:line="63"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Revenue generated from global commercial clients was $261.6 million, or approximately 3.8% of our revenue in fiscal 2019 as compared to $198.1 million, or approximately 3.2% of our revenue in fiscal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12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Booz Allen’s approach has long been to ensure that we have prime or subcontractor positions on a wide range of contracts that allow clients maximum opportunity to access our services. Our diverse contract base provides stability to our business. This diversity shows that more than 74% of our revenue for fiscal 2019 was derived from 3,610 active task orders under indefinite delivery/indefinite quantity (IDIQ) contract vehicles. Our top IDIQ contract vehicle represented approximately 8.3% of our revenue in fiscal 2019. Our largest task order under an IDIQ contract vehicle accounted for approximately 3.8% of our revenue in fiscal 2019. Our largest definite contract represented approximately 2.8% of our revenue in fiscal 2019.</w:t>
      </w:r>
    </w:p>
    <w:p>
      <w:pPr>
        <w:spacing w:after="0" w:line="6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U.S. government procures services through two predominant contracting methods: indefinite contract vehicles and definite contracts. Each of these is described below:</w:t>
      </w:r>
    </w:p>
    <w:p>
      <w:pPr>
        <w:spacing w:after="0" w:line="62" w:lineRule="exact"/>
        <w:rPr>
          <w:sz w:val="20"/>
          <w:szCs w:val="20"/>
          <w:color w:val="auto"/>
        </w:rPr>
      </w:pPr>
    </w:p>
    <w:p>
      <w:pPr>
        <w:ind w:left="640" w:right="60" w:hanging="321"/>
        <w:spacing w:after="0" w:line="25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Indefinite contract vehicles provide for the issuance by the client of orders for services or products under the terms of the contract. Indefinite contracts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81" w:lineRule="exact"/>
        <w:rPr>
          <w:rFonts w:ascii="Arial" w:cs="Arial" w:eastAsia="Arial" w:hAnsi="Arial"/>
          <w:sz w:val="18"/>
          <w:szCs w:val="18"/>
          <w:color w:val="auto"/>
        </w:rPr>
      </w:pPr>
    </w:p>
    <w:p>
      <w:pPr>
        <w:ind w:left="640" w:right="40" w:hanging="321"/>
        <w:spacing w:after="0" w:line="276"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how it will procure those services or products. During the acquisition process, the agency may release a request for information to determine if qualified bidders exist, a draft request for a proposal to allow the industry to comment on the scope of work and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00" w:right="259" w:bottom="1440" w:gutter="0" w:footer="0" w:header="0"/>
        </w:sectPr>
      </w:pPr>
    </w:p>
    <w:bookmarkStart w:id="11" w:name="page12"/>
    <w:bookmarkEnd w:id="11"/>
    <w:p>
      <w:pPr>
        <w:ind w:left="640" w:right="80"/>
        <w:spacing w:after="0" w:line="324" w:lineRule="auto"/>
        <w:rPr>
          <w:sz w:val="20"/>
          <w:szCs w:val="20"/>
          <w:color w:val="auto"/>
        </w:rPr>
      </w:pPr>
      <w:r>
        <w:rPr>
          <w:rFonts w:ascii="Arial" w:cs="Arial" w:eastAsia="Arial" w:hAnsi="Arial"/>
          <w:sz w:val="18"/>
          <w:szCs w:val="18"/>
          <w:color w:val="auto"/>
        </w:rPr>
        <w:t>acquisition strategy, and finally a formal request for a proposal. Following the evaluation of submitted proposals, the agency will award the contract to the winning bidder.</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Listed below are our top IDIQ contracts for fiscal 2019 and the number of active task orders under these contracts as of March 31, 2019</w:t>
      </w:r>
      <w:r>
        <w:rPr>
          <w:rFonts w:ascii="Arial" w:cs="Arial" w:eastAsia="Arial" w:hAnsi="Arial"/>
          <w:sz w:val="16"/>
          <w:szCs w:val="16"/>
          <w:color w:val="auto"/>
        </w:rPr>
        <w:t>.</w:t>
      </w:r>
    </w:p>
    <w:p>
      <w:pPr>
        <w:spacing w:after="0" w:line="258"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Fiscal</w:t>
            </w:r>
          </w:p>
        </w:tc>
        <w:tc>
          <w:tcPr>
            <w:tcW w:w="120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Task Orders</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as of</w:t>
            </w:r>
          </w:p>
        </w:tc>
        <w:tc>
          <w:tcPr>
            <w:tcW w:w="14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 xml:space="preserve">Expiration Date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2"/>
              </w:rPr>
              <w:t>2019 Revenue</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March 31, 2019</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 Acquisition Solution for Integrated 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9/2/2024</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Booz Allen Engineering Services - Alliant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536.5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4/30/2019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System Engineering and Analysis/Advanced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Support</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12/31/2019</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Defense Systems Technical Area Tasks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6/22/2019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Services Schedule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9/30/2035</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Chief Information officer - Solutions &amp; Partners 3</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5/31/2022</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Information Technology Schedule 70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3/22/2019</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Transformation Twenty-One Total Technology Next</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Generation</w:t>
            </w:r>
          </w:p>
        </w:tc>
        <w:tc>
          <w:tcPr>
            <w:tcW w:w="2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3/6/2026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Information Technology Schedule 70 (Successor)</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6/28/2036</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VA TAC Transformation Twenty-One Total</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6/30/2016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Expiration date applies to the IDIQ vehicle. Task orders awarded under the IDIQ can run past the expiration of the IDIQ itself.</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Under their Category Management initiative, the General Services Administration (GSA) has undertaken an effort to improve its professional service schedule offerings. As a result of this initiative, GSA consolidated multiple contract vehicles under the schedule program. The result for Booz Allen has been the consolidation of the scope of six schedules into one professional services schedule contract. The GSA Schedule contracts to be consolidated under the new professional services schedule are: Advertising and Integrated Marketing Solutions (AIMS), Environmental Services (ES), Financial and Business Services (FABS), Logistics Worldwide (LOGWORLD), Mission Oriented Business Integrated Services (MOBIS), and Professional Engineering Services (PES).</w:t>
      </w:r>
    </w:p>
    <w:p>
      <w:pPr>
        <w:spacing w:after="0" w:line="8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Booz Allen’s migration request was accepted in October 2015 and, as a result, our individual schedules included in the GSA’s consolidation will remain in place through the end of the current option period of each individual contract to prevent the interruption of services. The revenue generated under these individual schedules will begin to decrease during this transition period. We anticipate that the decrease in revenue on the individual schedules will be offset by growth under the new professional service schedule. We anticipate this transition will have negligible impact on future revenues.</w:t>
      </w:r>
    </w:p>
    <w:p>
      <w:pPr>
        <w:spacing w:after="0" w:line="4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Listed below for each specified revenue band is the number of task orders, revenue derived from the task orders, and average duration of the task orders as of March 31, 2019. The table includes revenue earned during fiscal 2019 under all task orders that were active during fiscal 2019 under these IDIQ contracts and the number of active task orders on which this revenue was earned. Average duration reflected in the table below is calculated based on the inception date of the task order, which may be prior to the beginning of fiscal 2019, and the completion date which may have been prior or subsequent to March 31, 2019. As a result, the actual average remaining duration for task orders included in this table may be less than the average duration shown in the table, and task orders included in the table may have been complete on March 31, 2019.</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827" w:right="2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Segmentation of Task Order by Revenue</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Task</w:t>
            </w:r>
          </w:p>
        </w:tc>
        <w:tc>
          <w:tcPr>
            <w:tcW w:w="140" w:type="dxa"/>
            <w:vAlign w:val="bottom"/>
          </w:tcPr>
          <w:p>
            <w:pPr>
              <w:spacing w:after="0"/>
              <w:rPr>
                <w:sz w:val="14"/>
                <w:szCs w:val="14"/>
                <w:color w:val="auto"/>
              </w:rPr>
            </w:pP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Fiscal 2019 Revenue (in</w:t>
            </w:r>
          </w:p>
        </w:tc>
        <w:tc>
          <w:tcPr>
            <w:tcW w:w="126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8"/>
              </w:rPr>
              <w:t>% of Total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00" w:type="dxa"/>
            <w:vAlign w:val="bottom"/>
            <w:vMerge w:val="continue"/>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Orders Active During</w:t>
            </w:r>
          </w:p>
        </w:tc>
        <w:tc>
          <w:tcPr>
            <w:tcW w:w="1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Duration</w:t>
            </w:r>
          </w:p>
        </w:tc>
        <w:tc>
          <w:tcPr>
            <w:tcW w:w="0" w:type="dxa"/>
            <w:vAlign w:val="bottom"/>
          </w:tcPr>
          <w:p>
            <w:pPr>
              <w:spacing w:after="0"/>
              <w:rPr>
                <w:sz w:val="1"/>
                <w:szCs w:val="1"/>
                <w:color w:val="auto"/>
              </w:rPr>
            </w:pPr>
          </w:p>
        </w:tc>
      </w:tr>
      <w:tr>
        <w:trPr>
          <w:trHeight w:val="192"/>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Fiscal 2019</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Fiscal 2019</w:t>
            </w:r>
          </w:p>
        </w:tc>
        <w:tc>
          <w:tcPr>
            <w:tcW w:w="140" w:type="dxa"/>
            <w:vAlign w:val="bottom"/>
          </w:tcPr>
          <w:p>
            <w:pPr>
              <w:spacing w:after="0"/>
              <w:rPr>
                <w:sz w:val="16"/>
                <w:szCs w:val="16"/>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millions)</w:t>
            </w:r>
          </w:p>
        </w:tc>
        <w:tc>
          <w:tcPr>
            <w:tcW w:w="126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Revenue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70"/>
        </w:trPr>
        <w:tc>
          <w:tcPr>
            <w:tcW w:w="390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 million</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Between $1 million and $3 million</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791.3</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Between $3 million and $5 million</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Between $5 million and $10 million</w:t>
            </w: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762.1</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2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$10 million</w:t>
            </w: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2,404.9</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4,998.8</w:t>
            </w:r>
          </w:p>
        </w:tc>
        <w:tc>
          <w:tcPr>
            <w:tcW w:w="1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0" w:right="40" w:firstLine="648"/>
        <w:spacing w:after="0" w:line="277" w:lineRule="auto"/>
        <w:rPr>
          <w:sz w:val="20"/>
          <w:szCs w:val="20"/>
          <w:color w:val="auto"/>
        </w:rPr>
      </w:pPr>
      <w:r>
        <w:rPr>
          <w:rFonts w:ascii="Arial" w:cs="Arial" w:eastAsia="Arial" w:hAnsi="Arial"/>
          <w:sz w:val="18"/>
          <w:szCs w:val="18"/>
          <w:color w:val="auto"/>
        </w:rPr>
        <w:t>Listed below are our top definite contracts for fiscal 2019 and revenue recognized under these contracts. Classified contracts that cannot be named are noted generically in the table:</w:t>
      </w:r>
    </w:p>
    <w:p>
      <w:pPr>
        <w:spacing w:after="0" w:line="204"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Fiscal</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of</w:t>
            </w:r>
          </w:p>
        </w:tc>
        <w:tc>
          <w:tcPr>
            <w:tcW w:w="16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2019 Revenue</w:t>
            </w: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Contract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188.5</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9/30/2021</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Classified Contract</w:t>
            </w:r>
          </w:p>
        </w:tc>
        <w:tc>
          <w:tcPr>
            <w:tcW w:w="2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3/7/2023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Contract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4/21/2019</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Transition Assistance Program Support Services</w:t>
            </w:r>
          </w:p>
        </w:tc>
        <w:tc>
          <w:tcPr>
            <w:tcW w:w="2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5/16/2022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Contract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6/30/2019</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Classified Contract</w:t>
            </w:r>
          </w:p>
        </w:tc>
        <w:tc>
          <w:tcPr>
            <w:tcW w:w="2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6/30/2025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DTRA CTR Advisory and Assistance Services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5/26/2021</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InnoVision Future Solutions Program</w:t>
            </w:r>
          </w:p>
        </w:tc>
        <w:tc>
          <w:tcPr>
            <w:tcW w:w="2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4/30/2019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Classified Contract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9/30/2019</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Classified Contract</w:t>
            </w:r>
          </w:p>
        </w:tc>
        <w:tc>
          <w:tcPr>
            <w:tcW w:w="2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9/30/2019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660" w:right="14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62"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 contracts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funding has not been appropriated or otherwise authorized.</w:t>
      </w:r>
    </w:p>
    <w:p>
      <w:pPr>
        <w:spacing w:after="0" w:line="62" w:lineRule="exact"/>
        <w:rPr>
          <w:rFonts w:ascii="Arial" w:cs="Arial" w:eastAsia="Arial" w:hAnsi="Arial"/>
          <w:sz w:val="18"/>
          <w:szCs w:val="18"/>
          <w:i w:val="1"/>
          <w:iCs w:val="1"/>
          <w:color w:val="auto"/>
        </w:rPr>
      </w:pPr>
    </w:p>
    <w:p>
      <w:pPr>
        <w:ind w:left="660" w:right="8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exercised at our clients’ option and for which funding has not been appropriated or otherwise authorized.</w:t>
      </w:r>
    </w:p>
    <w:p>
      <w:pPr>
        <w:spacing w:after="0" w:line="6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value of our contract backlog as of the respective dates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 March 31,</w:t>
            </w:r>
          </w:p>
        </w:tc>
        <w:tc>
          <w:tcPr>
            <w:tcW w:w="1300" w:type="dxa"/>
            <w:vAlign w:val="bottom"/>
            <w:tcBorders>
              <w:bottom w:val="single" w:sz="8" w:color="auto"/>
            </w:tcBorders>
          </w:tcPr>
          <w:p>
            <w:pPr>
              <w:spacing w:after="0"/>
              <w:rPr>
                <w:sz w:val="16"/>
                <w:szCs w:val="16"/>
                <w:color w:val="auto"/>
              </w:rPr>
            </w:pPr>
          </w:p>
        </w:tc>
      </w:tr>
      <w:tr>
        <w:trPr>
          <w:trHeight w:val="264"/>
        </w:trPr>
        <w:tc>
          <w:tcPr>
            <w:tcW w:w="6200" w:type="dxa"/>
            <w:vAlign w:val="bottom"/>
          </w:tcPr>
          <w:p>
            <w:pPr>
              <w:spacing w:after="0"/>
              <w:rPr>
                <w:sz w:val="22"/>
                <w:szCs w:val="22"/>
                <w:color w:val="auto"/>
              </w:rPr>
            </w:pPr>
          </w:p>
        </w:tc>
        <w:tc>
          <w:tcPr>
            <w:tcW w:w="12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2018</w:t>
            </w:r>
          </w:p>
        </w:tc>
      </w:tr>
      <w:tr>
        <w:trPr>
          <w:trHeight w:val="250"/>
        </w:trPr>
        <w:tc>
          <w:tcPr>
            <w:tcW w:w="6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4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21"/>
                <w:szCs w:val="21"/>
                <w:color w:val="auto"/>
              </w:rPr>
            </w:pPr>
          </w:p>
        </w:tc>
      </w:tr>
      <w:tr>
        <w:trPr>
          <w:trHeight w:val="256"/>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2,685</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Unfunded</w:t>
            </w:r>
          </w:p>
        </w:tc>
        <w:tc>
          <w:tcPr>
            <w:tcW w:w="1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4,161</w:t>
            </w:r>
          </w:p>
        </w:tc>
      </w:tr>
      <w:tr>
        <w:trPr>
          <w:trHeight w:val="27"/>
        </w:trPr>
        <w:tc>
          <w:tcPr>
            <w:tcW w:w="6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Priced options</w:t>
            </w:r>
          </w:p>
        </w:tc>
        <w:tc>
          <w:tcPr>
            <w:tcW w:w="1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9,174</w:t>
            </w: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1220" w:type="dxa"/>
            <w:vAlign w:val="bottom"/>
            <w:tcBorders>
              <w:top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19,321</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16,020</w:t>
            </w:r>
          </w:p>
        </w:tc>
      </w:tr>
      <w:tr>
        <w:trPr>
          <w:trHeight w:val="27"/>
        </w:trPr>
        <w:tc>
          <w:tcPr>
            <w:tcW w:w="6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may never realize all of the revenue that is included in our total backlog, and there is a higher degree of risk in this regard with respect to unfunded backlog and priced options. See “Item 7. Management’s Discussion and Analysis of Financial</w:t>
      </w:r>
    </w:p>
    <w:p>
      <w:pPr>
        <w:sectPr>
          <w:pgSz w:w="11900" w:h="16838" w:orient="portrait"/>
          <w:cols w:equalWidth="0" w:num="1">
            <w:col w:w="11300"/>
          </w:cols>
          <w:pgMar w:left="240" w:top="942" w:right="359" w:bottom="1440" w:gutter="0" w:footer="0" w:header="0"/>
        </w:sectPr>
      </w:pP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00"/>
          </w:cols>
          <w:pgMar w:left="240" w:top="942" w:right="359" w:bottom="1440" w:gutter="0" w:footer="0" w:header="0"/>
          <w:type w:val="continuous"/>
        </w:sectPr>
      </w:pPr>
    </w:p>
    <w:bookmarkStart w:id="13" w:name="page14"/>
    <w:bookmarkEnd w:id="13"/>
    <w:p>
      <w:pPr>
        <w:ind w:right="60"/>
        <w:spacing w:after="0" w:line="264" w:lineRule="auto"/>
        <w:rPr>
          <w:sz w:val="20"/>
          <w:szCs w:val="20"/>
          <w:color w:val="auto"/>
        </w:rPr>
      </w:pPr>
      <w:r>
        <w:rPr>
          <w:rFonts w:ascii="Arial" w:cs="Arial" w:eastAsia="Arial" w:hAnsi="Arial"/>
          <w:sz w:val="18"/>
          <w:szCs w:val="18"/>
          <w:color w:val="auto"/>
        </w:rPr>
        <w:t>Condition and Results of Operations — Factors and Trends Affecting Our Results of Operations — Sources of Revenue—Contract Backlog” for additional disclosure regarding our backlog. See also “Item 1A. Risk Factors—Risks Related to Our Business—We may not realize the full value of our backlog, which may result in lower than expected revenue.”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government services market is highly fragmented and competition within the government professional services industry has intensified as a result of market pressure and consolidation activity. In addition to professional service companies like ours that focus principally on the provision of services to the U.S. government, other companies active in our markets include large defense contractors; diversified consulting, technology, and outsourcing service providers; and small businesses.</w:t>
      </w:r>
    </w:p>
    <w:p>
      <w:pPr>
        <w:spacing w:after="0" w:line="79" w:lineRule="exact"/>
        <w:rPr>
          <w:sz w:val="20"/>
          <w:szCs w:val="20"/>
          <w:color w:val="auto"/>
        </w:rPr>
      </w:pPr>
    </w:p>
    <w:p>
      <w:pPr>
        <w:ind w:right="320" w:firstLine="432"/>
        <w:spacing w:after="0" w:line="276" w:lineRule="auto"/>
        <w:rPr>
          <w:sz w:val="20"/>
          <w:szCs w:val="20"/>
          <w:color w:val="auto"/>
        </w:rPr>
      </w:pPr>
      <w:r>
        <w:rPr>
          <w:rFonts w:ascii="Arial" w:cs="Arial" w:eastAsia="Arial" w:hAnsi="Arial"/>
          <w:sz w:val="17"/>
          <w:szCs w:val="17"/>
          <w:color w:val="auto"/>
        </w:rPr>
        <w:t>Changing government policies and market dynamics are impacting the competitive landscape. In the past, the government’s focus on organizational conflicts of interest have driven divestitures, which have changed the competitive landscape. More recently, there has been increasing pressure from government clients to utilize small businesses, in large part because of a push by both past and present administrations to bolster the economy by helping small business owners. Finally, as a result of the foregoing factors and the drive in our markets to quickly build competencies in growth areas and achieve economies of scale, we believe that consolidation activity among market participants will continue.</w:t>
      </w:r>
    </w:p>
    <w:p>
      <w:pPr>
        <w:spacing w:after="0" w:line="64"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In the course of doing business, we compete and collaborate with companies of all types and sizes. We strive to maintain positive and productive relationships with these organizations. Some of them hire us as a subcontractor, and we hire some of them to work with us as our subcontractors. Our major competitors include: (1) contractors focused principally on the provision of services to the U.S. government, (2) large defense contractors that provide both products and services to the U.S. government, and (3) diversified service providers. We compete based on our technical expertise and client knowledge, our ability to successfully recruit and retain appropriately skilled and experienced talent, our ability to deliver cost-effective multifaceted services in a timely manner, our reputation and relationship with our clients, our past performance, security clearances, and the size and scale of our Company. In addition,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12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management and technology consulting services business utilizes a variety of proprietary rights in delivering products and services to our clients. We claim a proprietary interest in certain service offerings, products, software tools, methodologies, and know-how and also have certain licenses to third-party intellectual property that may be significant to our business. While we have several patents issued and pending in the United States and in certain foreign countries, we do not consider our overall business to be materially dependent on the protection of such patents. In addition,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w:t>
      </w:r>
    </w:p>
    <w:p>
      <w:pPr>
        <w:spacing w:after="0" w:line="57"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We rely 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We have a variety of proprietary marks registered in the United States and certain foreign countries, including "Booz Allen Hamilton." Generally, registered trademarks have perpetual life, provided that they are renewed on a timely basis and continue to be used properly as trademarks. We have registered trademarks related to our name and logo in the United States, with the earliest renewal in March 2020, while the earliest renewal for our trademarks outside of the United States is June 2019.</w:t>
      </w:r>
    </w:p>
    <w:p>
      <w:pPr>
        <w:spacing w:after="0" w:line="8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For our work under U.S. government funded contracts and subcontracts, the U.S. government obtains certain rights to data, software, and related information developed under such contracts or subcontracts. These rights generally allow the U.S. government to disclose such data, software, and related information to third parties, which may include our competitors in some instances. In the case of our work as a subcontractor, our prime contractor may also have certain rights to data, information, and products we develop under the subcontract.</w:t>
      </w:r>
    </w:p>
    <w:p>
      <w:pPr>
        <w:spacing w:after="0" w:line="7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Booz Allen Hamilton and other trademarks or service marks of Booz Allen Hamilton Inc. appearing in this Annual Report are the trademarks or registered trademarks of Booz Allen Hamilton Inc. Trade names, trademarks, and service marks of other companies appearing in this Annual Report are the property of their respective owners.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80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public government contracts. Some significant laws and regulations that affect us include the following:</w:t>
      </w:r>
    </w:p>
    <w:p>
      <w:pPr>
        <w:spacing w:after="0" w:line="79" w:lineRule="exact"/>
        <w:rPr>
          <w:sz w:val="20"/>
          <w:szCs w:val="20"/>
          <w:color w:val="auto"/>
        </w:rPr>
      </w:pPr>
    </w:p>
    <w:p>
      <w:pPr>
        <w:ind w:left="640" w:right="100" w:hanging="321"/>
        <w:spacing w:after="0" w:line="25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Acquisition Regulation (the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80"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False Claims Act, which imposes civil and criminal liability for violations, including substantial monetary penalties, for, among other things, presenting false or fraudulent claims for payments or approval;</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False Statements Act, which imposes civil and criminal liability for making false statements to the U.S. government;</w:t>
      </w:r>
    </w:p>
    <w:p>
      <w:pPr>
        <w:spacing w:after="0" w:line="117" w:lineRule="exact"/>
        <w:rPr>
          <w:rFonts w:ascii="Arial" w:cs="Arial" w:eastAsia="Arial" w:hAnsi="Arial"/>
          <w:sz w:val="18"/>
          <w:szCs w:val="18"/>
          <w:color w:val="auto"/>
        </w:rPr>
      </w:pPr>
    </w:p>
    <w:p>
      <w:pPr>
        <w:ind w:left="640" w:right="18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62" w:lineRule="exact"/>
        <w:rPr>
          <w:rFonts w:ascii="Arial" w:cs="Arial" w:eastAsia="Arial" w:hAnsi="Arial"/>
          <w:sz w:val="18"/>
          <w:szCs w:val="18"/>
          <w:color w:val="auto"/>
        </w:rPr>
      </w:pPr>
    </w:p>
    <w:p>
      <w:pPr>
        <w:ind w:left="640" w:right="46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and regulations restricting the ability of a contractor to provide gifts or gratuities to employees of the U.S. government;</w:t>
      </w:r>
    </w:p>
    <w:p>
      <w:pPr>
        <w:spacing w:after="0" w:line="117" w:lineRule="exact"/>
        <w:rPr>
          <w:rFonts w:ascii="Arial" w:cs="Arial" w:eastAsia="Arial" w:hAnsi="Arial"/>
          <w:sz w:val="18"/>
          <w:szCs w:val="18"/>
          <w:color w:val="auto"/>
        </w:rPr>
      </w:pPr>
    </w:p>
    <w:p>
      <w:pPr>
        <w:ind w:left="640" w:right="62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post-government employment laws and regulations, which restrict the ability of a contractor to recruit and hire current employees of the U.S. government and deploy former employees of the U.S. government;</w:t>
      </w:r>
    </w:p>
    <w:p>
      <w:pPr>
        <w:spacing w:after="0" w:line="62" w:lineRule="exact"/>
        <w:rPr>
          <w:rFonts w:ascii="Arial" w:cs="Arial" w:eastAsia="Arial" w:hAnsi="Arial"/>
          <w:sz w:val="18"/>
          <w:szCs w:val="18"/>
          <w:color w:val="auto"/>
        </w:rPr>
      </w:pPr>
    </w:p>
    <w:p>
      <w:pPr>
        <w:jc w:val="both"/>
        <w:ind w:left="640" w:right="400" w:hanging="321"/>
        <w:spacing w:after="0" w:line="286"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57" w:lineRule="exact"/>
        <w:rPr>
          <w:rFonts w:ascii="Arial" w:cs="Arial" w:eastAsia="Arial" w:hAnsi="Arial"/>
          <w:sz w:val="17"/>
          <w:szCs w:val="17"/>
          <w:color w:val="auto"/>
        </w:rPr>
      </w:pPr>
    </w:p>
    <w:p>
      <w:pPr>
        <w:ind w:left="640" w:right="58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regulations, and executive orders, regulating the handling, use, and dissemination of personally identifiable information in the course of performing a U.S. government contract;</w:t>
      </w:r>
    </w:p>
    <w:p>
      <w:pPr>
        <w:spacing w:after="0" w:line="62"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62" w:lineRule="exact"/>
        <w:rPr>
          <w:rFonts w:ascii="Arial" w:cs="Arial" w:eastAsia="Arial" w:hAnsi="Arial"/>
          <w:sz w:val="18"/>
          <w:szCs w:val="18"/>
          <w:color w:val="auto"/>
        </w:rPr>
      </w:pPr>
    </w:p>
    <w:p>
      <w:pPr>
        <w:ind w:left="640" w:right="580" w:hanging="321"/>
        <w:spacing w:after="0" w:line="259"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78"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regulations and executive orders that impose requirements on us to ensure compliance with requirements and protect the government from risks related to our supply chain;</w:t>
      </w:r>
    </w:p>
    <w:p>
      <w:pPr>
        <w:spacing w:after="0" w:line="62"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regulations and mandatory contract provisions providing protections to employees or subcontractors seeking to report alleged fraud, waste, and abuse related to a government contract;</w:t>
      </w:r>
    </w:p>
    <w:p>
      <w:pPr>
        <w:spacing w:after="0" w:line="62"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73" w:lineRule="exact"/>
        <w:rPr>
          <w:rFonts w:ascii="Arial" w:cs="Arial" w:eastAsia="Arial" w:hAnsi="Arial"/>
          <w:sz w:val="18"/>
          <w:szCs w:val="18"/>
          <w:color w:val="auto"/>
        </w:rPr>
      </w:pPr>
    </w:p>
    <w:p>
      <w:pPr>
        <w:ind w:left="640" w:right="14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62"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Given the magnitude of our revenue derived from contracts with the Department of Defense, the Defense Contract Audit Agency, or DCAA, is our cognizant government audit agency. The DCAA audits the adequacy of our internal control systems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5" w:name="page16"/>
    <w:bookmarkEnd w:id="15"/>
    <w:p>
      <w:pPr>
        <w:ind w:right="20"/>
        <w:spacing w:after="0" w:line="255" w:lineRule="auto"/>
        <w:rPr>
          <w:sz w:val="20"/>
          <w:szCs w:val="20"/>
          <w:color w:val="auto"/>
        </w:rPr>
      </w:pPr>
      <w:r>
        <w:rPr>
          <w:rFonts w:ascii="Arial" w:cs="Arial" w:eastAsia="Arial" w:hAnsi="Arial"/>
          <w:sz w:val="18"/>
          <w:szCs w:val="18"/>
          <w:color w:val="auto"/>
        </w:rPr>
        <w:t>and policies including, among other areas, compensation. The Defense Contract Management Agency (DCMA), as our cognizant government contract management agency, may determine that a portion of our employee compensation is unallowable based on the findings and recommendations in the DCAA's audits. In addition, the DCMA directly reviews the adequacy of certain other business systems, such as our purchasing system. See “Item 1A. Risk Factors — Risk Related to Our Industry — Our work with government clients exposes us to additional risks inherent in the government contracting environment, which could reduce our revenue, disrupt our business, or otherwise materially adversely affect our results of operations.” We are also subject to audit by Inspectors General of other U.S. government agencies.</w:t>
      </w:r>
    </w:p>
    <w:p>
      <w:pPr>
        <w:spacing w:after="0" w:line="8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U.S. government may revise its procurement practices or adopt new contract rules and regulations at any time. To help ensure compliance with these laws and regulations, all of our employees are required to attend ethics training at least annually, and to participate in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8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could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50"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U.S. government has a broad range of actions that it can instigate to enforce its procurement law and policies. These include proposing a contractor, certain of its operations or individual employees for debarment or suspending or debarring a contractor, certain of its operations or individual employees from future government business. In addition to criminal, civil and administrative actions by the U.S. government, under the False Claims Act, an individual alleging fraud related to payments under a U.S. government contract or program may file a qui tam lawsuit on behalf of the government against us; if successful in obtaining a judgment or settlement, the individual filing the suit may receive up to 30% of the amount recovered by the government.</w:t>
      </w:r>
    </w:p>
    <w:p>
      <w:pPr>
        <w:spacing w:after="0" w:line="50"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See “Item 1A. Risk Factors—Risks Related to Our Business—We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00" w:right="259" w:bottom="1440" w:gutter="0" w:footer="0" w:header="0"/>
        </w:sectPr>
      </w:pPr>
    </w:p>
    <w:bookmarkStart w:id="16" w:name="page17"/>
    <w:bookmarkEnd w:id="16"/>
    <w:p>
      <w:pPr>
        <w:ind w:firstLine="405"/>
        <w:spacing w:after="0" w:line="286" w:lineRule="auto"/>
        <w:rPr>
          <w:sz w:val="20"/>
          <w:szCs w:val="20"/>
          <w:color w:val="auto"/>
        </w:rPr>
      </w:pPr>
      <w:r>
        <w:rPr>
          <w:rFonts w:ascii="Arial" w:cs="Arial" w:eastAsia="Arial" w:hAnsi="Arial"/>
          <w:sz w:val="16"/>
          <w:szCs w:val="16"/>
          <w:color w:val="auto"/>
        </w:rPr>
        <w:t>The U.S. government is our primary client, with revenue from contracts and task orders, either as a prime or a subcontractor, with U.S. government agencies accounting for 96% of our revenue for fiscal 2019. Our belief is that the successful future growth of our business will continue to depend primarily on our ability to be awarded work under U.S. government contracts, as we expect this will be the primary source of substantially all of our revenue in the foreseeable future. For this reason, any issue that compromises our relationship with the U.S. government generally or any U.S. government agency that we serve would cause our revenue to decline. Among the key factors in maintaining our relationship with U.S. government agencies are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including as a result of misconduct or other improper activities by our employees or subcontractors, or a failure to maintain adequate protection against security breaches, including those resulting from cyber attacks, could harm our relationship with U.S. government agencies. See "—Our employees or subcontractors may engage in misconduct or other improper activities, which could harm our ability to conduct business with U.S. government." Our relationship with the U.S. government could also be damaged as a result of an agency’s dissatisfaction with work performed by us, a subcontractor, or other third parties who provide services or products for a specific project for any reason, including due to perceived or actual deficiencies in the performance or quality of our work, and we may incur additional costs to address any such situation and the profitability of that work might be impaired. Further, negative publicity concerning government contractors in general or us in particular may harm our reputation with federal government contractors. To the extent our reputation or relationships with U.S. government agencies is impaired, our revenue and operating profits could materially decline.</w:t>
      </w:r>
    </w:p>
    <w:p>
      <w:pPr>
        <w:spacing w:after="0" w:line="277"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b w:val="1"/>
          <w:bCs w:val="1"/>
          <w:i w:val="1"/>
          <w:iCs w:val="1"/>
          <w:color w:val="auto"/>
        </w:rPr>
        <w:t>U.S. government spending and mission priorities could change in a manner that adversely affects our future revenue and limits our growth prospects.</w:t>
      </w:r>
    </w:p>
    <w:p>
      <w:pPr>
        <w:spacing w:after="0" w:line="62"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Our business depends upon continued U.S. government expenditures on defense, intelligence, and civil programs for which we provide support. These expenditures have not remained constant over time, have been reduced in certain periods and, recently, have been affected by the U.S. government’s efforts to improve efficiency and reduce costs affecting federal government programs generally. Our business, prospects, financial condition, or operating results could be materially harmed, among other causes, by the following:</w:t>
      </w:r>
    </w:p>
    <w:p>
      <w:pPr>
        <w:spacing w:after="0" w:line="79" w:lineRule="exact"/>
        <w:rPr>
          <w:sz w:val="20"/>
          <w:szCs w:val="20"/>
          <w:color w:val="auto"/>
        </w:rPr>
      </w:pPr>
    </w:p>
    <w:p>
      <w:pPr>
        <w:ind w:left="640" w:right="48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budgetary constraints, including Congressionally mandated automatic spending cuts, affecting U.S. government spending generally, or specific agencies in particular, and changes in available funding;</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shift in expenditures away from agencies or programs that we support;</w:t>
      </w:r>
    </w:p>
    <w:p>
      <w:pPr>
        <w:spacing w:after="0" w:line="117"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U.S.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efforts to improve efficiency and reduce costs affecting federal government programs;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or delays in U.S. government programs that we support or related requirements;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continuation of recent efforts by the U.S. government to decrease spending for management support service contracts;</w:t>
      </w:r>
    </w:p>
    <w:p>
      <w:pPr>
        <w:spacing w:after="0" w:line="117" w:lineRule="exact"/>
        <w:rPr>
          <w:rFonts w:ascii="Arial" w:cs="Arial" w:eastAsia="Arial" w:hAnsi="Arial"/>
          <w:sz w:val="18"/>
          <w:szCs w:val="18"/>
          <w:color w:val="auto"/>
        </w:rPr>
      </w:pPr>
    </w:p>
    <w:p>
      <w:pPr>
        <w:ind w:left="640" w:right="220" w:hanging="321"/>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government shutdowns due to, among other reasons, a failure by elected officials to fund the government (such as that which occurred during government fiscal years 2014, 2018 and 2019) or weather-related closures in the Washington, D.C. area and other potential delays in the appropriations process;</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in order to reduce expenditures;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117"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by the U.S. government to fund its operations as a result of a failure to increase the federal government’s debt ceiling, a credit downgrade of U.S. government obligations or for any other reason; and</w:t>
      </w:r>
    </w:p>
    <w:p>
      <w:pPr>
        <w:spacing w:after="0" w:line="62" w:lineRule="exact"/>
        <w:rPr>
          <w:rFonts w:ascii="Arial" w:cs="Arial" w:eastAsia="Arial" w:hAnsi="Arial"/>
          <w:sz w:val="18"/>
          <w:szCs w:val="18"/>
          <w:color w:val="auto"/>
        </w:rPr>
      </w:pPr>
    </w:p>
    <w:p>
      <w:pPr>
        <w:ind w:left="640" w:right="580" w:hanging="321"/>
        <w:spacing w:after="0" w:line="308"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3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addition, any disruption in the functioning of U.S. government agencies, including as a result of U.S. government closures and shutdowns, terrorism, war, natural disasters, destruction of U.S. government facilities, and other potential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7" w:name="page18"/>
    <w:bookmarkEnd w:id="17"/>
    <w:p>
      <w:pPr>
        <w:ind w:right="220"/>
        <w:spacing w:after="0" w:line="277" w:lineRule="auto"/>
        <w:rPr>
          <w:sz w:val="20"/>
          <w:szCs w:val="20"/>
          <w:color w:val="auto"/>
        </w:rPr>
      </w:pPr>
      <w:r>
        <w:rPr>
          <w:rFonts w:ascii="Arial" w:cs="Arial" w:eastAsia="Arial" w:hAnsi="Arial"/>
          <w:sz w:val="18"/>
          <w:szCs w:val="18"/>
          <w:color w:val="auto"/>
        </w:rPr>
        <w:t>calamities could have a negative impact on our operations and cause us to lose revenue or incur additional costs due to, among other things, our inability to deploy our staff to client locations or facilities as a result of such disruptions.</w:t>
      </w:r>
    </w:p>
    <w:p>
      <w:pPr>
        <w:spacing w:after="0" w:line="62"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The U.S. government budget deficits, the national debt, and prevailing economic conditions, and actions taken to address them, could negatively affect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In particular, the Budget Control Act of 2011 (as subsequently amended) provides for automatic spending cuts (referred to as sequestration) totaling approximately $1.2 trillion between 2013 and 2021, including an estimated $500 billion in federal defense spending cuts over this time period. Most recently, the Bipartisan Budget Act of 2018 amended the discretionary spending limits established by the Budget Control Act of 2011, as amended, for the government fiscal 2018 and 2019 budgets across the federal government and increased the prior discretionary spending cap in both defense and non-defense. Pursuant to the Department of Defense and Labor, Health and Human Services, and Education Appropriations Act, 2019 and Consolidated Appropriations Act, 2019, the new Department of Defense spending limit is approximately $674.4 billion for government fiscal 2019, including an allocation of $67.9 billion in overseas contingency operations funding. While recent budget actions reflect a more measured and strategic approach to addressing the U.S. government’s fiscal challenges, there remains uncertainty as to how exactly budget cuts, including sequestration, will impact us, and we are therefore unable to predict the extent of the impact of such cuts on our business and results of operations. However, a reduction in the amount of or reductions, delays, or cancellations of funding for, services that we are contracted to provide to the Department of Defense as a result of any of these related initiatives, legislation or otherwise could have a material adverse effect on our business and results of operations. In addition, in response to an Office of Management and Budget mandate, government agencies have reduced management support services spending in recent years. If federal awards for management support services continue to decline, our revenue and operating profits may materially decline and further efforts by the Office of Management and Budget to decrease federal awards for management support services could have a material and adverse effect on our business and results of operations.</w:t>
      </w:r>
    </w:p>
    <w:p>
      <w:pPr>
        <w:spacing w:after="0" w:line="6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73"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U.S. government contractor, we must comply with laws and regulations relating to the formation, administration, and performance of</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82" w:lineRule="exact"/>
        <w:rPr>
          <w:sz w:val="20"/>
          <w:szCs w:val="20"/>
          <w:color w:val="auto"/>
        </w:rPr>
      </w:pPr>
    </w:p>
    <w:p>
      <w:pPr>
        <w:ind w:left="640" w:right="20" w:hanging="321"/>
        <w:spacing w:after="0" w:line="25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80" w:lineRule="exact"/>
        <w:rPr>
          <w:rFonts w:ascii="Arial" w:cs="Arial" w:eastAsia="Arial" w:hAnsi="Arial"/>
          <w:sz w:val="18"/>
          <w:szCs w:val="18"/>
          <w:color w:val="auto"/>
        </w:rPr>
      </w:pPr>
    </w:p>
    <w:p>
      <w:pPr>
        <w:ind w:left="640" w:right="34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False Claims Act, which imposes civil and criminal liability for violations, including substantial monetary penalties, for, among other things, presenting false or fraudulent claims for payments or approval;</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False Statements Act, which imposes civil and criminal liability for making false statements to the U.S. government;</w:t>
      </w:r>
    </w:p>
    <w:p>
      <w:pPr>
        <w:spacing w:after="0" w:line="117" w:lineRule="exact"/>
        <w:rPr>
          <w:rFonts w:ascii="Arial" w:cs="Arial" w:eastAsia="Arial" w:hAnsi="Arial"/>
          <w:sz w:val="18"/>
          <w:szCs w:val="18"/>
          <w:color w:val="auto"/>
        </w:rPr>
      </w:pPr>
    </w:p>
    <w:p>
      <w:pPr>
        <w:ind w:left="640" w:right="16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62" w:lineRule="exact"/>
        <w:rPr>
          <w:rFonts w:ascii="Arial" w:cs="Arial" w:eastAsia="Arial" w:hAnsi="Arial"/>
          <w:sz w:val="18"/>
          <w:szCs w:val="18"/>
          <w:color w:val="auto"/>
        </w:rPr>
      </w:pPr>
    </w:p>
    <w:p>
      <w:pPr>
        <w:ind w:left="640" w:right="44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and regulations restricting the ability of a contractor to provide gifts or gratuities to employees of the U.S. government;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00" w:right="259" w:bottom="1440" w:gutter="0" w:footer="0" w:header="0"/>
        </w:sectPr>
      </w:pPr>
    </w:p>
    <w:bookmarkStart w:id="18" w:name="page19"/>
    <w:bookmarkEnd w:id="18"/>
    <w:p>
      <w:pPr>
        <w:ind w:left="640" w:right="62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post-government employment laws and regulations, which restrict the ability of a contractor to recruit and hire current employees of the U.S. government and deploy former employees of the U.S. government;</w:t>
      </w:r>
    </w:p>
    <w:p>
      <w:pPr>
        <w:spacing w:after="0" w:line="62" w:lineRule="exact"/>
        <w:rPr>
          <w:rFonts w:ascii="Arial" w:cs="Arial" w:eastAsia="Arial" w:hAnsi="Arial"/>
          <w:sz w:val="18"/>
          <w:szCs w:val="18"/>
          <w:color w:val="auto"/>
        </w:rPr>
      </w:pPr>
    </w:p>
    <w:p>
      <w:pPr>
        <w:jc w:val="both"/>
        <w:ind w:left="640" w:right="400" w:hanging="321"/>
        <w:spacing w:after="0" w:line="286"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57" w:lineRule="exact"/>
        <w:rPr>
          <w:rFonts w:ascii="Arial" w:cs="Arial" w:eastAsia="Arial" w:hAnsi="Arial"/>
          <w:sz w:val="17"/>
          <w:szCs w:val="17"/>
          <w:color w:val="auto"/>
        </w:rPr>
      </w:pPr>
    </w:p>
    <w:p>
      <w:pPr>
        <w:ind w:left="640" w:right="62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executive orders regulating the handling, use, and dissemination of personally identifiable information in the course of performing a U.S. government contract;</w:t>
      </w:r>
    </w:p>
    <w:p>
      <w:pPr>
        <w:spacing w:after="0" w:line="62"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62" w:lineRule="exact"/>
        <w:rPr>
          <w:rFonts w:ascii="Arial" w:cs="Arial" w:eastAsia="Arial" w:hAnsi="Arial"/>
          <w:sz w:val="18"/>
          <w:szCs w:val="18"/>
          <w:color w:val="auto"/>
        </w:rPr>
      </w:pPr>
    </w:p>
    <w:p>
      <w:pPr>
        <w:ind w:left="640" w:right="580" w:hanging="321"/>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78"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executive orders that impose requirements on us to ensure compliance with requirements and protect the government from risks related to our supply chain;</w:t>
      </w:r>
    </w:p>
    <w:p>
      <w:pPr>
        <w:spacing w:after="0" w:line="62"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mandatory contract provisions providing protections to employees or subcontractors seeking to report alleged fraud, waste, and abuse related to a government contract;</w:t>
      </w:r>
    </w:p>
    <w:p>
      <w:pPr>
        <w:spacing w:after="0" w:line="62"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73" w:lineRule="exact"/>
        <w:rPr>
          <w:rFonts w:ascii="Arial" w:cs="Arial" w:eastAsia="Arial" w:hAnsi="Arial"/>
          <w:sz w:val="18"/>
          <w:szCs w:val="18"/>
          <w:color w:val="auto"/>
        </w:rPr>
      </w:pPr>
    </w:p>
    <w:p>
      <w:pPr>
        <w:ind w:left="640" w:right="880" w:hanging="321"/>
        <w:spacing w:after="0" w:line="342"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FAR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16"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In addition, the U.S. government adopts new laws, rules, and regulations from time to time that could have a material impact on our results of operations. Adverse developments in legal or regulatory proceedings on matters relating to, among other things, cost accounting practices and compliance, contract interpretations and statute of limitations, could also result in materially adverse judgments, settlements, withheld payments, penalties, or other unfavorable outcomes.</w:t>
      </w:r>
    </w:p>
    <w:p>
      <w:pPr>
        <w:spacing w:after="0" w:line="79" w:lineRule="exact"/>
        <w:rPr>
          <w:sz w:val="20"/>
          <w:szCs w:val="20"/>
          <w:color w:val="auto"/>
        </w:rPr>
      </w:pPr>
    </w:p>
    <w:p>
      <w:pPr>
        <w:ind w:right="180" w:firstLine="432"/>
        <w:spacing w:after="0" w:line="288" w:lineRule="auto"/>
        <w:rPr>
          <w:sz w:val="20"/>
          <w:szCs w:val="20"/>
          <w:color w:val="auto"/>
        </w:rPr>
      </w:pPr>
      <w:r>
        <w:rPr>
          <w:rFonts w:ascii="Arial" w:cs="Arial" w:eastAsia="Arial" w:hAnsi="Arial"/>
          <w:sz w:val="16"/>
          <w:szCs w:val="16"/>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of payments,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6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"Item 1. Business — Regulation."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9" w:name="page20"/>
    <w:bookmarkEnd w:id="19"/>
    <w:p>
      <w:pPr>
        <w:ind w:right="60" w:firstLine="405"/>
        <w:spacing w:after="0" w:line="264" w:lineRule="auto"/>
        <w:rPr>
          <w:sz w:val="20"/>
          <w:szCs w:val="20"/>
          <w:color w:val="auto"/>
        </w:rPr>
      </w:pPr>
      <w:r>
        <w:rPr>
          <w:rFonts w:ascii="Arial" w:cs="Arial" w:eastAsia="Arial" w:hAnsi="Arial"/>
          <w:sz w:val="18"/>
          <w:szCs w:val="18"/>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spacing w:after="0" w:line="7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derive a majority of our revenue from U.S. government contracts awarded through competitive bidding processes. We do not expect this to change for the foreseeable future. Our failure to compete effectively in this procurement environment would have a material adverse effect on our revenue and profitability.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competitive bidding process involves risk and significant costs to businesses operating in this environment, including:</w:t>
      </w:r>
    </w:p>
    <w:p>
      <w:pPr>
        <w:spacing w:after="0" w:line="117" w:lineRule="exact"/>
        <w:rPr>
          <w:sz w:val="20"/>
          <w:szCs w:val="20"/>
          <w:color w:val="auto"/>
        </w:rPr>
      </w:pPr>
    </w:p>
    <w:p>
      <w:pPr>
        <w:ind w:left="640" w:right="200" w:hanging="321"/>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spent to prepare bids and proposals for contracts that may not be awarded to us;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accurately estimate the resources and costs that will be required to service any contract we are awarded;</w:t>
      </w:r>
    </w:p>
    <w:p>
      <w:pPr>
        <w:spacing w:after="0" w:line="117" w:lineRule="exact"/>
        <w:rPr>
          <w:rFonts w:ascii="Arial" w:cs="Arial" w:eastAsia="Arial" w:hAnsi="Arial"/>
          <w:sz w:val="18"/>
          <w:szCs w:val="18"/>
          <w:color w:val="auto"/>
        </w:rPr>
      </w:pPr>
    </w:p>
    <w:p>
      <w:pPr>
        <w:jc w:val="both"/>
        <w:ind w:left="640" w:right="20" w:hanging="321"/>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opportunity cost of not bidding and winning other contracts we might have otherwise pursued.</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8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current competitive environment has resulted in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startup and funding of the work under these contracts may cause our actual results to differ materially and adversely from those anticipated.</w:t>
      </w:r>
    </w:p>
    <w:p>
      <w:pPr>
        <w:spacing w:after="0" w:line="8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A significant majority of our revenue is derived from task orders under indefinite delivery/indefinite quantity, or IDIQ, contract vehicles where we perform in either a prime or subcontract position.</w:t>
      </w:r>
    </w:p>
    <w:p>
      <w:pPr>
        <w:spacing w:after="0" w:line="6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believe that one of the key elements of our success is our position as the holder of 3,610 active task orders under IDIQ contract vehicles as of March 31, 2019. Our ability to maintain our existing business and win new business depends on our ability to maintain our prime and subcontractor positions on these contracts. The loss, without replacement, of certain of these contract vehicles could have a material adverse effect on our ability to win new business and our operating results. In addition, if the U.S. government elects to use a contract vehicle that we do not hold, we will not be able to compete for work under that contract vehicle as a prime contractor.</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earn less revenue than projected, or no revenue, under certain of our contracts.</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Many of our contracts with our clients are IDIQ contracts. 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A failure to be awarded task orders under such contracts would have a material adverse effect on our results of operations and financial condition.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800" w:right="279" w:bottom="1440" w:gutter="0" w:footer="0" w:header="0"/>
        </w:sectPr>
      </w:pPr>
    </w:p>
    <w:bookmarkStart w:id="20" w:name="page21"/>
    <w:bookmarkEnd w:id="20"/>
    <w:p>
      <w:pPr>
        <w:ind w:right="320" w:firstLine="405"/>
        <w:spacing w:after="0" w:line="277"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62"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We enter into three general types of U.S. government contracts for our services: cost-reimbursable, time-and-materials, and fixed-price. For fiscal 2019, we derived 53% of our revenue from cost-reimbursable contracts, 24% from time-and-materials contracts and 23% from fixed-price contracts.</w:t>
      </w:r>
    </w:p>
    <w:p>
      <w:pPr>
        <w:spacing w:after="0" w:line="3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62"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increasing focus by the U.S. government on the extent to which government contractors, including us, are able to receive reimbursement for employee compensation, including the adoption of interim rules by federal agencies implementing a section of the Bipartisan Budget Act of 2013 that substantially decreased the level of allowable compensation cost for executive-level employees and further applied the newly reduced limitation to all employees. In addition, there is an increased risk of compensation being deemed unallowable or payments being withheld as a result of U.S. government audit, review or investigation.</w:t>
      </w:r>
    </w:p>
    <w:p>
      <w:pPr>
        <w:spacing w:after="0" w:line="70"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38" w:lineRule="exact"/>
        <w:rPr>
          <w:sz w:val="20"/>
          <w:szCs w:val="20"/>
          <w:color w:val="auto"/>
        </w:rPr>
      </w:pPr>
    </w:p>
    <w:p>
      <w:pPr>
        <w:ind w:right="360" w:firstLine="432"/>
        <w:spacing w:after="0" w:line="276" w:lineRule="auto"/>
        <w:rPr>
          <w:sz w:val="20"/>
          <w:szCs w:val="20"/>
          <w:color w:val="auto"/>
        </w:rPr>
      </w:pPr>
      <w:r>
        <w:rPr>
          <w:rFonts w:ascii="Arial" w:cs="Arial" w:eastAsia="Arial" w:hAnsi="Arial"/>
          <w:sz w:val="17"/>
          <w:szCs w:val="17"/>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Because we assume the risk for cost overruns and contingent losses on fixed-price contracts, an increase in the percentage of fixed-price contracts in our contract mix would increase our risk of suffering losses.</w:t>
      </w:r>
    </w:p>
    <w:p>
      <w:pPr>
        <w:spacing w:after="0" w:line="6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Additionally, our profits could be adversely affected if our costs under any of these contracts exceed the assumptions we used in bidding for the contract. For example, we may miscalculate the costs, resources, or time needed to complete projects or meet contractual milestones as a result of delays on a particular project, including delays in designs, engineering information, or materials provided by the customer or a third party, delays or difficulties in equipment and material delivery, schedule changes, and other factors, some of which are beyond our control. We have recorded provisions in our consolidated financial statements for losses on our contracts, as required under accounting principles generally accepted in the United States, or GAAP, but our contract loss provisions may not be adequate to cover all actual losses that we may incur in the future.</w:t>
      </w:r>
    </w:p>
    <w:p>
      <w:pPr>
        <w:spacing w:after="0" w:line="7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b w:val="1"/>
          <w:bCs w:val="1"/>
          <w:i w:val="1"/>
          <w:iCs w:val="1"/>
          <w:color w:val="auto"/>
        </w:rPr>
        <w:t>Our professional reputation and relationships with U.S. government agencies are critical to our business, and any harm to our reputation or relationships could decrease the amount of business the U.S. government does with us, which could have a material adverse effect on our future revenue and growth prospects.</w:t>
      </w:r>
    </w:p>
    <w:p>
      <w:pPr>
        <w:spacing w:after="0" w:line="73"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In addition, a significant portion of our business relates to designing, developing, and implementing advanced defense and technology systems and products, including cybersecurity products and services. Negative press reports regarding poor contract performance, employee misconduct, information security breaches, engagements in or perceived connections to politically or socially sensitive activities, or other aspects of our business, or regarding government contractors generally, could harm our reputation. In addition, to the extent our performance under a contract does not meet a U.S. government agency’s expectations, the client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If our reputation or relationships with these agencies are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00" w:right="259" w:bottom="1440" w:gutter="0" w:footer="0" w:header="0"/>
        </w:sectPr>
      </w:pPr>
    </w:p>
    <w:bookmarkStart w:id="21" w:name="page22"/>
    <w:bookmarkEnd w:id="21"/>
    <w:p>
      <w:pPr>
        <w:ind w:right="580" w:firstLine="405"/>
        <w:spacing w:after="0" w:line="277" w:lineRule="auto"/>
        <w:rPr>
          <w:sz w:val="20"/>
          <w:szCs w:val="20"/>
          <w:color w:val="auto"/>
        </w:rPr>
      </w:pPr>
      <w:r>
        <w:rPr>
          <w:rFonts w:ascii="Arial" w:cs="Arial" w:eastAsia="Arial" w:hAnsi="Arial"/>
          <w:sz w:val="18"/>
          <w:szCs w:val="18"/>
          <w:b w:val="1"/>
          <w:bCs w:val="1"/>
          <w:i w:val="1"/>
          <w:iCs w:val="1"/>
          <w:color w:val="auto"/>
        </w:rPr>
        <w:t>We use estimates in recognizing revenue and if we make changes to estimates used in recognizing revenue, our profitability may be adversely affected.</w:t>
      </w:r>
    </w:p>
    <w:p>
      <w:pPr>
        <w:spacing w:after="0" w:line="62"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cost-reimbursable-plus-award-fee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7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realize the full value of our backlog, which may result in lower than expected revenue.</w:t>
      </w:r>
    </w:p>
    <w:p>
      <w:pPr>
        <w:spacing w:after="0" w:line="117"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As of March 31, 2019, our total backlog was $19.3 billion, of which $3.4 billion was funded. We define backlog to include the following three components:</w:t>
      </w:r>
    </w:p>
    <w:p>
      <w:pPr>
        <w:spacing w:after="0" w:line="62" w:lineRule="exact"/>
        <w:rPr>
          <w:sz w:val="20"/>
          <w:szCs w:val="20"/>
          <w:color w:val="auto"/>
        </w:rPr>
      </w:pPr>
    </w:p>
    <w:p>
      <w:pPr>
        <w:ind w:left="640" w:right="26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62"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 contracts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funding has not been appropriated or otherwise authorized.</w:t>
      </w:r>
    </w:p>
    <w:p>
      <w:pPr>
        <w:spacing w:after="0" w:line="62"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at our clients’ option and for which funding has not been appropriated or otherwise authorized.</w:t>
      </w:r>
    </w:p>
    <w:p>
      <w:pPr>
        <w:spacing w:after="0" w:line="6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 For additional disclosure regarding our backlog, please see "Item 7. Management's Discussion and Analysis of Financial Condition and Results of Operations - Factors and Trends Affecting Our Results of Operations - Sources of Revenue - Contract Backlog."</w:t>
      </w:r>
    </w:p>
    <w:p>
      <w:pPr>
        <w:spacing w:after="0" w:line="79" w:lineRule="exact"/>
        <w:rPr>
          <w:sz w:val="20"/>
          <w:szCs w:val="20"/>
          <w:color w:val="auto"/>
        </w:rPr>
      </w:pPr>
    </w:p>
    <w:p>
      <w:pPr>
        <w:ind w:right="20" w:firstLine="432"/>
        <w:spacing w:after="0" w:line="267" w:lineRule="auto"/>
        <w:rPr>
          <w:sz w:val="20"/>
          <w:szCs w:val="20"/>
          <w:color w:val="auto"/>
        </w:rPr>
      </w:pPr>
      <w:r>
        <w:rPr>
          <w:rFonts w:ascii="Arial" w:cs="Arial" w:eastAsia="Arial" w:hAnsi="Arial"/>
          <w:sz w:val="17"/>
          <w:szCs w:val="17"/>
          <w:color w:val="auto"/>
        </w:rPr>
        <w:t>We historically have not realized all of the revenue included in our total backlog, and we may not realize all of the revenue included in our total backlog in the future. There is a somewhat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de-obligated or terminated early, including as a result of a lack of appropriated funds or as a result of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or, in the case of priced options, our clients may not exercise their options. In addition, consulting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under, or cancellation of contracts, by the U.S. government at any time. Furthermore, even if our backlog results in revenue, the contracts may not be profitable.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2" w:name="page23"/>
    <w:bookmarkEnd w:id="22"/>
    <w:p>
      <w:pPr>
        <w:ind w:right="480" w:firstLine="405"/>
        <w:spacing w:after="0" w:line="277" w:lineRule="auto"/>
        <w:rPr>
          <w:sz w:val="20"/>
          <w:szCs w:val="20"/>
          <w:color w:val="auto"/>
        </w:rPr>
      </w:pPr>
      <w:r>
        <w:rPr>
          <w:rFonts w:ascii="Arial" w:cs="Arial" w:eastAsia="Arial" w:hAnsi="Arial"/>
          <w:sz w:val="18"/>
          <w:szCs w:val="18"/>
          <w:b w:val="1"/>
          <w:bCs w:val="1"/>
          <w:i w:val="1"/>
          <w:iCs w:val="1"/>
          <w:color w:val="auto"/>
        </w:rPr>
        <w:t>We may fail to attract, train and retain skilled and qualified employees, which may impair our ability to generate revenue, effectively serve our clients, and execute our growth strategy.</w:t>
      </w:r>
    </w:p>
    <w:p>
      <w:pPr>
        <w:spacing w:after="0" w:line="62" w:lineRule="exact"/>
        <w:rPr>
          <w:sz w:val="20"/>
          <w:szCs w:val="20"/>
          <w:color w:val="auto"/>
        </w:rPr>
      </w:pPr>
    </w:p>
    <w:p>
      <w:pPr>
        <w:ind w:right="420" w:firstLine="432"/>
        <w:spacing w:after="0" w:line="291" w:lineRule="auto"/>
        <w:rPr>
          <w:sz w:val="20"/>
          <w:szCs w:val="20"/>
          <w:color w:val="auto"/>
        </w:rPr>
      </w:pPr>
      <w:r>
        <w:rPr>
          <w:rFonts w:ascii="Arial" w:cs="Arial" w:eastAsia="Arial" w:hAnsi="Arial"/>
          <w:sz w:val="16"/>
          <w:szCs w:val="16"/>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w:t>
      </w:r>
    </w:p>
    <w:p>
      <w:pPr>
        <w:spacing w:after="0" w:line="268" w:lineRule="auto"/>
        <w:rPr>
          <w:sz w:val="20"/>
          <w:szCs w:val="20"/>
          <w:color w:val="auto"/>
        </w:rPr>
      </w:pPr>
      <w:r>
        <w:rPr>
          <w:rFonts w:ascii="Arial" w:cs="Arial" w:eastAsia="Arial" w:hAnsi="Arial"/>
          <w:sz w:val="17"/>
          <w:szCs w:val="17"/>
          <w:color w:val="auto"/>
        </w:rPr>
        <w:t>U.S. government contractors, the U.S. government, and private industry, and such competition is intense. Personnel with the requisite skills, qualifications, or security clearance may be in short supply or generally unavailable. Our ability to attract and retain skilled and qualified employees may also be impacted by our engagements in, or perceived connections to, politically or socially sensitive activities.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 employees to civil or criminal penalties. If we are unable to recruit and retain a sufficient number of qualified employees, or fail to deploy such employees or obtain their appropriate security clearances in a timely manner,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74"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 may fail to obtain and maintain necessary security clearances which may adversely affect our ability to perform on certain contracts.</w:t>
      </w:r>
    </w:p>
    <w:p>
      <w:pPr>
        <w:spacing w:after="0" w:line="14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Many U.S. government programs require contractor employees and facilities to have security clearances. Depending on the level of required clearance, security clearances can be difficult and time-consuming to obtain. If we or our employees are unable to obtain or retain necessary security clearances,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or effectively rebid on expiring contracts, as well as lose existing contracts, which may adversely affect our operating results and inhibit the execution of our growth strategy.</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profitability could suffer if we are not able to timely and effectively utilize our employees or manage our cost structure.</w:t>
      </w:r>
    </w:p>
    <w:p>
      <w:pPr>
        <w:spacing w:after="0" w:line="11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62"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transition employees from completed projects to new assignments and to hire, assimilate, and deploy new employees;</w:t>
      </w:r>
    </w:p>
    <w:p>
      <w:pPr>
        <w:spacing w:after="0" w:line="117"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forecast demand for our services and to maintain and deploy headcount that is aligned with demand, including employees with the right mix of skills and experience to support our projects;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employees’ inability to obtain or retain necessary security clearances;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manage attrition;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need to devote time and resources to training, business development, and other non-chargeable activities.</w:t>
      </w:r>
    </w:p>
    <w:p>
      <w:pPr>
        <w:spacing w:after="0" w:line="117"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3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profitability is also affected by the extent to which we are able to effectively manage our overall cost structure for operating expenses, such as wages and benefits, overhead and capital and other investment-related expenditures. If we are unable to effectively manage our costs and expense and achieve efficiencies, our competitiveness and profitability may be adversely affected.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3" w:name="page24"/>
    <w:bookmarkEnd w:id="23"/>
    <w:p>
      <w:pPr>
        <w:ind w:right="800" w:firstLine="405"/>
        <w:spacing w:after="0" w:line="277" w:lineRule="auto"/>
        <w:rPr>
          <w:sz w:val="20"/>
          <w:szCs w:val="20"/>
          <w:color w:val="auto"/>
        </w:rPr>
      </w:pPr>
      <w:r>
        <w:rPr>
          <w:rFonts w:ascii="Arial" w:cs="Arial" w:eastAsia="Arial" w:hAnsi="Arial"/>
          <w:sz w:val="18"/>
          <w:szCs w:val="18"/>
          <w:b w:val="1"/>
          <w:bCs w:val="1"/>
          <w:i w:val="1"/>
          <w:iCs w:val="1"/>
          <w:color w:val="auto"/>
        </w:rPr>
        <w:t>We may lose one or more members of our senior management team or fail to develop new leaders, which could cause the disruption of the management of our business.</w:t>
      </w:r>
    </w:p>
    <w:p>
      <w:pPr>
        <w:spacing w:after="0" w:line="62" w:lineRule="exact"/>
        <w:rPr>
          <w:sz w:val="20"/>
          <w:szCs w:val="20"/>
          <w:color w:val="auto"/>
        </w:rPr>
      </w:pPr>
    </w:p>
    <w:p>
      <w:pPr>
        <w:ind w:right="280" w:firstLine="432"/>
        <w:spacing w:after="0" w:line="255" w:lineRule="auto"/>
        <w:rPr>
          <w:sz w:val="20"/>
          <w:szCs w:val="20"/>
          <w:color w:val="auto"/>
        </w:rPr>
      </w:pPr>
      <w:r>
        <w:rPr>
          <w:rFonts w:ascii="Arial" w:cs="Arial" w:eastAsia="Arial" w:hAnsi="Arial"/>
          <w:sz w:val="18"/>
          <w:szCs w:val="18"/>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The loss of any member of our senior management or our failure to continue to develop new members could impair our ability to identify and secure new contracts, to maintain good client relations, and to otherwise manage our business.</w:t>
      </w:r>
    </w:p>
    <w:p>
      <w:pPr>
        <w:spacing w:after="0" w:line="8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b w:val="1"/>
          <w:bCs w:val="1"/>
          <w:i w:val="1"/>
          <w:iCs w:val="1"/>
          <w:color w:val="auto"/>
        </w:rPr>
        <w:t>Our employees or subcontractors may engage in misconduct or other improper activities, which could harm our ability to conduct business with the U.S. government.</w:t>
      </w:r>
    </w:p>
    <w:p>
      <w:pPr>
        <w:spacing w:after="0" w:line="62"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exposed to the risk that employee or subcontractor fraud or other misconduct could occur. Misconduct by employees or subcontractors could include intentional or unintentional failures to comply with U.S. government procurement regulations, engaging in other unauthorized activities, or falsifying time records. Employee or subcontractor misconduct could also involve the improper use of our clients’ sensitive or classified information, or the inadvertent or intentional disclosure of our or our clients' sensitive information in violation of our contractual, statutory, or regulatory obligations. It is not always possible to deter employee or subcontractor misconduct, and the precautions we take to prevent and detect this activity may not be effective in controlling unknown or unmanaged risks or losses, which could materially harm our business. As a result of such misconduct, our employees could lose their security clearance and we could face fines and civil or criminal penalties, loss of facility clearance accreditation, and suspension, proposed debarment or debarment from bidding for or performing under contracts with the U.S. government, as well as reputational harm, which would materially and adversely affect our results of operations and financial condition.</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 face intense competition from many competitors, which could cause us to lose business, lower prices and suffer employee departures.</w:t>
      </w:r>
    </w:p>
    <w:p>
      <w:pPr>
        <w:spacing w:after="0" w:line="140"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There is also a significant industry trend towards consolidation, which may result in the emergence of companies that are better able to compete against us. Some of these companies possess greater financial resources and larger technical staffs, and others have smaller and more specialized staffs. These competitors could, among other things:</w:t>
      </w:r>
    </w:p>
    <w:p>
      <w:pPr>
        <w:spacing w:after="0" w:line="50" w:lineRule="exact"/>
        <w:rPr>
          <w:sz w:val="20"/>
          <w:szCs w:val="20"/>
          <w:color w:val="auto"/>
        </w:rPr>
      </w:pPr>
    </w:p>
    <w:p>
      <w:pPr>
        <w:ind w:left="640" w:right="600" w:hanging="321"/>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force us to charge lower prices in order to win or maintain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hire our employees; or</w:t>
      </w:r>
    </w:p>
    <w:p>
      <w:pPr>
        <w:spacing w:after="0" w:line="117" w:lineRule="exact"/>
        <w:rPr>
          <w:rFonts w:ascii="Arial" w:cs="Arial" w:eastAsia="Arial" w:hAnsi="Arial"/>
          <w:sz w:val="18"/>
          <w:szCs w:val="18"/>
          <w:color w:val="auto"/>
        </w:rPr>
      </w:pPr>
    </w:p>
    <w:p>
      <w:pPr>
        <w:ind w:left="640" w:right="100" w:hanging="321"/>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where we are the incumbent.</w:t>
      </w:r>
    </w:p>
    <w:p>
      <w:pPr>
        <w:spacing w:after="0" w:line="62"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one or more of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46" w:lineRule="exact"/>
        <w:rPr>
          <w:sz w:val="20"/>
          <w:szCs w:val="20"/>
          <w:color w:val="auto"/>
        </w:rPr>
      </w:pPr>
    </w:p>
    <w:p>
      <w:pPr>
        <w:ind w:right="300" w:firstLine="405"/>
        <w:spacing w:after="0" w:line="375" w:lineRule="auto"/>
        <w:rPr>
          <w:sz w:val="20"/>
          <w:szCs w:val="20"/>
          <w:color w:val="auto"/>
        </w:rPr>
      </w:pPr>
      <w:r>
        <w:rPr>
          <w:rFonts w:ascii="Arial" w:cs="Arial" w:eastAsia="Arial" w:hAnsi="Arial"/>
          <w:sz w:val="15"/>
          <w:szCs w:val="15"/>
          <w:b w:val="1"/>
          <w:bCs w:val="1"/>
          <w:i w:val="1"/>
          <w:iCs w:val="1"/>
          <w:color w:val="auto"/>
        </w:rPr>
        <w:t>Our failure to maintain strong relationships with other contractors, or the failure of contractors with which we have entered into a sub- or prime contractor relationship to meet their obligations to us or our clients, could have a material adverse effect on our business and results of operations.</w:t>
      </w:r>
    </w:p>
    <w:p>
      <w:pPr>
        <w:spacing w:after="0" w:line="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4" w:name="page25"/>
    <w:bookmarkEnd w:id="24"/>
    <w:p>
      <w:pPr>
        <w:ind w:right="60" w:firstLine="432"/>
        <w:spacing w:after="0" w:line="290" w:lineRule="auto"/>
        <w:rPr>
          <w:sz w:val="20"/>
          <w:szCs w:val="20"/>
          <w:color w:val="auto"/>
        </w:rPr>
      </w:pPr>
      <w:r>
        <w:rPr>
          <w:rFonts w:ascii="Arial" w:cs="Arial" w:eastAsia="Arial" w:hAnsi="Arial"/>
          <w:sz w:val="16"/>
          <w:szCs w:val="16"/>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5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estimate that revenue derived from contracts under which we acted as a subcontractor to other companies represented 8% of our revenue for fiscal 2019. As a subcontractor, we often lack control over fulfillment of a contract, and poor performance on the contract could tarnish our reputation, even when we perform as required, and could cause other contractors to choose not to hire us as a subcontractor in the future. If the U.S. government terminates or reduces other prime contractors’ programs or does not award them new contracts, subcontracting opportunities available to us could decrease, which would have a material adverse effect on our financial condition and results of operations. In addition, as a subcontractor, we may be unable to collect payments owed to us by the prime contractor, even if we have performed our obligations under the contract, as a result of, among other things, the prime contractor’s inability to fulfill the contact. Due to certain common provisions in subcontracts in certain countries, we could also experience delays in receiving payment if the prime contractor experiences payment delays, which could have an adverse effect on our financial condition and results of operations.</w:t>
      </w:r>
    </w:p>
    <w:p>
      <w:pPr>
        <w:spacing w:after="0" w:line="58"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b w:val="1"/>
          <w:bCs w:val="1"/>
          <w:i w:val="1"/>
          <w:iCs w:val="1"/>
          <w:color w:val="auto"/>
        </w:rPr>
        <w:t>Adverse judgments or settlements in legal disputes could result in materially adverse monetary damages or injunctive relief and damage our reputation.</w:t>
      </w:r>
    </w:p>
    <w:p>
      <w:pPr>
        <w:spacing w:after="0" w:line="6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As more fully described under "Item 3. Legal Proceedings", the U.S. Department of Justice (the "DOJ") is conducting a civil and criminal investigation of the Company, and the Company has also been in contact with other regulatory agencies and bodies, including the Securities and Exchange Commission, which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Any such claims or investigations may be time-consuming, costly, divert management resources, or otherwise have a material adverse effect on our result of operations.</w:t>
      </w:r>
    </w:p>
    <w:p>
      <w:pPr>
        <w:spacing w:after="0" w:line="6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Additionally, over time, we have had disputes with current and former employees involving alleged violations of civil rights, wage and hour, and worker’s compensation laws. Further, as more fully described under “Item 3. Legal Proceedings,” six former officers and stockholders who had departed the company prior to the Carlyle Acquisition have filed a total of nine suits in various jurisdictions against us and certain of our current and former directors and officers. Each of the suits arises out of the acquisition and alleges that the former stockholders are entitled to certain payments that they would have received if they had held their stock at the time of the Carlyle Acquisition. Three of these suits have been dismissed with all appeals exhausted. Two suits were settled on April 16, 2015. One of the remaining suits had its Petition for Writ of Certiorari to the United States Supreme Court denied and the other three were consolidated and ultimately dismissed. The United States Court of Appeals for the Second Circuit affirmed dismissal of the suit on July 13, 2017, except for one plaintiff's securities fraud claim, which was remanded to give the plaintiff leave to file another amended complaint. On April 6, 2018, the plaintiff filed an amended complaint, alleging that the Company and certain former officers and directors violated Sections 10(b), 20(a) and 14(e) of the Securities Exchange Act of 1934, as amended (the “Exchange Act”). On April 25, 2018, the court entered an order postponing the deadline within which the defendants must answer or move to dismiss the amended complaint.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00" w:right="259" w:bottom="1440" w:gutter="0" w:footer="0" w:header="0"/>
        </w:sectPr>
      </w:pPr>
    </w:p>
    <w:bookmarkStart w:id="25" w:name="page26"/>
    <w:bookmarkEnd w:id="25"/>
    <w:p>
      <w:pPr>
        <w:ind w:right="80" w:firstLine="432"/>
        <w:spacing w:after="0" w:line="257" w:lineRule="auto"/>
        <w:rPr>
          <w:sz w:val="20"/>
          <w:szCs w:val="20"/>
          <w:color w:val="auto"/>
        </w:rPr>
      </w:pPr>
      <w:r>
        <w:rPr>
          <w:rFonts w:ascii="Arial" w:cs="Arial" w:eastAsia="Arial" w:hAnsi="Arial"/>
          <w:sz w:val="18"/>
          <w:szCs w:val="18"/>
          <w:color w:val="auto"/>
        </w:rPr>
        <w:t>The results of litigation and other legal proceedings, including the other claims described under "Item 3.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in the future. The litigation and other legal proceedings described under “Item 3. Legal Proceedings” are subject to future developments and management’s view of these matters may change in the future.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face certain significant risk exposures and potential liabilities that may not be adequately covered by indemnity or insurance.</w:t>
      </w:r>
    </w:p>
    <w:p>
      <w:pPr>
        <w:spacing w:after="0" w:line="129"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A significant portion of our business relates to designing, developing, and implementing advanced defense and technology systems and products, including cybersecurity products and services. New technologies may be untested or unproven. We maintain insurance policies that mitigate against risk and potential liabilities related to our operations, including data breaches. This insurance is maintained in amounts that we believe are reasonable. However, our insurance coverage may not be adequate to cover those claims or liabilities, and we may be forced to bear significant costs from an accident or incident.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or liquidity.</w:t>
      </w:r>
    </w:p>
    <w:p>
      <w:pPr>
        <w:spacing w:after="0" w:line="70"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62" w:lineRule="exact"/>
        <w:rPr>
          <w:sz w:val="20"/>
          <w:szCs w:val="20"/>
          <w:color w:val="auto"/>
        </w:rPr>
      </w:pPr>
    </w:p>
    <w:p>
      <w:pPr>
        <w:ind w:right="180" w:firstLine="432"/>
        <w:spacing w:after="0" w:line="271" w:lineRule="auto"/>
        <w:rPr>
          <w:sz w:val="20"/>
          <w:szCs w:val="20"/>
          <w:color w:val="auto"/>
        </w:rPr>
      </w:pPr>
      <w:r>
        <w:rPr>
          <w:rFonts w:ascii="Arial" w:cs="Arial" w:eastAsia="Arial" w:hAnsi="Arial"/>
          <w:sz w:val="17"/>
          <w:szCs w:val="17"/>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including personally identifiable, health and financial information. The cyber and security threats that our clients face have grown more frequent and sophisticated. A security breach in one of these systems could cause serious harm to our business, damage our reputation, and prevent us from being eligible for further work on sensitive systems for U.S. government or commercial clients. Work for non-U.S. 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results of operations.</w:t>
      </w:r>
    </w:p>
    <w:p>
      <w:pPr>
        <w:spacing w:after="0" w:line="71"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b w:val="1"/>
          <w:bCs w:val="1"/>
          <w:i w:val="1"/>
          <w:iCs w:val="1"/>
          <w:color w:val="auto"/>
        </w:rPr>
        <w:t>Certain services we provide and technologies we develop are designed to detect and monitor threats to our clients and may expose our staff to financial loss or physical or reputational harm.</w:t>
      </w:r>
    </w:p>
    <w:p>
      <w:pPr>
        <w:spacing w:after="0" w:line="6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help our clients detect, monitor and mitigate threats to their people, information and facilities. These threats may originate from nation states, terrorist or criminal actors, activist hackers or others who seek to harm our clients. Successful attacks on our clients may cause reputational harm to us and our clients, as well as liability to our clients or third parties. In addition, if we are associated with our clients in this regard, our staff, information and facilities may be targeted by a similar group of threat actors and may be at risk for financial loss, or physical or reputational harm.</w:t>
      </w:r>
    </w:p>
    <w:p>
      <w:pPr>
        <w:spacing w:after="0" w:line="6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b w:val="1"/>
          <w:bCs w:val="1"/>
          <w:i w:val="1"/>
          <w:iCs w:val="1"/>
          <w:color w:val="auto"/>
        </w:rPr>
        <w:t>Internal system or service failures, or those of our vendors,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spacing w:after="0" w:line="7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are subject to systems or service failures, not only resulting from our own failures or the failures of third-party service providers, natural disasters, power shortages, or terrorist attacks, but also from continuous exposure to constantly evolving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controlled unclassified and other sensitive information. As a result, we and our vendors face a heightened risk of a security breach or disruption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00" w:right="259" w:bottom="1440" w:gutter="0" w:footer="0" w:header="0"/>
        </w:sectPr>
      </w:pPr>
    </w:p>
    <w:bookmarkStart w:id="26" w:name="page27"/>
    <w:bookmarkEnd w:id="26"/>
    <w:p>
      <w:pPr>
        <w:spacing w:after="0" w:line="264" w:lineRule="auto"/>
        <w:rPr>
          <w:sz w:val="20"/>
          <w:szCs w:val="20"/>
          <w:color w:val="auto"/>
        </w:rPr>
      </w:pPr>
      <w:r>
        <w:rPr>
          <w:rFonts w:ascii="Arial" w:cs="Arial" w:eastAsia="Arial" w:hAnsi="Arial"/>
          <w:sz w:val="18"/>
          <w:szCs w:val="18"/>
          <w:color w:val="auto"/>
        </w:rPr>
        <w:t>adverse effect on our business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exposing us or our clients to liability.</w:t>
      </w:r>
    </w:p>
    <w:p>
      <w:pPr>
        <w:spacing w:after="0" w:line="7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62" w:lineRule="exact"/>
        <w:rPr>
          <w:sz w:val="20"/>
          <w:szCs w:val="20"/>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costs related to remediation, monitoring and increasing our cybersecurity;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lose revenue due to the deployment of internal staff for remediation efforts instead of client assignments;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w:t>
      </w:r>
    </w:p>
    <w:p>
      <w:pPr>
        <w:spacing w:after="0" w:line="117" w:lineRule="exact"/>
        <w:rPr>
          <w:rFonts w:ascii="Arial" w:cs="Arial" w:eastAsia="Arial" w:hAnsi="Arial"/>
          <w:sz w:val="18"/>
          <w:szCs w:val="18"/>
          <w:color w:val="auto"/>
        </w:rPr>
      </w:pPr>
    </w:p>
    <w:p>
      <w:pPr>
        <w:ind w:left="640" w:right="78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unable to successfully market services that are reliant on the creation and maintaining of secure information technology systems to U.S. government, international, and commercial clients;</w:t>
      </w:r>
    </w:p>
    <w:p>
      <w:pPr>
        <w:spacing w:after="0" w:line="62" w:lineRule="exact"/>
        <w:rPr>
          <w:rFonts w:ascii="Arial" w:cs="Arial" w:eastAsia="Arial" w:hAnsi="Arial"/>
          <w:sz w:val="18"/>
          <w:szCs w:val="18"/>
          <w:color w:val="auto"/>
        </w:rPr>
      </w:pPr>
    </w:p>
    <w:p>
      <w:pPr>
        <w:ind w:left="640" w:right="28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suffer claims by clients or impacted third parties for substantial damages, particularly as a result of any successful network or systems breach and exfiltration of client and/or third party information; or</w:t>
      </w:r>
    </w:p>
    <w:p>
      <w:pPr>
        <w:spacing w:after="0" w:line="62" w:lineRule="exact"/>
        <w:rPr>
          <w:rFonts w:ascii="Arial" w:cs="Arial" w:eastAsia="Arial" w:hAnsi="Arial"/>
          <w:sz w:val="18"/>
          <w:szCs w:val="18"/>
          <w:color w:val="auto"/>
        </w:rPr>
      </w:pPr>
    </w:p>
    <w:p>
      <w:pPr>
        <w:ind w:left="640" w:right="72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significant costs, including fines from government regulators related to complying with applicable federal or state law, including laws pertaining to the security and protection of personal information.</w:t>
      </w:r>
    </w:p>
    <w:p>
      <w:pPr>
        <w:spacing w:after="0" w:line="6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62"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certain new business areas, we may not be able to obtain sufficient insurance and may decide not to accept or solicit business in these areas.</w:t>
      </w:r>
    </w:p>
    <w:p>
      <w:pPr>
        <w:spacing w:after="0" w:line="7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a contractor supporting defense and national security clients, we are also subject to regulatory compliance requirements under the Defense Federal Acquisition Regulation Supplement and other federal regulations requiring that our networks and IT systems comply with the security and privacy controls in National Institute of Standards and Technology Special Publications. To the extent that we do not comply with the applicable security and control requirements, unauthorized access or disclosure of sensitive information could potentially result in a contract termination that has a material adverse effect on our business and financial results and reputational harm.</w:t>
      </w:r>
    </w:p>
    <w:p>
      <w:pPr>
        <w:spacing w:after="0" w:line="80"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b w:val="1"/>
          <w:bCs w:val="1"/>
          <w:i w:val="1"/>
          <w:iCs w:val="1"/>
          <w:color w:val="auto"/>
        </w:rPr>
        <w:t>Implementation of various data privacy and cybersecurity laws could require significant investment into ongoing compliance activities, trigger potential liability under such laws, and limit our ability to use personal data.</w:t>
      </w:r>
    </w:p>
    <w:p>
      <w:pPr>
        <w:spacing w:after="0" w:line="62"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Any failure by us, our vendors or other business partners to comply with international, federal, or state laws regarding data privacy or cybersecurity could result in regulatory actions or lawsuits against us, legal liability, fines, damages and other costs. We may also incur substantial expenses in implementing and maintaining compliance with such laws. For example, the General Data Protection Regulation (“GDPR”), implemented on May 25, 2018 across the European Union (“EU”), imposes more stringent data protection obligations on companies that process data in the EU. GDPR has created new compliance obligations, requires investment into ongoing data protection activities and documentation requirements, and creates the potential for significantly increased fines for noncompliance. In addition, California has enacted the California Consumer Protection Privacy Act of 2018 (“CCPA”), which provides new consumer privacy rights to natural persons residing in California. The CCPA is the most prescriptive general privacy law in the United States, and may lead to similar laws being enacted in other U.S. states or at the federal level. It is possible that the CCPA or similar laws will be deemed applicable to some aspects of our business, which would impose new compliance obligations and require additional investment into data protection activities. The CCPA’s effective date deadline is January 1, 2020, and it is anticipated that the California Attorney General will issue implementing regulations at a date that is not yet known. Any obligations that may be imposed on us under CCPA or similar laws may be different from or in addition to those required by GDPR, which may cause additional expense for compliance across various jurisdictions. GDPR, California law, and the laws of other U.S. states also impose obligations to</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00" w:right="259" w:bottom="1440" w:gutter="0" w:footer="0" w:header="0"/>
        </w:sectPr>
      </w:pPr>
    </w:p>
    <w:bookmarkStart w:id="27" w:name="page28"/>
    <w:bookmarkEnd w:id="27"/>
    <w:p>
      <w:pPr>
        <w:ind w:right="20"/>
        <w:spacing w:after="0" w:line="277" w:lineRule="auto"/>
        <w:rPr>
          <w:sz w:val="20"/>
          <w:szCs w:val="20"/>
          <w:color w:val="auto"/>
        </w:rPr>
      </w:pPr>
      <w:r>
        <w:rPr>
          <w:rFonts w:ascii="Arial" w:cs="Arial" w:eastAsia="Arial" w:hAnsi="Arial"/>
          <w:sz w:val="18"/>
          <w:szCs w:val="18"/>
          <w:color w:val="auto"/>
        </w:rPr>
        <w:t>maintain a cybersecurity program at a certain level of quality, as well as obligations to give notice to affected individuals and to certain regulators in the event of a data breach.</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Failure to adequately protect, maintain, or enforce our rights in our intellectual property may adversely limit our competitive position.</w:t>
      </w:r>
    </w:p>
    <w:p>
      <w:pPr>
        <w:spacing w:after="0" w:line="12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7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spacing w:after="0" w:line="62"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w:t>
      </w:r>
    </w:p>
    <w:p>
      <w:pPr>
        <w:spacing w:after="0" w:line="8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certain products or services, or take other actions to resolve the claims. These actions, if required, may be costly or unavailable on terms acceptable to us.</w:t>
      </w:r>
    </w:p>
    <w:p>
      <w:pPr>
        <w:spacing w:after="0" w:line="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62"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We are focused on growing our presence in our addressable markets by: expanding our relationships with existing clients, developing new clients by leveraging our core competencies, further developing our existing capabilities and service offerings, creating new capabilities and service offerings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our ability to comply with uncertain evolving legal standards applicable to certain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including the GDPR. See "— Implementation of various data privacy and cybersecurity laws could require significant investment into ongoing compliance activities, trigger potential liability under such laws, and limit our ability to use personal data."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 Additionally,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financial condition.</w:t>
      </w:r>
    </w:p>
    <w:p>
      <w:pPr>
        <w:spacing w:after="0" w:line="7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our ability to grow our business by leveraging our operating model to efficiently and effectively deploy our people across our client base is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and results of operations.</w:t>
      </w:r>
    </w:p>
    <w:p>
      <w:pPr>
        <w:spacing w:after="0" w:line="79"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In addition, with the growth of our U.S. and international operations, we are now providing client services and undertaking business development efforts in numerous and disparate geographic locations both domestically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00" w:right="259" w:bottom="1440" w:gutter="0" w:footer="0" w:header="0"/>
        </w:sectPr>
      </w:pPr>
    </w:p>
    <w:bookmarkStart w:id="28" w:name="page29"/>
    <w:bookmarkEnd w:id="28"/>
    <w:p>
      <w:pPr>
        <w:jc w:val="both"/>
        <w:ind w:right="60"/>
        <w:spacing w:after="0" w:line="259" w:lineRule="auto"/>
        <w:rPr>
          <w:sz w:val="20"/>
          <w:szCs w:val="20"/>
          <w:color w:val="auto"/>
        </w:rPr>
      </w:pPr>
      <w:r>
        <w:rPr>
          <w:rFonts w:ascii="Arial" w:cs="Arial" w:eastAsia="Arial" w:hAnsi="Arial"/>
          <w:sz w:val="18"/>
          <w:szCs w:val="18"/>
          <w:color w:val="auto"/>
        </w:rPr>
        <w:t>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are subject to risks associated with operating internationally.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business operations are subject to a variety of risks associated with conducting business internationally, including:</w:t>
      </w:r>
    </w:p>
    <w:p>
      <w:pPr>
        <w:spacing w:after="0" w:line="117" w:lineRule="exact"/>
        <w:rPr>
          <w:sz w:val="20"/>
          <w:szCs w:val="20"/>
          <w:color w:val="auto"/>
        </w:rPr>
      </w:pPr>
    </w:p>
    <w:p>
      <w:pPr>
        <w:ind w:left="1300" w:hanging="333"/>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or interpretations of laws or policies that may adversely affect the performance of our services;</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instability in foreign countries;</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inconsistent or contradictory laws or regulations;</w:t>
      </w:r>
    </w:p>
    <w:p>
      <w:pPr>
        <w:spacing w:after="0" w:line="117" w:lineRule="exact"/>
        <w:rPr>
          <w:rFonts w:ascii="Arial" w:cs="Arial" w:eastAsia="Arial" w:hAnsi="Arial"/>
          <w:sz w:val="18"/>
          <w:szCs w:val="18"/>
          <w:color w:val="auto"/>
        </w:rPr>
      </w:pPr>
    </w:p>
    <w:p>
      <w:pPr>
        <w:ind w:left="1300" w:right="660" w:hanging="333"/>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the U.S. or other governments to authorize us to export products, technology, and services to clients and other business partners;</w:t>
      </w:r>
    </w:p>
    <w:p>
      <w:pPr>
        <w:spacing w:after="0" w:line="62" w:lineRule="exact"/>
        <w:rPr>
          <w:rFonts w:ascii="Arial" w:cs="Arial" w:eastAsia="Arial" w:hAnsi="Arial"/>
          <w:sz w:val="18"/>
          <w:szCs w:val="18"/>
          <w:color w:val="auto"/>
        </w:rPr>
      </w:pPr>
    </w:p>
    <w:p>
      <w:pPr>
        <w:ind w:left="1300" w:hanging="333"/>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Conducting business in places where laws, business practices, and customs are unfamiliar or unknown; and</w:t>
      </w:r>
    </w:p>
    <w:p>
      <w:pPr>
        <w:spacing w:after="0" w:line="117" w:lineRule="exact"/>
        <w:rPr>
          <w:rFonts w:ascii="Arial" w:cs="Arial" w:eastAsia="Arial" w:hAnsi="Arial"/>
          <w:sz w:val="18"/>
          <w:szCs w:val="18"/>
          <w:color w:val="auto"/>
        </w:rPr>
      </w:pPr>
    </w:p>
    <w:p>
      <w:pPr>
        <w:ind w:left="1300" w:hanging="333"/>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limitations on or increase of withholding and other taxes on payments by foreign subsidiaries or joint ventures;</w:t>
      </w:r>
    </w:p>
    <w:p>
      <w:pPr>
        <w:spacing w:after="0" w:line="117" w:lineRule="exact"/>
        <w:rPr>
          <w:rFonts w:ascii="Arial" w:cs="Arial" w:eastAsia="Arial" w:hAnsi="Arial"/>
          <w:sz w:val="18"/>
          <w:szCs w:val="18"/>
          <w:color w:val="auto"/>
        </w:rPr>
      </w:pPr>
    </w:p>
    <w:p>
      <w:pPr>
        <w:ind w:left="1300" w:right="360" w:hanging="333"/>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Volatility in foreign currencies if the United Kingdom exits from the European Union, particularly in countries where the Company has substantial activities; and</w:t>
      </w:r>
    </w:p>
    <w:p>
      <w:pPr>
        <w:spacing w:after="0" w:line="62" w:lineRule="exact"/>
        <w:rPr>
          <w:rFonts w:ascii="Arial" w:cs="Arial" w:eastAsia="Arial" w:hAnsi="Arial"/>
          <w:sz w:val="18"/>
          <w:szCs w:val="18"/>
          <w:color w:val="auto"/>
        </w:rPr>
      </w:pPr>
    </w:p>
    <w:p>
      <w:pPr>
        <w:ind w:left="1300" w:right="220" w:hanging="333"/>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tariffs or embargoes, export controls and other trade restrictions, including the recent tariffs imposed by the U.S. and China and the possibility of additional tariffs or other trade restrictions relating to trade.</w:t>
      </w:r>
    </w:p>
    <w:p>
      <w:pPr>
        <w:spacing w:after="0" w:line="62"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In addition, we are subject to the U.S. Foreign Corrupt Practices Act, or the FCPA, and other laws that prohibit improper payments or offers of payments to foreign governments and their officials and political parties by business entities for the purpose of obtaining or retaining business. We have operations and deal with governmental clients in countries known to experience corruption, including certain emerging countries in the Middle East and Southeast Asia. Our activities in these countries create the risk of unauthorized payments or offers of payments by one of our employees, consultants or contractors that could be in violation of various laws including the FCPA and other anti-corruption laws, even though these parties are not always subject to our control. Our international operations also involve activities involving the transmittal of information, which may include personal data, that may expose us to data privacy laws in the jurisdictions in which we operate. If our data protection practices become subject to new or different restrictions, and to the extent such practices are not compliant with the laws of the countries in which we process data, we could face increased compliance expenses and face penalties for violating such laws or be excluded from those markets altogether, in which case our operations could be adversely affected.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w:t>
      </w:r>
    </w:p>
    <w:p>
      <w:pPr>
        <w:spacing w:after="0" w:line="65"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If we were to fail to comply with the FCPA, other anti-corruption laws, applicable import-export control regulations, data privacy laws, or other applicable rules and regulations, we could be subject to substantial civil and criminal penalties, including fines for our company and incarceration for responsible employees and managers, suspension or debarment, and the possible loss of export or import privileges which could have a material adverse effect on our business and results of operations.</w:t>
      </w:r>
    </w:p>
    <w:p>
      <w:pPr>
        <w:spacing w:after="0" w:line="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62" w:lineRule="exact"/>
        <w:rPr>
          <w:sz w:val="20"/>
          <w:szCs w:val="20"/>
          <w:color w:val="auto"/>
        </w:rPr>
      </w:pPr>
    </w:p>
    <w:p>
      <w:pPr>
        <w:jc w:val="both"/>
        <w:ind w:right="280" w:firstLine="432"/>
        <w:spacing w:after="0" w:line="259" w:lineRule="auto"/>
        <w:rPr>
          <w:sz w:val="20"/>
          <w:szCs w:val="20"/>
          <w:color w:val="auto"/>
        </w:rPr>
      </w:pPr>
      <w:r>
        <w:rPr>
          <w:rFonts w:ascii="Arial" w:cs="Arial" w:eastAsia="Arial" w:hAnsi="Arial"/>
          <w:sz w:val="18"/>
          <w:szCs w:val="18"/>
          <w:color w:val="auto"/>
        </w:rPr>
        <w:t>We routinely review our operating structure, capabilities and strategy to determine whether we are effectively meeting the needs of existing clients, effectively responding to developments in our markets and successfully building platforms intended to provide the foundation for the future growth of our business. The outcome of any such review is difficult to predict and the extent of changes to our business following such a review, if any, are dependent in part upon the nature and extent of the review.</w:t>
      </w:r>
    </w:p>
    <w:p>
      <w:pPr>
        <w:spacing w:after="0" w:line="7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implementation of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00" w:right="259" w:bottom="1440" w:gutter="0" w:footer="0" w:header="0"/>
        </w:sectPr>
      </w:pPr>
    </w:p>
    <w:bookmarkStart w:id="29" w:name="page30"/>
    <w:bookmarkEnd w:id="29"/>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Many of our contracts with the U.S. government are classified or subject to other security restrictions, which may limit investor insight into portions of our business.</w:t>
      </w:r>
    </w:p>
    <w:p>
      <w:pPr>
        <w:spacing w:after="0" w:line="62"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We derive a substantial portion of our revenue from contracts with the U.S. government that are classified or subject to security restrictions that preclude the dissemination of certain information. In addition, a significant number of our employees have security clearances which preclude them from providing information regarding certain of our clients and services provided to such clients to other of our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5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62"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depend on the timely collection of our receivables to generate cash flow, provide working capital, and continue our business operations. If the U.S. government or any prime contractor for whom we are a subcontractor fails to pay or delays the payment of invoices for any reason, our business and financial condition may be materially and adversely affected. The U.S. government may delay or fail to pay invoices for a number of reasons, including lack of appropriated funds, lack of an approved budget, lack of revised or final settled billing rates as a result of open audit years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b w:val="1"/>
          <w:bCs w:val="1"/>
          <w:i w:val="1"/>
          <w:iCs w:val="1"/>
          <w:color w:val="auto"/>
        </w:rPr>
        <w:t>Recent efforts by the U.S. government to revise its organizational conflict of interest rules could limit our ability to successfully compete for new contracts or task orders, which would adversely affect our results of operations.</w:t>
      </w:r>
    </w:p>
    <w:p>
      <w:pPr>
        <w:spacing w:after="0" w:line="62"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Recent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73" w:lineRule="exact"/>
        <w:rPr>
          <w:sz w:val="20"/>
          <w:szCs w:val="20"/>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impaired objectivity during performance;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unfair access to non-public information; or</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set the “ground rules” for another procurement for which the contractor competes.</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In addition, the U.S. government is working to adopt a FAR rule to address organizational conflicts of interest issues that will apply to all government contractors, including us, in Department of Defense and other procurements. A future FAR rule may also increase the restrictions in current organizational conflicts of interest regulations and rules. To the extent that proposed and future organizational conflicts of interest laws, regulations, and rules, limit our ability to successfully compete for new contracts or task orders with the U.S. government, either because of organizational conflicts of interest issues arising from our business, or because companies with which we are affiliated, or with which we otherwise conduct business, create organizational conflicts of interest issues for us, our results of operations could be materially and adversely affected.</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may consummate acquisitions, investments, joint ventures and divestitures, which involve numerous risks and uncertainties.</w:t>
      </w:r>
    </w:p>
    <w:p>
      <w:pPr>
        <w:spacing w:after="0" w:line="12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part of our operating strategy, we selectively pursue acquisitions, investments, partnerships and joint ventures. These transactions pose many risks, including:</w:t>
      </w:r>
    </w:p>
    <w:p>
      <w:pPr>
        <w:spacing w:after="0" w:line="62" w:lineRule="exact"/>
        <w:rPr>
          <w:sz w:val="20"/>
          <w:szCs w:val="20"/>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identify suitable acquisition and investment candidates at prices we consider attractive;</w:t>
      </w:r>
    </w:p>
    <w:p>
      <w:pPr>
        <w:spacing w:after="0" w:line="117" w:lineRule="exact"/>
        <w:rPr>
          <w:rFonts w:ascii="Arial" w:cs="Arial" w:eastAsia="Arial" w:hAnsi="Arial"/>
          <w:sz w:val="18"/>
          <w:szCs w:val="18"/>
          <w:color w:val="auto"/>
        </w:rPr>
      </w:pPr>
    </w:p>
    <w:p>
      <w:pPr>
        <w:ind w:left="640" w:right="740" w:hanging="321"/>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compete successfully for identified acquisition and investment candidates, complete acquisitions and investments, or accurately estimate the financial effect of acquisitions and investments on our business;</w:t>
      </w:r>
    </w:p>
    <w:p>
      <w:pPr>
        <w:spacing w:after="0" w:line="62" w:lineRule="exact"/>
        <w:rPr>
          <w:rFonts w:ascii="Arial" w:cs="Arial" w:eastAsia="Arial" w:hAnsi="Arial"/>
          <w:sz w:val="18"/>
          <w:szCs w:val="18"/>
          <w:color w:val="auto"/>
        </w:rPr>
      </w:pPr>
    </w:p>
    <w:p>
      <w:pPr>
        <w:ind w:left="640" w:right="140" w:hanging="321"/>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acquisitions and investments may require us to issue common stock or spend significant cash, resulting in dilution of ownership or additional debt leverage;</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difficulty retaining an acquired company’s key employees or clients;</w:t>
      </w:r>
    </w:p>
    <w:p>
      <w:pPr>
        <w:spacing w:after="0" w:line="117" w:lineRule="exact"/>
        <w:rPr>
          <w:rFonts w:ascii="Arial" w:cs="Arial" w:eastAsia="Arial" w:hAnsi="Arial"/>
          <w:sz w:val="18"/>
          <w:szCs w:val="18"/>
          <w:color w:val="auto"/>
        </w:rPr>
      </w:pPr>
    </w:p>
    <w:p>
      <w:pPr>
        <w:ind w:left="640" w:right="580" w:hanging="321"/>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difficulty integrating acquired businesses and investments, resulting in unforeseen difficulties, such as incompatible accounting, information management, or other control systems, and greater expenses than expected;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30" w:name="page31"/>
    <w:bookmarkEnd w:id="30"/>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and investments may disrupt our business or distract our management from other responsibilities;</w:t>
      </w:r>
    </w:p>
    <w:p>
      <w:pPr>
        <w:spacing w:after="0" w:line="117"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result of an acquisition or investment, we may incur additional debt and we may need to record write-downs from future impairments of intangible assets, each of which could reduce our future reported earnings; we may have difficulty integrating personnel from the acquired company with our people and our core values; and</w:t>
      </w:r>
    </w:p>
    <w:p>
      <w:pPr>
        <w:spacing w:after="0" w:line="73" w:lineRule="exact"/>
        <w:rPr>
          <w:rFonts w:ascii="Arial" w:cs="Arial" w:eastAsia="Arial" w:hAnsi="Arial"/>
          <w:sz w:val="18"/>
          <w:szCs w:val="18"/>
          <w:color w:val="auto"/>
        </w:rPr>
      </w:pPr>
    </w:p>
    <w:p>
      <w:pPr>
        <w:ind w:left="640" w:right="380" w:hanging="321"/>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effectively influence the operations of our joint ventures or partnerships, or we may be exposed to certain liabilities if our partners do not fulfill their obligations.</w:t>
      </w:r>
    </w:p>
    <w:p>
      <w:pPr>
        <w:spacing w:after="0" w:line="62"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In connection with any acquisition or investment that we make, there may be liabilities that we fail to discover or that we inadequately assess, and we may fail to discover any failure of a target company to have fulfilled its contractual obligations to the U.S. government or other clients. Acquired entities and investments may not operate profitably or result in improved operating performance. Additionally, we may not realize anticipated synergies, business growth opportunities, cost savings, and other benefits, which could have a material adverse effect on our business and results of operations.</w:t>
      </w:r>
    </w:p>
    <w:p>
      <w:pPr>
        <w:spacing w:after="0" w:line="46"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In addition, we may divest businesses, including businesses that are no longer a part of our ongoing strategic plan. These divestitures similarly require significant investment of time and resources,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could adversely affect our financial results. In addition, we may be unable to complete strategic divestitures on satisfactory terms and conditions, including non-competition arrangements, or within expected time frames.</w:t>
      </w:r>
    </w:p>
    <w:p>
      <w:pPr>
        <w:spacing w:after="0" w:line="6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b w:val="1"/>
          <w:bCs w:val="1"/>
          <w:i w:val="1"/>
          <w:iCs w:val="1"/>
          <w:color w:val="auto"/>
        </w:rPr>
        <w:t>Goodwill represents a significant asset on our balance sheet, and changes in future business conditions could cause these investments to become impaired, requiring substantial write-downs that would reduce our operating income.</w:t>
      </w:r>
    </w:p>
    <w:p>
      <w:pPr>
        <w:spacing w:after="0" w:line="62"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As of March 31, 2019, the value of our goodwill was $1.6 billion. The amount of our recorded goodwill may substantially increase in the future as a result of any acquisitions that we make. We evaluate the recoverability of recorded goodwill amounts annually, or when evidence of potential impairment exists. Impairment analysis is based on several factors requiring judgment and the use of estimates, which are inherently uncertain and based on assumptions that may prove to be inaccurate. Additionally, material changes in our financial outlook, as well as events outside of our control, such as deteriorating market conditions for companies in our industry, may indicate a potential impairment. When there is an impairment, we are required to write down the recorded amount of goodwill, which is reflected as a charge against operating income. Such non-cash impairment charges could have a material adverse effect on our results of operations in the period in which they are recognized.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tax law could adversely impact our results of operations.</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subject to taxation in the U.S. and certain other foreign jurisdictions. Any future changes in applicable federal, state and local, or foreign tax laws and regulations or their interpretation or application, including those that could have a retroactive effect, could result in the Company incurring additional tax liabilities in the future. In particular, we will continue to assess the effect of the Tax Cuts and Jobs Act (the "2017 Tax Act") on our business as it relates to taxes on low taxed intangible foreign income as well as deduction for foreign derived intangible income. Additionally, any final determination of tax audits or related litigation may be materially different than our current provisional amounts, which could materially affect our tax obligations and effective tax rate. For additional information regarding the 2017 Tax Act, see "Item 7. Management's Discussion and Analysis of Financial Condition and Results of Operations". For a description of our related accounting policies, refer to Note 2 and Note 14 to our accompanying consolidated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40" w:firstLine="405"/>
        <w:spacing w:after="0" w:line="375" w:lineRule="auto"/>
        <w:rPr>
          <w:sz w:val="20"/>
          <w:szCs w:val="20"/>
          <w:color w:val="auto"/>
        </w:rPr>
      </w:pPr>
      <w:r>
        <w:rPr>
          <w:rFonts w:ascii="Arial" w:cs="Arial" w:eastAsia="Arial" w:hAnsi="Arial"/>
          <w:sz w:val="15"/>
          <w:szCs w:val="15"/>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spacing w:after="0" w:line="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U.S. government contracts contain provisions and are subject to laws and regulations that provide government clients with rights and remedies not typically found in commercial contracts. These rights and remedies allow government clients, among other things, to:</w:t>
      </w:r>
    </w:p>
    <w:p>
      <w:pPr>
        <w:spacing w:after="0" w:line="62" w:lineRule="exact"/>
        <w:rPr>
          <w:sz w:val="20"/>
          <w:szCs w:val="20"/>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terminate existing contracts, with short notice, for convenience as well as for default;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 orders under or otherwise modify contracts;</w:t>
      </w:r>
    </w:p>
    <w:p>
      <w:pPr>
        <w:spacing w:after="0" w:line="117"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contracts subject to the Truthful Cost or Pricing Data Statute, reduce the contract price or cost where it was increased because a contractor or subcontractor furnished cost or pricing data during negotiations that was not complete, accurate, and current;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800" w:right="259" w:bottom="1440" w:gutter="0" w:footer="0" w:header="0"/>
        </w:sectPr>
      </w:pPr>
    </w:p>
    <w:bookmarkStart w:id="31" w:name="page32"/>
    <w:bookmarkEnd w:id="31"/>
    <w:p>
      <w:pPr>
        <w:ind w:left="640" w:right="220" w:hanging="321"/>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terminate our facility security clearances and thereby prevent us from receiving classified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decline to exercise an option to renew a multi-year contract or issue task orders in connection with IDIQ contracts;</w:t>
      </w:r>
    </w:p>
    <w:p>
      <w:pPr>
        <w:spacing w:after="0" w:line="117" w:lineRule="exact"/>
        <w:rPr>
          <w:rFonts w:ascii="Arial" w:cs="Arial" w:eastAsia="Arial" w:hAnsi="Arial"/>
          <w:sz w:val="18"/>
          <w:szCs w:val="18"/>
          <w:color w:val="auto"/>
        </w:rPr>
      </w:pPr>
    </w:p>
    <w:p>
      <w:pPr>
        <w:ind w:left="640" w:right="20" w:hanging="321"/>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73" w:lineRule="exact"/>
        <w:rPr>
          <w:rFonts w:ascii="Arial" w:cs="Arial" w:eastAsia="Arial" w:hAnsi="Arial"/>
          <w:sz w:val="18"/>
          <w:szCs w:val="18"/>
          <w:color w:val="auto"/>
        </w:rPr>
      </w:pPr>
    </w:p>
    <w:p>
      <w:pPr>
        <w:ind w:left="640" w:right="340" w:hanging="321"/>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73" w:lineRule="exact"/>
        <w:rPr>
          <w:rFonts w:ascii="Arial" w:cs="Arial" w:eastAsia="Arial" w:hAnsi="Arial"/>
          <w:sz w:val="18"/>
          <w:szCs w:val="18"/>
          <w:color w:val="auto"/>
        </w:rPr>
      </w:pPr>
    </w:p>
    <w:p>
      <w:pPr>
        <w:ind w:left="640" w:right="20" w:hanging="321"/>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debar us from doing business with the U.S. government;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control or prohibit the export of our services.</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U.S. government may revise its procurement, contract or other practices in a manner adverse to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U.S. government may:</w:t>
      </w:r>
    </w:p>
    <w:p>
      <w:pPr>
        <w:spacing w:after="0" w:line="117" w:lineRule="exact"/>
        <w:rPr>
          <w:sz w:val="20"/>
          <w:szCs w:val="20"/>
          <w:color w:val="auto"/>
        </w:rPr>
      </w:pPr>
    </w:p>
    <w:p>
      <w:pPr>
        <w:ind w:left="640" w:right="360" w:hanging="321"/>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revise its procurement practices or adopt new contract laws, rules, and regulations, such as cost accounting standards, organizational conflicts of interest, and other rules governing inherently governmental functions at any time;</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 delay, or cancel procurement programs resulting from U.S. government efforts to improve procurement practices and efficiency;</w:t>
      </w:r>
    </w:p>
    <w:p>
      <w:pPr>
        <w:spacing w:after="0" w:line="128" w:lineRule="exact"/>
        <w:rPr>
          <w:rFonts w:ascii="Arial" w:cs="Arial" w:eastAsia="Arial" w:hAnsi="Arial"/>
          <w:sz w:val="17"/>
          <w:szCs w:val="17"/>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the creation of new government-wide or agency-specific multiple award contracts;</w:t>
      </w:r>
    </w:p>
    <w:p>
      <w:pPr>
        <w:spacing w:after="0" w:line="117" w:lineRule="exact"/>
        <w:rPr>
          <w:rFonts w:ascii="Arial" w:cs="Arial" w:eastAsia="Arial" w:hAnsi="Arial"/>
          <w:sz w:val="18"/>
          <w:szCs w:val="18"/>
          <w:color w:val="auto"/>
        </w:rPr>
      </w:pPr>
    </w:p>
    <w:p>
      <w:pPr>
        <w:ind w:left="640" w:right="280" w:hanging="321"/>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face restrictions or pressure from government employees and their unions regarding the amount of services the U.S. government may obtain from private contractors;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award contracts on a technically acceptable/lowest cost basis in order to reduce expenditures, and we may not be the lowest cost provider of services;</w:t>
      </w:r>
    </w:p>
    <w:p>
      <w:pPr>
        <w:spacing w:after="0" w:line="140" w:lineRule="exact"/>
        <w:rPr>
          <w:rFonts w:ascii="Arial" w:cs="Arial" w:eastAsia="Arial" w:hAnsi="Arial"/>
          <w:sz w:val="16"/>
          <w:szCs w:val="16"/>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adopt new socio-economic requirements, including setting aside procurement opportunities to small, disadvantaged businesses;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the basis upon which it reimburses our compensation and other expenses or otherwise limit such reimbursements;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its option, terminate or decline to renew our contracts.</w:t>
      </w:r>
    </w:p>
    <w:p>
      <w:pPr>
        <w:spacing w:after="0" w:line="11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00" w:right="259" w:bottom="1440" w:gutter="0" w:footer="0" w:header="0"/>
        </w:sectPr>
      </w:pPr>
    </w:p>
    <w:bookmarkStart w:id="32" w:name="page33"/>
    <w:bookmarkEnd w:id="32"/>
    <w:p>
      <w:pPr>
        <w:ind w:left="420"/>
        <w:spacing w:after="0"/>
        <w:rPr>
          <w:sz w:val="20"/>
          <w:szCs w:val="20"/>
          <w:color w:val="auto"/>
        </w:rPr>
      </w:pPr>
      <w:r>
        <w:rPr>
          <w:rFonts w:ascii="Arial" w:cs="Arial" w:eastAsia="Arial" w:hAnsi="Arial"/>
          <w:sz w:val="15"/>
          <w:szCs w:val="15"/>
          <w:b w:val="1"/>
          <w:bCs w:val="1"/>
          <w:i w:val="1"/>
          <w:iCs w:val="1"/>
          <w:color w:val="auto"/>
        </w:rPr>
        <w:t>The U.S. government may prefer minority-owned, small and small disadvantaged businesses; therefore, we may have fewer opportunities to bid for.</w:t>
      </w:r>
    </w:p>
    <w:p>
      <w:pPr>
        <w:spacing w:after="0" w:line="152"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8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b w:val="1"/>
          <w:bCs w:val="1"/>
          <w:i w:val="1"/>
          <w:iCs w:val="1"/>
          <w:color w:val="auto"/>
        </w:rPr>
        <w:t>The potential implementation and operation of new financial management systems may have an adverse effect on our business and results of operations.</w:t>
      </w:r>
    </w:p>
    <w:p>
      <w:pPr>
        <w:spacing w:after="0" w:line="62"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from time to time, modernize and upgrade our management systems. In particular, we are considering and have taken steps in preparation for the implementation of new financial management systems that would be designed to enhance our financial systems and cost accounting practices in order to modernize our financial infrastructure through minimizing manual processes, increasing automation, and providing enhanced business analytics. Preparing for implementation and operation of the new systems requires significant investment of human and financial resources. Should we implement the new systems, we would also expect to incur additional expenses and experience certain one-time impacts to profitability related to the roll-out and operation of the new financial systems, including costs related to training. In addition, any significant deficiency in the implementation or operation could have a material adverse effect on our ability to fulfill and invoice customer orders, apply cash receipts, place purchase orders with suppliers, and make cash disbursements, and could negatively impact data processing and electronic communications among business locations, which may have a material adverse effect on our business, consolidated financial condition or results of operations. We also face the challenge of supporting our legacy systems and implementing necessary upgrades to those systems to support routine government and financial audits while and after we implement our new systems.</w:t>
      </w:r>
    </w:p>
    <w:p>
      <w:pPr>
        <w:spacing w:after="0" w:line="6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b w:val="1"/>
          <w:bCs w:val="1"/>
          <w:i w:val="1"/>
          <w:iCs w:val="1"/>
          <w:color w:val="auto"/>
        </w:rPr>
        <w:t>Our work with government clients exposes us to additional risks inherent in the government contracting environment, which could reduce our revenue, disrupt our business, or otherwise materially adversely affect our results of operation.</w:t>
      </w:r>
    </w:p>
    <w:p>
      <w:pPr>
        <w:spacing w:after="0" w:line="62"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U.S. government agencies routinely audit, review, and investigate government contracts and government contractors’ administrative processes and systems. These agencies review our performance on contracts, pricing practices, cost accounting practices, and compliance with applicable laws, regulations and standards, including applicable government cost accounting standards, as well as our contract costs, including allocated indirect costs. These agencies also review our compliance with government regulations and policies, and the DCAA audits, among other areas, the adequacy of our internal control systems and policies, including our Defense Federal Acquisition Regulation Supplement ("DFARS") required business systems, which is comprised of our purchasing, property, estimating, earned value, accounting and material management and accounting systems. These internal control systems could focus on significant elements of costs, such as executive compensation. Determination of a significant internal control deficiency by a government agency could result in increased payment withholding that might materially increase our accounts receivable days sales outstanding and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Recent legislation and regulations implementing new limitations on the amount of allowable executive compensation costs contribute to increased regulatory scrutiny of the allowability of employee compensation costs, which can lead to greater amounts of employee compensation cost being disallowed.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Any costs found to be unallowable under a contract will not be reimbursed, and any such costs already reimbursed must be refunded. Further, the amount of any such refund may exceed reserves established by management based on estimates and assumptions that are inherently uncertain. Moreover, if any of the administrative processes and business systems, some of which are currently certified as effective, are found not to comply with government imposed requirements, we may be subjected to increased government scrutiny and approval that could delay or otherwise adversely affect our ability to compete for or perform contracts or to be paid timely. Unfavorable U.S. government audit, review, or investigation results could subject us to civil or criminal penalties or administrative sanctions, require us to retroactively and prospectively adjust previously agreed to billing or pricing rates for our work, and could harm our reputation and relationships with our clients and impair our ability to be awarded new contracts, which could affect our future sales and profitability by preventing us, by operation of law or in practice, from receiving new government contracts for some period of time. In addition, if our invoicing system were found to be inadequate following an audit by the DCAA, our ability to directly invoice U.S. government payment offices could be eliminated. As a result, we would be required to submit each invoice to the DCAA for approval prior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3" w:name="page34"/>
    <w:bookmarkEnd w:id="33"/>
    <w:p>
      <w:pPr>
        <w:spacing w:after="0" w:line="270" w:lineRule="auto"/>
        <w:rPr>
          <w:sz w:val="20"/>
          <w:szCs w:val="20"/>
          <w:color w:val="auto"/>
        </w:rPr>
      </w:pPr>
      <w:r>
        <w:rPr>
          <w:rFonts w:ascii="Arial" w:cs="Arial" w:eastAsia="Arial" w:hAnsi="Arial"/>
          <w:sz w:val="17"/>
          <w:szCs w:val="17"/>
          <w:color w:val="auto"/>
        </w:rPr>
        <w:t>payment, which could materially increase our accounts receivable days sales outstanding and adversely affect our cash flow. In addition, proposed regulatory changes, if adopted, would require the Department of Defense’s contracting officers to impose contractual withholdings at no less than certain minimum levels based on assessments of a contractor’s business systems. An unfavorable outcome to an audit, review, or investigation by any U.S. government agency could materially and adversely affect our relationship with the U.S. government. If a government investigation uncovers improper or illegal activities, we may be subject to civil and criminal penalties and administrative sanctions, including termination of contracts, forfeitures of profits, withholding of payments, suspension of payments, fines, and suspension or debarment from doing business with the U.S. government. In addition, we could suffer serious reputational harm if allegations of impropriety were made against us. Provisions that we have recorded in our consolidated financial statements as a compliance reserve may not cover actual losses.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7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In addition, we are currently considering and have taken steps in preparation for the implementation of new financial management systems, which would likely involve certain changes to our cost accounting practices. This may negatively impact our profitability. In particular, changes to our cost accounting practices could require us to estimate changes in costs for certain contracts at the time of implementation and make payments in connection with such estimates that could be material and not recoverable. To the extent we are unable to fully mitigate the costs associated with changes to our cost accounting practices if we implement the new systems, our business and financial results may be adversely affected.</w:t>
      </w:r>
    </w:p>
    <w:p>
      <w:pPr>
        <w:spacing w:after="0" w:line="6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b w:val="1"/>
          <w:bCs w:val="1"/>
          <w:i w:val="1"/>
          <w:iCs w:val="1"/>
          <w:color w:val="auto"/>
        </w:rPr>
        <w:t>A delay in the completion of the U.S. government’s budget process could result in a reduction in our backlog and have a material adverse effect on our revenue and operating results.</w:t>
      </w:r>
    </w:p>
    <w:p>
      <w:pPr>
        <w:spacing w:after="0" w:line="62"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On an annual basis, the U.S. Congress must approve budgets that govern spending by each of the federal agencies we support. When the U.S. Congress is unable to agree on budget priorities, and thus is unable to pass the annual budget on a timely basis, the U.S. Congress typically enacts a continuing resolution. A continuing resolution allows government agencies to operate at spending levels approved in the previous budget cycle. Under a continuing resolution, funding may not be available for new projects. In addition, when government agencies operate on the basis of a continuing resolution, they may delay funding we expect to receive on contracts we are already performing. Any such delays would likely result in new business initiatives being delayed or canceled and a reduction in our backlog, and could have a material adverse effect on our revenue and operating results. In addition, a failure to complete the budget process and fund government operations pursuant to a continuing resolution may result in a federal government shutdown (such as that which occurred during government fiscal years 2014, 2018 and 2019). A shutdown may result in us incurring substantial costs without reimbursement under our contracts and the delay or cancellation of key programs or the delay of contract payments, which could have a material adverse effect on our revenue and operating results. In addition, when supplemental appropriations are required to operate the U.S. government or fund specific programs and passage of legislation needed to approve any supplemental appropriation bill is delayed, the overall funding environment for our business could be adversely affected.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We have substantial indebtedness and may incur substantial additional indebtedness, which could adversely affect our financial health and our ability to obtain financing in the future as well as to react to changes in our business.</w:t>
      </w:r>
    </w:p>
    <w:p>
      <w:pPr>
        <w:spacing w:after="0" w:line="6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of March 31, 2019, we had total indebtedness of approximately $1.8 billion and $499.0 million of availability under our revolving credit facility (the “Revolving Credit Facility”) and $400.0 million of availability under the Delayed Draw Facility (as defined below). We are able to, and may, incur additional indebtedness in the future, subject to the limitations contained in the agreements governing our indebtedness. Our substantial indebtedness could have important consequences to holders of our common stock, including:</w:t>
      </w:r>
    </w:p>
    <w:p>
      <w:pPr>
        <w:spacing w:after="0" w:line="79" w:lineRule="exact"/>
        <w:rPr>
          <w:sz w:val="20"/>
          <w:szCs w:val="20"/>
          <w:color w:val="auto"/>
        </w:rPr>
      </w:pPr>
    </w:p>
    <w:p>
      <w:pPr>
        <w:ind w:left="640" w:hanging="321"/>
        <w:spacing w:after="0" w:line="25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our Secured Credit Facility, consisting of a $1,038 million term loan facility (“Term Loan A”), a $391 million term loan facility (“Term Loan B” and, together with Term Loan A, the “Term Loans”), a $500 million Revolving Credit Facility, with a sublimit for letters of credit of $100 million, and a $400.0 million delayed draw facility (the “Delayed Draw Facility”), which was fully drawn-down on April 23, 2019, our $350 million in aggregate principal amount of 5.125% Senior Notes due 2025 (the “Senior Notes”) and our other debt;</w:t>
      </w:r>
    </w:p>
    <w:p>
      <w:pPr>
        <w:spacing w:after="0" w:line="80" w:lineRule="exact"/>
        <w:rPr>
          <w:rFonts w:ascii="Arial" w:cs="Arial" w:eastAsia="Arial" w:hAnsi="Arial"/>
          <w:sz w:val="18"/>
          <w:szCs w:val="18"/>
          <w:color w:val="auto"/>
        </w:rPr>
      </w:pPr>
    </w:p>
    <w:p>
      <w:pPr>
        <w:ind w:left="640" w:right="620" w:hanging="321"/>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future working capital, capital expenditures, acquisitions or other general corporate requirements;</w:t>
      </w:r>
    </w:p>
    <w:p>
      <w:pPr>
        <w:spacing w:after="0" w:line="62" w:lineRule="exact"/>
        <w:rPr>
          <w:rFonts w:ascii="Arial" w:cs="Arial" w:eastAsia="Arial" w:hAnsi="Arial"/>
          <w:sz w:val="18"/>
          <w:szCs w:val="18"/>
          <w:color w:val="auto"/>
        </w:rPr>
      </w:pPr>
    </w:p>
    <w:p>
      <w:pPr>
        <w:ind w:left="640" w:right="140" w:hanging="321"/>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800" w:right="259" w:bottom="1440" w:gutter="0" w:footer="0" w:header="0"/>
        </w:sectPr>
      </w:pPr>
    </w:p>
    <w:bookmarkStart w:id="34" w:name="page35"/>
    <w:bookmarkEnd w:id="34"/>
    <w:p>
      <w:pPr>
        <w:ind w:left="640" w:right="320" w:hanging="321"/>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under the Secured Credit Facility, are at variable rates of interest;</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the industry in which we compete;</w:t>
      </w:r>
    </w:p>
    <w:p>
      <w:pPr>
        <w:spacing w:after="0" w:line="117" w:lineRule="exact"/>
        <w:rPr>
          <w:rFonts w:ascii="Arial" w:cs="Arial" w:eastAsia="Arial" w:hAnsi="Arial"/>
          <w:sz w:val="18"/>
          <w:szCs w:val="18"/>
          <w:color w:val="auto"/>
        </w:rPr>
      </w:pPr>
    </w:p>
    <w:p>
      <w:pPr>
        <w:ind w:left="640" w:right="520" w:hanging="321"/>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placing us at a disadvantage compared to other, less leveraged competitors or competitors with comparable debt and more favorable terms and thereby affecting our ability to compete; and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our cost of borrowing.</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Although the Secured Credit Facility and the indenture governing the Senior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the Revolving Credit Facility provides for commitments of $500 million, which as of March 31, 2019, had availability of $499.0 million. Additionally, the used portion as it pertains to open standby letters of credit and bank guarantees totaled $1.0 million. Furthermore, subject to specified conditions, without the consent of the then-existing lenders (but subject to the receipt of commitments), the indebtedness under the Secured Credit Facility may be increased by up to (x) $400 million plus (y) an additional amount if, after giving pro forma effect to the incurrence of such additional amount and after giving effect to any acquisition consummated concurrently therewith and all other appropriate pro forma adjustment events, the consolidated net senior secured leverage ratio is equal to or less than 3.50:1.00. If new debt is added to our current debt levels, the related risks that we and the guarantors now face would increase and we may not be able to meet all our debt obligations, including the repayment of the Senior Notes.</w:t>
      </w:r>
    </w:p>
    <w:p>
      <w:pPr>
        <w:spacing w:after="0" w:line="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indebtedness and may be forced to take other actions to satisfy our obligations under our indebtedness, which may not be successful.</w:t>
      </w:r>
    </w:p>
    <w:p>
      <w:pPr>
        <w:spacing w:after="0" w:line="6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ability to make scheduled payments on or refinance our debt obligations will depend on our financial condition and operating performance, which are subject to prevailing economic and competitive conditions and to financial, business, legislative, regulatory and other factors beyond our control. We might not be able to maintain a level of cash flows from operating activities sufficient to permit us to pay the principal, premium, if any, and interest on our indebtedness. For information regarding the risks to our business that could impair our ability to satisfy our obligations under our indebtedness, see “— Risks Related to Our Business.”</w:t>
      </w:r>
    </w:p>
    <w:p>
      <w:pPr>
        <w:spacing w:after="0" w:line="8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w:t>
      </w:r>
    </w:p>
    <w:p>
      <w:pPr>
        <w:spacing w:after="0" w:line="63"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agreements governing our indebtedness restrict our ability to dispose of assets and use the proceeds from those dispositions and also restrict our ability to raise debt to be used to repay other indebtedness when it becomes due.</w:t>
      </w:r>
    </w:p>
    <w:p>
      <w:pPr>
        <w:spacing w:after="0" w:line="62"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may not be able to consummate those dispositions or to obtain proceeds in an amount sufficient to meet any debt service obligations then due. In addition, under the Secured Credit Facility, we are subject to mandatory prepayments of our Term Loans from a portion of our excess cash flows, which may be stepped down upon the achievement of specified first lien leverage ratios. To the extent that we are required to prepay any amounts under our Term Loans, we may have insufficient cash to make required principal and interest payments on other indebtedness.</w:t>
      </w:r>
    </w:p>
    <w:p>
      <w:pPr>
        <w:spacing w:after="0" w:line="63" w:lineRule="exact"/>
        <w:rPr>
          <w:sz w:val="20"/>
          <w:szCs w:val="20"/>
          <w:color w:val="auto"/>
        </w:rPr>
      </w:pPr>
    </w:p>
    <w:p>
      <w:pPr>
        <w:jc w:val="both"/>
        <w:ind w:right="220" w:firstLine="432"/>
        <w:spacing w:after="0" w:line="342" w:lineRule="auto"/>
        <w:rPr>
          <w:sz w:val="20"/>
          <w:szCs w:val="20"/>
          <w:color w:val="auto"/>
        </w:rPr>
      </w:pPr>
      <w:r>
        <w:rPr>
          <w:rFonts w:ascii="Arial" w:cs="Arial" w:eastAsia="Arial" w:hAnsi="Arial"/>
          <w:sz w:val="16"/>
          <w:szCs w:val="16"/>
          <w:color w:val="auto"/>
        </w:rPr>
        <w:t>Our inability to generate sufficient cash flows to satisfy our debt obligations, or to refinance our indebtedness on commercially reasonable terms or at all, would materially and adversely affect our financial condition and results of operations and our ability to satisfy our obligations under our indebtedness.</w:t>
      </w:r>
    </w:p>
    <w:p>
      <w:pPr>
        <w:spacing w:after="0" w:line="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If we cannot make scheduled payments on our debt, we will be in default and lenders under our Secured Credit Facility and holders of the Senior Notes could declare all outstanding principal and interest to be due and payable, the lenders under the Revolving Credit Facility could terminate their commitments to loan money, the lenders could foreclose against the assets securing their loans and we could be forced into bankruptcy or liquidation. All of these events could result in you losing some or all of the value of your investment.</w:t>
      </w:r>
    </w:p>
    <w:p>
      <w:pPr>
        <w:spacing w:after="0" w:line="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The terms of the agreements governing our indebtedness restrict our current and future operations, particularly our ability to respond to changes or to take certain actions, which could harm our long-term interests.</w:t>
      </w:r>
    </w:p>
    <w:p>
      <w:pPr>
        <w:spacing w:after="0" w:line="62"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The Secured Credit Facility and the indenture governing the Senior Notes contain covenants that, among other things, impose significant operating and financial restrictions on us and limit our ability to engage in actions that may be in our long-term best interest, including restrictions on our ability to:</w:t>
      </w:r>
    </w:p>
    <w:p>
      <w:pPr>
        <w:spacing w:after="0" w:line="16" w:lineRule="exact"/>
        <w:rPr>
          <w:sz w:val="20"/>
          <w:szCs w:val="20"/>
          <w:color w:val="auto"/>
        </w:rPr>
      </w:pPr>
    </w:p>
    <w:p>
      <w:pPr>
        <w:ind w:left="5620" w:right="3600" w:hanging="5301"/>
        <w:spacing w:after="0" w:line="559" w:lineRule="auto"/>
        <w:tabs>
          <w:tab w:leader="none" w:pos="6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additional indebtedness, guarantee indebtedness or issue disqualified stock or preferred stock; 32</w:t>
      </w:r>
    </w:p>
    <w:p>
      <w:pPr>
        <w:sectPr>
          <w:pgSz w:w="11900" w:h="16838" w:orient="portrait"/>
          <w:cols w:equalWidth="0" w:num="1">
            <w:col w:w="11420"/>
          </w:cols>
          <w:pgMar w:left="240" w:top="800" w:right="239" w:bottom="1440" w:gutter="0" w:footer="0" w:header="0"/>
        </w:sectPr>
      </w:pPr>
    </w:p>
    <w:bookmarkStart w:id="35" w:name="page36"/>
    <w:bookmarkEnd w:id="35"/>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on or make other distributions in respect of, or repurchase or redeem, our capital stock;</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prepay, redeem or repurchase subordinated indebtedness;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liens securing indebtedness;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to us or the guarantors or make other intercompany transfers;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or any guarantor’s assets;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certain lines of business.</w:t>
      </w:r>
    </w:p>
    <w:p>
      <w:pPr>
        <w:spacing w:after="0" w:line="6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These covenants are subject to a number of important exceptions and qualifications. In addition, the restrictive covenants in the Secured Credit Facility require us to maintain a consolidated net total leverage ratio and a consolidated net interest coverage ratio that will each be tested at the end of each fiscal quarter. Our ability to satisfy that financial ratio test may be affected by events beyond our control.</w:t>
      </w:r>
    </w:p>
    <w:p>
      <w:pPr>
        <w:spacing w:after="0" w:line="1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breach of the covenants under the agreements governing our indebtedness could result in an event of default under those agreements. Such a default may allow certain creditors to accelerate the related debt and may result in the acceleration of any other debt to which a cross-acceleration or cross-default provision applies. In addition, an event of default under the Secured Credit Facility would also permit the lenders under the Revolving Credit Facility to terminate all other commitments to extend further credit under that facility. Furthermore, if we were unable to repay the amounts due and payable under the Secured Credit Facility, those lenders could proceed against the collateral granted to them to secure that indebtedness. In the event the lenders accelerate the repayment of our borrowings, we may not have sufficient assets to repay that indebtedness.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all of these restrictions, we may be:</w:t>
      </w:r>
    </w:p>
    <w:p>
      <w:pPr>
        <w:spacing w:after="0" w:line="117" w:lineRule="exact"/>
        <w:rPr>
          <w:sz w:val="20"/>
          <w:szCs w:val="20"/>
          <w:color w:val="auto"/>
        </w:rPr>
      </w:pPr>
    </w:p>
    <w:p>
      <w:pPr>
        <w:ind w:left="660" w:hanging="27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17" w:lineRule="exact"/>
        <w:rPr>
          <w:rFonts w:ascii="Arial" w:cs="Arial" w:eastAsia="Arial" w:hAnsi="Arial"/>
          <w:sz w:val="18"/>
          <w:szCs w:val="18"/>
          <w:color w:val="auto"/>
        </w:rPr>
      </w:pPr>
    </w:p>
    <w:p>
      <w:pPr>
        <w:ind w:left="660" w:hanging="27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17" w:lineRule="exact"/>
        <w:rPr>
          <w:rFonts w:ascii="Arial" w:cs="Arial" w:eastAsia="Arial" w:hAnsi="Arial"/>
          <w:sz w:val="18"/>
          <w:szCs w:val="18"/>
          <w:color w:val="auto"/>
        </w:rPr>
      </w:pPr>
    </w:p>
    <w:p>
      <w:pPr>
        <w:ind w:left="660" w:right="4800" w:hanging="274"/>
        <w:spacing w:after="0" w:line="42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unable to compete effectively or to take advantage of new business opportunities. These restrictions might hinder our ability to grow in accordance with our strategy.</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Our variable rate indebtedness subjects us to interest rate risk, which could cause our debt service obligations to increase significantly.</w:t>
      </w:r>
    </w:p>
    <w:p>
      <w:pPr>
        <w:spacing w:after="0" w:line="14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Borrowings under the Secured Credit Facility are at variable rates of interest and expose us to interest rate risk. Interest rates are currently at historically low levels but increased in fiscal 2019. If interest rates continue to increase, our debt service obligations on the variable rate indebtedness will increase even though the amount borrowed remains the same, and our net income and cash flows, including cash available for servicing our indebtedness, will correspondingly decrease.</w:t>
      </w:r>
    </w:p>
    <w:p>
      <w:pPr>
        <w:spacing w:after="0" w:line="25"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Based on Term Loans outstanding as of March 31, 2019 and assuming all revolving loans are fully drawn, and after considering interest rate swaps that fixed the interest rate on $600 million of principal of our variable rate debt each quarter point change in interest rates would result in a $3.7 million change in our projected annual interest expense on our indebtedness under the Secured Credit Facility. We have entered into interest rate swaps and may in the future enter into additional interest rate swaps, that involve the exchange of floating for fixed rate interest payments in order to reduce future interest rate volatility of our variable rate indebtedness. However, due to risks for hedging gains and losses and cash settlement costs, we may not elect to maintain such interest rate swaps, and any swaps may not fully mitigate our interest rate risk.</w:t>
      </w:r>
    </w:p>
    <w:p>
      <w:pPr>
        <w:spacing w:after="0" w:line="1"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In addition, a transition away from the London Interbank Offering Rate (“LIBOR”) as a benchmark for establishing the applicable interest rate may affect the cost of servicing our debt under the Secured Credit Facility and the Revolving Credit Facility. As of March 31, 2019, we had $1,759.8 million outstanding under the Secured Credit Facility and $499.0 million of availability under the Revolving Credit Facility, each of which incurs interest based on LIBOR. The Financial Conduct Authority of the United Kingdom has announced that it plans to phase out LIBOR by the end of calendar year 2021. Although these borrowing arrangements provide for alternative base rates, such alternative base rates may or may not be related to LIBOR, and the consequences of the phase out of LIBOR cannot be entirely predicted at this time. For example, if any alternative base rate or means of calculating interest with respect to our outstanding variable rate indebtedness leads to 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6" w:name="page37"/>
    <w:bookmarkEnd w:id="36"/>
    <w:p>
      <w:pPr>
        <w:ind w:right="120"/>
        <w:spacing w:after="0" w:line="277" w:lineRule="auto"/>
        <w:rPr>
          <w:sz w:val="20"/>
          <w:szCs w:val="20"/>
          <w:color w:val="auto"/>
        </w:rPr>
      </w:pPr>
      <w:r>
        <w:rPr>
          <w:rFonts w:ascii="Arial" w:cs="Arial" w:eastAsia="Arial" w:hAnsi="Arial"/>
          <w:sz w:val="18"/>
          <w:szCs w:val="18"/>
          <w:color w:val="auto"/>
        </w:rPr>
        <w:t>increase in the interest rates charged, it could result in an increase in the cost of such indebtedness, impact our ability to refinance some or all of our existing indebtedness or otherwise have a material adverse impact on our business, financial condition and results of operations.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rating assigned by a rating agency to us or our indebtedness could make it more difficult for us to obtain additional debt financing in the future.</w:t>
      </w:r>
    </w:p>
    <w:p>
      <w:pPr>
        <w:spacing w:after="0" w:line="8"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Our indebtedness has been rated by nationally recognized rating agencies and may in the future be rated by additional rating agencies. We cannot assure you that any rating assigned to us or our indebtedness will remain for any given period of time or that a rating will not be lowered or withdrawn entirely by a rating agency if, in that rating agency’s judgment, circumstances relating to the basis of the rating, such as adverse changes in our business, so warrant. Any downgrade, suspension or withdrawal of a rating by a rating agency (or any anticipated downgrade, suspension or withdrawal) could make it more difficult or more expensive for us to obtain additional debt financing in the future.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62"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operations of Booz Allen Holding are conducted almost entirely through its subsidiaries and its ability to generate cash to meet its debt service obligations or to pay dividends is highly dependent on the earnings and the receipt of funds from its subsidiaries via dividends or intercompany loans. Further, the Secured Credit Facility and indenture governing the Senior Notes significantly restricts the ability of our subsidiaries to pay dividends or otherwise transfer assets to us. In addition, Delaware law may impose requirements that may restrict our ability to pay dividends to holders of our common stock.</w:t>
      </w:r>
    </w:p>
    <w:p>
      <w:pPr>
        <w:spacing w:after="0" w:line="4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62"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Our financial results may vary significantly from period to period in the future as a result of many external factors that are outside of our control. Factors that may affect our financial results and that could cause the market price of our outstanding securities, including our Class A Common Stock, to fluctuate include those listed in this “Risk Factors” section and others such as:</w:t>
      </w:r>
    </w:p>
    <w:p>
      <w:pPr>
        <w:spacing w:after="0" w:line="73" w:lineRule="exact"/>
        <w:rPr>
          <w:sz w:val="20"/>
          <w:szCs w:val="20"/>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cause of reduction or delay in U.S. government funding;</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revenue earned on existing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 particular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potential decline in our overall profit margins if our other direct costs and subcontract revenue grow at a faster rate than labor-related revenue;</w:t>
      </w:r>
    </w:p>
    <w:p>
      <w:pPr>
        <w:spacing w:after="0" w:line="140" w:lineRule="exact"/>
        <w:rPr>
          <w:rFonts w:ascii="Arial" w:cs="Arial" w:eastAsia="Arial" w:hAnsi="Arial"/>
          <w:sz w:val="16"/>
          <w:szCs w:val="16"/>
          <w:color w:val="auto"/>
        </w:rPr>
      </w:pPr>
    </w:p>
    <w:p>
      <w:pPr>
        <w:ind w:left="640" w:right="40" w:hanging="321"/>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changes to business strategy, strategic investments, acquisitions, divestitures, spin offs, and joint ventures;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change in our contract mix to less profitable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U.S. government contracts in general;</w:t>
      </w:r>
    </w:p>
    <w:p>
      <w:pPr>
        <w:spacing w:after="0" w:line="117"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which are agreements that fulfill repetitive needs under GSA schedules, and IDIQ contracts;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demand for our services and solutions;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degree to which we are able to utilize our professionals;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seasonality associated with the U.S. government’s fiscal year;</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for any reason, including a change in law;</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alterations to contract requirements;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judgments or settlements in legal disputes.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cannot assure you that we will pay special or regular dividends on our stock in the future.</w:t>
      </w:r>
    </w:p>
    <w:p>
      <w:pPr>
        <w:spacing w:after="0" w:line="11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Board of Directors has authorized and declared a regular quarterly dividend for each quarter in the last several years. The Board of Directors has also authorized and declared special cash dividends from time to time. The declaration of any future dividends and the establishment of the per share amount, record dates and payment dates for any such future dividends are subject to the discretion of the Board of Directors taking into account future earnings, cash flows, financial requirements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692" w:right="259" w:bottom="1440" w:gutter="0" w:footer="0" w:header="0"/>
        </w:sectPr>
      </w:pPr>
    </w:p>
    <w:bookmarkStart w:id="37" w:name="page38"/>
    <w:bookmarkEnd w:id="37"/>
    <w:p>
      <w:pPr>
        <w:ind w:right="240"/>
        <w:spacing w:after="0" w:line="273" w:lineRule="auto"/>
        <w:rPr>
          <w:sz w:val="20"/>
          <w:szCs w:val="20"/>
          <w:color w:val="auto"/>
        </w:rPr>
      </w:pPr>
      <w:r>
        <w:rPr>
          <w:rFonts w:ascii="Arial" w:cs="Arial" w:eastAsia="Arial" w:hAnsi="Arial"/>
          <w:sz w:val="17"/>
          <w:szCs w:val="17"/>
          <w:color w:val="auto"/>
        </w:rPr>
        <w:t>and other factors. There can be no assurance that the board of directors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73"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As a public company, the Sarbanes-Oxley Act of 2002 and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and accounting staff and on our management systems, including our financial, accounting, and information systems. We have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70"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In particular, the Sarbanes-Oxley Act of 2002 requires us to document and test the effectiveness of our internal control over financial reporting in accordance with an established internal control framework, and to report on our conclusions as to the effectiveness of our internal controls. It also requires an independent registered public accounting firm to test our internal control over financial reporting and report on the effectiveness of such controls. In addition, we are required under the Exchange Act to maintain disclosure controls and procedures and internal control over financial reporting. Because of inherent limitations in any internal control environment, there can be no assurance that all control issues and instances of fraud, errors or misstatements, if any, within our company have been or will be detected on a timely basis. Such deficiencies could result in the correction or restatement of financial statements of one or more periods. Any failure to maintain effective controls or implement new or improved controls, or difficulties encountered in their implementation, could harm our operating results or cause us to fail to meet our reporting obligations. We also rely on third parties for certain calculations and other information that support our accounting and financial reporting, which includes reports from such organizations on their controls and systems that are used to generate this information. The calculations and other information that we receive from such third parties may not be accurate, and we may not receive adequate or timely information related to internal control failures occurring at these organizations. Any failure by such third parties to provide us with accurate information or implement and maintain effective controls may cause us to be unable to meet our reporting obligations as a publicly traded company. In addition, if we implement new financial management systems, we could experience deficiencies in its operation that could have an adverse effect on the effectiveness of our internal control over financial reporting.</w:t>
      </w:r>
    </w:p>
    <w:p>
      <w:pPr>
        <w:spacing w:after="0" w:line="7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8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in the Delaware General Corporation Law may prevent takeover attempts that could be beneficial to our stockholders.</w:t>
      </w:r>
    </w:p>
    <w:p>
      <w:pPr>
        <w:spacing w:after="0" w:line="62"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73" w:lineRule="exact"/>
        <w:rPr>
          <w:sz w:val="20"/>
          <w:szCs w:val="20"/>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establishment of a classified Board, with staggered terms;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granting to the Board the sole power to set the number of directors and to fill any vacancy on the Board;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the ability of stockholders to remove directors;</w:t>
      </w:r>
    </w:p>
    <w:p>
      <w:pPr>
        <w:spacing w:after="0" w:line="117"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granting to the Board the ability to designate and issue one or more series of preferred stock without stockholder approval, the terms of which may be determined at the sole discretion of the Board;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prohibition on stockholders from calling special meetings of stockholders;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8" w:name="page39"/>
    <w:bookmarkEnd w:id="38"/>
    <w:p>
      <w:pPr>
        <w:ind w:left="640" w:hanging="32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establishment of advance notice requirements for stockholder proposals and nominations for election to the Board at stockholder meetings;</w:t>
      </w:r>
    </w:p>
    <w:p>
      <w:pPr>
        <w:spacing w:after="0" w:line="128" w:lineRule="exact"/>
        <w:rPr>
          <w:rFonts w:ascii="Arial" w:cs="Arial" w:eastAsia="Arial" w:hAnsi="Arial"/>
          <w:sz w:val="17"/>
          <w:szCs w:val="17"/>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requiring approval of two-thirds of stockholders to amend the bylaws;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our stockholders from acting by written consent.</w:t>
      </w:r>
    </w:p>
    <w:p>
      <w:pPr>
        <w:spacing w:after="0" w:line="11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In addition, we are subject to the anti-takeover provisions of Section 203 of the Delaware General Corporation Law, which imposes additional requirements regarding mergers and other business combinations. 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4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market for our Class A Common Stock may be adversely affected by the performance of other companies in the government services market.</w:t>
      </w:r>
    </w:p>
    <w:p>
      <w:pPr>
        <w:spacing w:after="0" w:line="15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addition to factors that may affect our financial results and operations, the price of our Class A Common Stock may be impacted by the financial performance and outlook of other companies in the government services market. While certain factors may affect all participants in the markets in which we operate, such as U.S. government spending conditions and changes in rules and regulations applicable to government contractors, the market for our Class A Common Stock may be adversely affected by financial results or negative events only affecting other market participants or financial results of such participants. While such events or results may not impact or be indicative of our current or future performance, the price of our securities may nonetheless be adversely affected as a result thereof.</w:t>
      </w:r>
    </w:p>
    <w:p>
      <w:pPr>
        <w:spacing w:after="0" w:line="2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do not own any facilities or real estate. Our corporate headquarters is located at 8283 Greensboro Drive, McLean, Virginia 22102. We lease other operating offices and facilities throughout North America, and a limited number of overseas locations. Our principal offices outside of McLean, Virginia include: Annapolis Junction, Maryland; Rockville, Maryland; Laurel, Maryland; San Diego, California; Herndon, Virginia; Charleston, South Carolina; Arlington, Virginia; Alexandria, Virginia; and Washington, D.C.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2.65 million square feet. We believe our facilities meet our current needs.</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2019 and 2018, there were no material amounts accrued in the consolidated financial statements related to these proceedings.</w:t>
      </w:r>
    </w:p>
    <w:p>
      <w:pPr>
        <w:spacing w:after="0" w:line="57"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800" w:right="279" w:bottom="1440" w:gutter="0" w:footer="0" w:header="0"/>
        </w:sectPr>
      </w:pPr>
    </w:p>
    <w:bookmarkStart w:id="39" w:name="page40"/>
    <w:bookmarkEnd w:id="39"/>
    <w:p>
      <w:pPr>
        <w:ind w:right="80"/>
        <w:spacing w:after="0" w:line="286" w:lineRule="auto"/>
        <w:rPr>
          <w:sz w:val="20"/>
          <w:szCs w:val="20"/>
          <w:color w:val="auto"/>
        </w:rPr>
      </w:pPr>
      <w:r>
        <w:rPr>
          <w:rFonts w:ascii="Arial" w:cs="Arial" w:eastAsia="Arial" w:hAnsi="Arial"/>
          <w:sz w:val="16"/>
          <w:szCs w:val="16"/>
          <w:color w:val="auto"/>
        </w:rPr>
        <w:t>interference with contract, breach of fiduciary duty, civil Racketeer Influenced and Corrupt Organizations Act, or RICO, violations, violations of the Employee Retirement Income Security Act, or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Exchange Act. On April 25, 2018, the court entered an order postponing the deadline within which the defendants must answer or move to dismiss the amended complaint. A lead plaintiff has not been appointed. On August 2, 2018, the defendants filed a motion to dismiss the amended complaint. On September 17, 2018, the plaintiff filed an opposition to the defendants’ motion to dismiss the amended complaint. The defendants filed their reply to plaintiff's opposition on October 17, 2018.</w:t>
      </w:r>
    </w:p>
    <w:p>
      <w:pPr>
        <w:spacing w:after="0" w:line="6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March 31, 2019, the aggregate alleged damages that will be sought in the remaining suit is unknown. As of March 31, 2019, although the outcome of any of these cases is inherently uncertain and may be materially adverse, based on current information, we do not expect them to have a material adverse effect on our financial condition and results of operations.</w:t>
      </w:r>
    </w:p>
    <w:p>
      <w:pPr>
        <w:spacing w:after="0" w:line="73"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0"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mismanagements,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ordered on January 24, 2018.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40" w:name="page41"/>
    <w:bookmarkEnd w:id="40"/>
    <w:p>
      <w:pPr>
        <w:spacing w:after="0"/>
        <w:tabs>
          <w:tab w:leader="none" w:pos="96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about our executive officers as of the date hereof:</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Pr>
          <w:p>
            <w:pPr>
              <w:jc w:val="center"/>
              <w:ind w:left="331"/>
              <w:spacing w:after="0"/>
              <w:rPr>
                <w:sz w:val="20"/>
                <w:szCs w:val="20"/>
                <w:color w:val="auto"/>
              </w:rPr>
            </w:pPr>
            <w:r>
              <w:rPr>
                <w:rFonts w:ascii="Arial" w:cs="Arial" w:eastAsia="Arial" w:hAnsi="Arial"/>
                <w:sz w:val="14"/>
                <w:szCs w:val="14"/>
                <w:b w:val="1"/>
                <w:bCs w:val="1"/>
                <w:color w:val="auto"/>
                <w:w w:val="90"/>
              </w:rPr>
              <w:t>Age</w:t>
            </w:r>
          </w:p>
        </w:tc>
        <w:tc>
          <w:tcPr>
            <w:tcW w:w="5320" w:type="dxa"/>
            <w:vAlign w:val="bottom"/>
          </w:tcPr>
          <w:p>
            <w:pPr>
              <w:ind w:left="500"/>
              <w:spacing w:after="0"/>
              <w:rPr>
                <w:sz w:val="20"/>
                <w:szCs w:val="20"/>
                <w:color w:val="auto"/>
              </w:rPr>
            </w:pPr>
            <w:r>
              <w:rPr>
                <w:rFonts w:ascii="Arial" w:cs="Arial" w:eastAsia="Arial" w:hAnsi="Arial"/>
                <w:sz w:val="14"/>
                <w:szCs w:val="14"/>
                <w:b w:val="1"/>
                <w:bCs w:val="1"/>
                <w:color w:val="auto"/>
              </w:rPr>
              <w:t>Position</w:t>
            </w:r>
          </w:p>
        </w:tc>
      </w:tr>
      <w:tr>
        <w:trPr>
          <w:trHeight w:val="255"/>
        </w:trPr>
        <w:tc>
          <w:tcPr>
            <w:tcW w:w="2760" w:type="dxa"/>
            <w:vAlign w:val="bottom"/>
          </w:tcPr>
          <w:p>
            <w:pPr>
              <w:spacing w:after="0"/>
              <w:rPr>
                <w:sz w:val="20"/>
                <w:szCs w:val="20"/>
                <w:color w:val="auto"/>
              </w:rPr>
            </w:pPr>
            <w:r>
              <w:rPr>
                <w:rFonts w:ascii="Arial" w:cs="Arial" w:eastAsia="Arial" w:hAnsi="Arial"/>
                <w:sz w:val="18"/>
                <w:szCs w:val="18"/>
                <w:color w:val="auto"/>
              </w:rPr>
              <w:t>Horacio D. Rozanski</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51</w:t>
            </w:r>
          </w:p>
        </w:tc>
        <w:tc>
          <w:tcPr>
            <w:tcW w:w="5320" w:type="dxa"/>
            <w:vAlign w:val="bottom"/>
          </w:tcPr>
          <w:p>
            <w:pPr>
              <w:ind w:left="5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Lloyd W. Howell, Jr.</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52</w:t>
            </w:r>
          </w:p>
        </w:tc>
        <w:tc>
          <w:tcPr>
            <w:tcW w:w="5320" w:type="dxa"/>
            <w:vAlign w:val="bottom"/>
          </w:tcPr>
          <w:p>
            <w:pPr>
              <w:ind w:left="500"/>
              <w:spacing w:after="0"/>
              <w:rPr>
                <w:sz w:val="20"/>
                <w:szCs w:val="20"/>
                <w:color w:val="auto"/>
              </w:rPr>
            </w:pPr>
            <w:r>
              <w:rPr>
                <w:rFonts w:ascii="Arial" w:cs="Arial" w:eastAsia="Arial" w:hAnsi="Arial"/>
                <w:sz w:val="18"/>
                <w:szCs w:val="18"/>
                <w:color w:val="auto"/>
                <w:w w:val="95"/>
              </w:rPr>
              <w:t>Executive Vice President, Chief Financial Officer and Treasurer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Kristine Martin Anderson</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50</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Karen M. Dahut</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55</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Nancy J. Laben</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57</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 Chief Legal Officer and Secretary</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Gary D. Labovich</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59</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Christopher Ling</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54</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Joseph W. Mahaffee</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61</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 and Chief Administrative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Angela M. Messer</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55</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 and Chief Transformation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Susan L. Penfield</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57</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 and Chief Innovation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Elizabeth M. Thompson</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64</w:t>
            </w:r>
          </w:p>
        </w:tc>
        <w:tc>
          <w:tcPr>
            <w:tcW w:w="5320" w:type="dxa"/>
            <w:vAlign w:val="bottom"/>
          </w:tcPr>
          <w:p>
            <w:pPr>
              <w:ind w:left="500"/>
              <w:spacing w:after="0"/>
              <w:rPr>
                <w:sz w:val="20"/>
                <w:szCs w:val="20"/>
                <w:color w:val="auto"/>
              </w:rPr>
            </w:pPr>
            <w:r>
              <w:rPr>
                <w:rFonts w:ascii="Arial" w:cs="Arial" w:eastAsia="Arial" w:hAnsi="Arial"/>
                <w:sz w:val="18"/>
                <w:szCs w:val="18"/>
                <w:color w:val="auto"/>
              </w:rPr>
              <w:t>Executive Vice President and Chief People Officer</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Laura S. Adams</w:t>
            </w:r>
          </w:p>
        </w:tc>
        <w:tc>
          <w:tcPr>
            <w:tcW w:w="1660" w:type="dxa"/>
            <w:vAlign w:val="bottom"/>
          </w:tcPr>
          <w:p>
            <w:pPr>
              <w:jc w:val="center"/>
              <w:ind w:left="351"/>
              <w:spacing w:after="0"/>
              <w:rPr>
                <w:sz w:val="20"/>
                <w:szCs w:val="20"/>
                <w:color w:val="auto"/>
              </w:rPr>
            </w:pPr>
            <w:r>
              <w:rPr>
                <w:rFonts w:ascii="Arial" w:cs="Arial" w:eastAsia="Arial" w:hAnsi="Arial"/>
                <w:sz w:val="18"/>
                <w:szCs w:val="18"/>
                <w:color w:val="auto"/>
                <w:w w:val="89"/>
              </w:rPr>
              <w:t>46</w:t>
            </w:r>
          </w:p>
        </w:tc>
        <w:tc>
          <w:tcPr>
            <w:tcW w:w="5320" w:type="dxa"/>
            <w:vAlign w:val="bottom"/>
          </w:tcPr>
          <w:p>
            <w:pPr>
              <w:ind w:left="500"/>
              <w:spacing w:after="0"/>
              <w:rPr>
                <w:sz w:val="20"/>
                <w:szCs w:val="20"/>
                <w:color w:val="auto"/>
              </w:rPr>
            </w:pPr>
            <w:r>
              <w:rPr>
                <w:rFonts w:ascii="Arial" w:cs="Arial" w:eastAsia="Arial" w:hAnsi="Arial"/>
                <w:sz w:val="18"/>
                <w:szCs w:val="18"/>
                <w:color w:val="auto"/>
                <w:w w:val="91"/>
              </w:rPr>
              <w:t>Vice President, Corporate Controller and Chief Accounting Officer</w:t>
            </w:r>
          </w:p>
        </w:tc>
      </w:tr>
    </w:tbl>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Horacio D. Rozanski </w:t>
      </w:r>
      <w:r>
        <w:rPr>
          <w:rFonts w:ascii="Arial" w:cs="Arial" w:eastAsia="Arial" w:hAnsi="Arial"/>
          <w:sz w:val="18"/>
          <w:szCs w:val="18"/>
          <w:color w:val="auto"/>
        </w:rPr>
        <w:t>is our President and Chief Executive Officer and served as our Chief Operating Officer until January 1, 2015. Mr. Rozanski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Chief Strategy and Talent Officer in 2010 and, prior to that, Chief Personnel Officer of our Company from 2002 through 2010. Mr. Rozanski joined our Company in 1992 and became an Executive Vice President in 2009, our President on January 1, 2014 and our Chief Executive Officer on January 1, 2015. He serves on the board of directors of the United States Holocaust Memorial Museum's Committee on Conscience and as Vice Chair of the Corporate Fund for the John F. Kennedy Center for the Performing Arts.</w:t>
      </w:r>
    </w:p>
    <w:p>
      <w:pPr>
        <w:spacing w:after="0" w:line="8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Lloyd W. Howell, Jr. </w:t>
      </w:r>
      <w:r>
        <w:rPr>
          <w:rFonts w:ascii="Arial" w:cs="Arial" w:eastAsia="Arial" w:hAnsi="Arial"/>
          <w:sz w:val="18"/>
          <w:szCs w:val="18"/>
          <w:color w:val="auto"/>
        </w:rPr>
        <w:t>is an Executive Vice President of our Company and our Chief Financial Officer and Treasurer since July 1, 2016. Mr. Howell</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served as the group leader for our Civil Commercial Group. Mr. Howell joined our Company in 1988, left in 1991, rejoined in 1995 and became an Executive Vice President in 2005. He served as chairman of our Ethics &amp; Compliance Committee for over seven years, until April 2014. Mr. Howell serves on the boards of directors of Integra Life Sciences, and the Partnership for Public Service. Mr. Howell also serves on the board of overseers for the School of Engineering and Applied Science and as a Trustee at the University of Pennsylvania.</w:t>
      </w:r>
    </w:p>
    <w:p>
      <w:pPr>
        <w:spacing w:after="0" w:line="8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i w:val="1"/>
          <w:iCs w:val="1"/>
          <w:color w:val="auto"/>
        </w:rPr>
        <w:t xml:space="preserve">Kristine Martin Anderson </w:t>
      </w:r>
      <w:r>
        <w:rPr>
          <w:rFonts w:ascii="Arial" w:cs="Arial" w:eastAsia="Arial" w:hAnsi="Arial"/>
          <w:sz w:val="18"/>
          <w:szCs w:val="18"/>
          <w:color w:val="auto"/>
        </w:rPr>
        <w:t>is an Executive Vice President and is the group leader for the Company's Civilian Services Group after leading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civil health business since April 2015. Prior to joining Booz Allen in 2006, she was vice president for operations and strategy at CareScience, a software solutions Company. Ms. Anderson currently serves on the eHealth Initiative's board of directors. In addition, she serves on the Cost and Resource Use Standing Committee of the National Quality Forum.</w:t>
      </w:r>
    </w:p>
    <w:p>
      <w:pPr>
        <w:spacing w:after="0" w:line="79"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i w:val="1"/>
          <w:iCs w:val="1"/>
          <w:color w:val="auto"/>
        </w:rPr>
        <w:t xml:space="preserve">Karen M. Dahut </w:t>
      </w:r>
      <w:r>
        <w:rPr>
          <w:rFonts w:ascii="Arial" w:cs="Arial" w:eastAsia="Arial" w:hAnsi="Arial"/>
          <w:sz w:val="18"/>
          <w:szCs w:val="18"/>
          <w:color w:val="auto"/>
        </w:rPr>
        <w:t>is an Executive Vice President and is the group leader for the Company's Global Defense Group. Ms. Dahut joined our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2002 and became a Senior Vice President in 2004. Ms. Dahut led the Company's Strategic Innovations Group from 2012 to April 2016 and the Civil Commercial Group from 2016 to March 2018. Previously, she also led the Company's Analytics business and its US Navy and Marine Corps business. Ms. Dahut is a board member of the Tech Data Corporation and serves on its Audit and CyberTechnology Committees. She also serves on the board of the Northern Virginia Technology Council.</w:t>
      </w:r>
    </w:p>
    <w:p>
      <w:pPr>
        <w:spacing w:after="0" w:line="80"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i w:val="1"/>
          <w:iCs w:val="1"/>
          <w:color w:val="auto"/>
        </w:rPr>
        <w:t xml:space="preserve">Nancy J. Laben </w:t>
      </w:r>
      <w:r>
        <w:rPr>
          <w:rFonts w:ascii="Arial" w:cs="Arial" w:eastAsia="Arial" w:hAnsi="Arial"/>
          <w:sz w:val="16"/>
          <w:szCs w:val="16"/>
          <w:color w:val="auto"/>
        </w:rPr>
        <w:t>is an Executive Vice President of our Company and our Chief Legal Officer and Secretary. Ms. Laben joined our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2013. She oversees the Legal functions, Ethics &amp; Compliance and Corporate Affairs. Before joining our Company, Ms. Laben served as General Counsel of AECOM Technology Corporation from June 2010 to August 2013, where she was responsible for all legal support. Prior to June 2010, Ms. Laben served as Deputy General Counsel at Accenture plc beginning in 1989. Prior to Accenture, Ms. Laben served in the law department at IBM Corporation.</w:t>
      </w:r>
    </w:p>
    <w:p>
      <w:pPr>
        <w:spacing w:after="0" w:line="4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Gary Labovich </w:t>
      </w:r>
      <w:r>
        <w:rPr>
          <w:rFonts w:ascii="Arial" w:cs="Arial" w:eastAsia="Arial" w:hAnsi="Arial"/>
          <w:sz w:val="18"/>
          <w:szCs w:val="18"/>
          <w:color w:val="auto"/>
        </w:rPr>
        <w:t>is an Executive Vice President and leads the modernization of our management systems as the Next Generation Modernization Lead. He</w:t>
      </w:r>
      <w:r>
        <w:rPr>
          <w:rFonts w:ascii="Arial" w:cs="Arial" w:eastAsia="Arial" w:hAnsi="Arial"/>
          <w:sz w:val="18"/>
          <w:szCs w:val="18"/>
          <w:i w:val="1"/>
          <w:iCs w:val="1"/>
          <w:color w:val="auto"/>
        </w:rPr>
        <w:t xml:space="preserve"> </w:t>
      </w:r>
      <w:r>
        <w:rPr>
          <w:rFonts w:ascii="Arial" w:cs="Arial" w:eastAsia="Arial" w:hAnsi="Arial"/>
          <w:sz w:val="18"/>
          <w:szCs w:val="18"/>
          <w:color w:val="auto"/>
        </w:rPr>
        <w:t>joined Booz Allen in July 2004. Mr. Labovich has led the Company's systems delivery and digital businesses as well as the delivery of the Company's financial services capabilities and service offerings to both federal and private sector clients. Prior to joining the Company, Mr. Labovich spent 18 years at American Management Systems in key roles as both an entrepreneur and a senior executive specializing in systems development and strategic consulting for federal,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88" w:right="239" w:bottom="1440" w:gutter="0" w:footer="0" w:header="0"/>
        </w:sectPr>
      </w:pPr>
    </w:p>
    <w:bookmarkStart w:id="41" w:name="page42"/>
    <w:bookmarkEnd w:id="41"/>
    <w:p>
      <w:pPr>
        <w:ind w:right="120"/>
        <w:spacing w:after="0" w:line="277" w:lineRule="auto"/>
        <w:rPr>
          <w:sz w:val="20"/>
          <w:szCs w:val="20"/>
          <w:color w:val="auto"/>
        </w:rPr>
      </w:pPr>
      <w:r>
        <w:rPr>
          <w:rFonts w:ascii="Arial" w:cs="Arial" w:eastAsia="Arial" w:hAnsi="Arial"/>
          <w:sz w:val="18"/>
          <w:szCs w:val="18"/>
          <w:color w:val="auto"/>
        </w:rPr>
        <w:t>state, local and commercial organizations. Mr. Labovich is a former chair and a member of the board of trustees for the Greater DC Maryland Chapter of the National Multiple Sclerosis and serves on the board of trustees for Clark University.</w:t>
      </w:r>
    </w:p>
    <w:p>
      <w:pPr>
        <w:spacing w:after="0" w:line="62"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i w:val="1"/>
          <w:iCs w:val="1"/>
          <w:color w:val="auto"/>
        </w:rPr>
        <w:t xml:space="preserve">Christopher Ling </w:t>
      </w:r>
      <w:r>
        <w:rPr>
          <w:rFonts w:ascii="Arial" w:cs="Arial" w:eastAsia="Arial" w:hAnsi="Arial"/>
          <w:sz w:val="16"/>
          <w:szCs w:val="16"/>
          <w:color w:val="auto"/>
        </w:rPr>
        <w:t>is an Executive Vice President and leads the Company's National Security Group. Mr. Ling joined the Company in 1991 and has over</w:t>
      </w:r>
      <w:r>
        <w:rPr>
          <w:rFonts w:ascii="Arial" w:cs="Arial" w:eastAsia="Arial" w:hAnsi="Arial"/>
          <w:sz w:val="16"/>
          <w:szCs w:val="16"/>
          <w:i w:val="1"/>
          <w:iCs w:val="1"/>
          <w:color w:val="auto"/>
        </w:rPr>
        <w:t xml:space="preserve"> </w:t>
      </w:r>
      <w:r>
        <w:rPr>
          <w:rFonts w:ascii="Arial" w:cs="Arial" w:eastAsia="Arial" w:hAnsi="Arial"/>
          <w:sz w:val="16"/>
          <w:szCs w:val="16"/>
          <w:color w:val="auto"/>
        </w:rPr>
        <w:t>25 years of experience in management consulting, analytics, mission operations, technology, cybersecurity, engineering, and innovation to design, develop and implement solutions. Prior to becoming the group lead for the National Security Group, Mr. Ling led the Company's International business from April 2016 through March 2018, where he provided a range of general management consulting, defense, counter terrorism, cyber and data analytics services to public and commercial/private sector clients primarily in the Middle East. Mr. Ling was also responsible for leading the Company's cyber business from April 2014 through March 2016 and the Defense/Military Intel business prior to April 2014. Mr. Ling is a member of the Business Executives for National Security.</w:t>
      </w:r>
    </w:p>
    <w:p>
      <w:pPr>
        <w:spacing w:after="0" w:line="57"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i w:val="1"/>
          <w:iCs w:val="1"/>
          <w:color w:val="auto"/>
        </w:rPr>
        <w:t xml:space="preserve">Joseph W. Mahaffee </w:t>
      </w:r>
      <w:r>
        <w:rPr>
          <w:rFonts w:ascii="Arial" w:cs="Arial" w:eastAsia="Arial" w:hAnsi="Arial"/>
          <w:sz w:val="16"/>
          <w:szCs w:val="16"/>
          <w:color w:val="auto"/>
        </w:rPr>
        <w:t>is an Executive Vice President and our Chief Administrative Officer (CAO). Mr. Mahaffee joined the Company in 1981.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assuming his CAO role, Mr. Mahaffee was our Chief Information Security Officer. Mr. Mahaffee served in a variety of client/market-facing leadership roles, including Client Service Officer for our NSA account, Assurance and Resilience Capability Leader and the Northeast Region Leader. Mr. Mahaffee has primarily focused his career serving clients in the Defense and Intelligence Community markets. Altogether, he has more than 40 years of professional experience in Cybersecurity, systems engineering, communications, information assurance and signals intelligence. Prior to joining our Company, Mr. Mahaffee was an information security engineer with the National Security Agency. Mr. Mahaffee has served in multiple leadership roles with a variety of academic and professional organizations. Specifically, Mr. Mahaffee served as the Booz Allen representative to the Defense Industrial Base. He also served on the board of directors for the Central Maryland Chapter of AFCEA and the board of directors for the Independent College Fund of Maryland.</w:t>
      </w:r>
    </w:p>
    <w:p>
      <w:pPr>
        <w:spacing w:after="0" w:line="58"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i w:val="1"/>
          <w:iCs w:val="1"/>
          <w:color w:val="auto"/>
        </w:rPr>
        <w:t xml:space="preserve">Angela Messer </w:t>
      </w:r>
      <w:r>
        <w:rPr>
          <w:rFonts w:ascii="Arial" w:cs="Arial" w:eastAsia="Arial" w:hAnsi="Arial"/>
          <w:sz w:val="17"/>
          <w:szCs w:val="17"/>
          <w:color w:val="auto"/>
        </w:rPr>
        <w:t>is an Executive Vice President and our Chief Transformation Officer (CTO) since April 2018. Ms. Messer joined our Company in 1996,</w:t>
      </w:r>
      <w:r>
        <w:rPr>
          <w:rFonts w:ascii="Arial" w:cs="Arial" w:eastAsia="Arial" w:hAnsi="Arial"/>
          <w:sz w:val="17"/>
          <w:szCs w:val="17"/>
          <w:i w:val="1"/>
          <w:iCs w:val="1"/>
          <w:color w:val="auto"/>
        </w:rPr>
        <w:t xml:space="preserve"> </w:t>
      </w:r>
      <w:r>
        <w:rPr>
          <w:rFonts w:ascii="Arial" w:cs="Arial" w:eastAsia="Arial" w:hAnsi="Arial"/>
          <w:sz w:val="17"/>
          <w:szCs w:val="17"/>
          <w:color w:val="auto"/>
        </w:rPr>
        <w:t>left and rejoined in 2001 and became Executive Vice President in 2013. Previously she led the Company's Cyber capability, guiding teams of cyber forensics engineers, data scientists, and threat intelligence experts who focus on cyber malware, cyber next gen operations and incident response. Previously, she led the Company's Army business, which is a global, multi-functional business in the defense and intelligence sector. Prior to joining the Company, she was a U.S. Army officer, managed two commercial businesses and launched a startup software development Company.</w:t>
      </w:r>
    </w:p>
    <w:p>
      <w:pPr>
        <w:spacing w:after="0" w:line="64"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i w:val="1"/>
          <w:iCs w:val="1"/>
          <w:color w:val="auto"/>
        </w:rPr>
        <w:t xml:space="preserve">Susan L. Penfield </w:t>
      </w:r>
      <w:r>
        <w:rPr>
          <w:rFonts w:ascii="Arial" w:cs="Arial" w:eastAsia="Arial" w:hAnsi="Arial"/>
          <w:sz w:val="16"/>
          <w:szCs w:val="16"/>
          <w:color w:val="auto"/>
        </w:rPr>
        <w:t>is an Executive Vice President and our Chief Innovation Officer, and leads our Strategic Innovation Group. Ms. Penfield joined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1994. She has over 25 years of strategy, technology, marketing and solutions delivery experience. Prior to joining the Strategic Innovation Group, Ms. Penfield led the Company's Health business, where she drove technology and transformation initiatives across the federal, commercial and non-profit health space. She serves on the board of directors of the Children's Inn at the National Institutes of Health and Seedspot. Ms. Penfield is a member of the National Association for Female Executives (NAFE), and was recognized by the NAFE as its 2015 Digital Trailblazer.</w:t>
      </w:r>
    </w:p>
    <w:p>
      <w:pPr>
        <w:spacing w:after="0" w:line="50"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i w:val="1"/>
          <w:iCs w:val="1"/>
          <w:color w:val="auto"/>
        </w:rPr>
        <w:t xml:space="preserve">Elizabeth M. Thompson </w:t>
      </w:r>
      <w:r>
        <w:rPr>
          <w:rFonts w:ascii="Arial" w:cs="Arial" w:eastAsia="Arial" w:hAnsi="Arial"/>
          <w:sz w:val="16"/>
          <w:szCs w:val="16"/>
          <w:color w:val="auto"/>
        </w:rPr>
        <w:t>is an Executive Vice President of our Company and serves as our Chief People Officer. Ms. Thompson joined our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2008. Ms. Thompson served as Vice President of Human Resources for Fannie Mae from 2000 to 2008. Ms. Thompson holds an M.S. in Human Resources and Personnel Management from American University. Ms. Thompson is also a member of the board of directors of the Thurgood Marshall College Fund.</w:t>
      </w:r>
    </w:p>
    <w:p>
      <w:pPr>
        <w:spacing w:after="0" w:line="3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i w:val="1"/>
          <w:iCs w:val="1"/>
          <w:color w:val="auto"/>
        </w:rPr>
        <w:t xml:space="preserve">Laura S. Adams </w:t>
      </w:r>
      <w:r>
        <w:rPr>
          <w:rFonts w:ascii="Arial" w:cs="Arial" w:eastAsia="Arial" w:hAnsi="Arial"/>
          <w:sz w:val="16"/>
          <w:szCs w:val="16"/>
          <w:color w:val="auto"/>
        </w:rPr>
        <w:t>is a Vice President of our Company and our Corporate Controller and Chief Accounting Officer. Ms. Adams joined Booz Allen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2009 and has served as the Company’s Controller since July 2014 and Chief Accounting Officer since 2016. Ms. Adams brings more than 25 years of finance and accounting specialty and industry experience, primarily in aerospace and defense and government and commercial IT management consulting services. Before joining Booz Allen, Ms. Adams was a senior manager in the audit and assurance practice of Ernst &amp; Young from 1995 through 2008.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00" w:right="25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Our Class A Common Stock began trading on the New York Stock Exchange on November 17, 2010. 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shares of Class B Non-Voting Common Stock and Class C Restricted Common Stock outstanding at such time. On September 30, 2015, the Company purchased, at par value, all issued and outstanding shares of Class E special voting common stock in connection with the exercise of the final tranche of rollover options during the second quarter of fiscal 2016. There is no established trading market for each of our Class B Non-Voting Common Stock, Class C Restricted Common Stock, or Class E Special Voting Common Stock. On May 20, 2019, there were 103,026 beneficial holders of our Class A Common Stock. Our Class A Common Stock is listed on the New York Stock Exchange under the ticker symbol "BAH".</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The Company plans to continue paying recurring dividends in the future and assessing its excess cash resources to determine the best way to utilize its excess cash flow to meet its objectives. Any future dividends declared will be at the discretion of the Company's Board of Directors and will depend, among other factors, upon our earnings, liquidity, financial condition, alternate capital allocation opportunities, or any other factors our Board of Directors deems relevant. On May 28, 2019, the Company announced that its Board of Directors had declared a quarterly cash dividend of $0.23 per share. Payment of the dividend will be made on June 28, 2019 to stockholders of record at the close of business on June 14,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share repurchase activity for each of the three months in the quarter ended March 31,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ind w:right="34"/>
              <w:spacing w:after="0"/>
              <w:rPr>
                <w:sz w:val="20"/>
                <w:szCs w:val="20"/>
                <w:color w:val="auto"/>
              </w:rPr>
            </w:pPr>
            <w:r>
              <w:rPr>
                <w:rFonts w:ascii="Arial" w:cs="Arial" w:eastAsia="Arial" w:hAnsi="Arial"/>
                <w:sz w:val="16"/>
                <w:szCs w:val="16"/>
                <w:b w:val="1"/>
                <w:bCs w:val="1"/>
                <w:color w:val="auto"/>
                <w:w w:val="90"/>
              </w:rPr>
              <w:t>the Plans or Programs</w:t>
            </w:r>
          </w:p>
        </w:tc>
      </w:tr>
      <w:tr>
        <w:trPr>
          <w:trHeight w:val="210"/>
        </w:trPr>
        <w:tc>
          <w:tcPr>
            <w:tcW w:w="378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Plans or Programs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ind w:left="700"/>
              <w:spacing w:after="0"/>
              <w:rPr>
                <w:sz w:val="20"/>
                <w:szCs w:val="20"/>
                <w:color w:val="auto"/>
              </w:rPr>
            </w:pPr>
            <w:r>
              <w:rPr>
                <w:rFonts w:ascii="Arial" w:cs="Arial" w:eastAsia="Arial" w:hAnsi="Arial"/>
                <w:sz w:val="16"/>
                <w:szCs w:val="16"/>
                <w:b w:val="1"/>
                <w:bCs w:val="1"/>
                <w:color w:val="auto"/>
              </w:rPr>
              <w:t>(1)</w:t>
            </w: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2019</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890,169</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$44.94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890,169</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7"/>
              </w:rPr>
              <w:t>289,537,339</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February 2019</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346,141</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$52.48</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346,141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700" w:type="dxa"/>
            <w:vAlign w:val="bottom"/>
          </w:tcPr>
          <w:p>
            <w:pPr>
              <w:ind w:left="700"/>
              <w:spacing w:after="0"/>
              <w:rPr>
                <w:sz w:val="20"/>
                <w:szCs w:val="20"/>
                <w:color w:val="auto"/>
              </w:rPr>
            </w:pPr>
            <w:r>
              <w:rPr>
                <w:rFonts w:ascii="Arial" w:cs="Arial" w:eastAsia="Arial" w:hAnsi="Arial"/>
                <w:sz w:val="18"/>
                <w:szCs w:val="18"/>
                <w:color w:val="auto"/>
                <w:w w:val="97"/>
              </w:rPr>
              <w:t>271,373,293</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2019</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250,181</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$52.76</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250,181</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w w:val="97"/>
              </w:rPr>
              <w:t>258,174,390</w:t>
            </w:r>
          </w:p>
        </w:tc>
      </w:tr>
      <w:tr>
        <w:trPr>
          <w:trHeight w:val="257"/>
        </w:trPr>
        <w:tc>
          <w:tcPr>
            <w:tcW w:w="3780" w:type="dxa"/>
            <w:vAlign w:val="bottom"/>
            <w:gridSpan w:val="2"/>
          </w:tcPr>
          <w:p>
            <w:pPr>
              <w:ind w:left="328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1,486,491</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1,486,491</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line="29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December 12, 2011, the Board of Directors approved a $30.0 million share repurchase program, which was further increased by the Board of Directors on (i) January 27, 2015 to $180.0 million, (ii) January 25, 2017 to $410.0 million, (iii) November 2, 2017 to $610.0 million and (iv) May 24, 2018 to $910.0 million. On May 23, 2019, the Board of Directors approved an additional increase to our share repurchase authorization of $400.0 million to $1,310.0 million. As of May 23, 2019, taking into effect the increase in the share repurchase authorization, the Company may repurchase up to approximately $658.2 million of additional shares of common stock under its share repurchase program.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8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Performance</w:t>
      </w:r>
    </w:p>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graph set forth below compares the cumulative shareholder return on our Class A Common Stock between March 31, 2014 and March 31, 2019, to the cumulative return of (i) the Russell 1000 Index and (ii) S&amp;P Software &amp; Services Select Industry Index over the same period. The Russell 1000 and S&amp;P Software &amp; Services Select Industry Indices represent comparator groups for relative cumulative return performance to Booz Allen Hamilton. This graph assumes an initial investment of $100 on March 31, 2014 in our Class A Common Stock, the Russell 1000 Index, and the S&amp;P Software &amp; Services Select Industry Index and assumes the reinvestment of dividends, if any.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200025</wp:posOffset>
            </wp:positionV>
            <wp:extent cx="5848985" cy="2915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ASSUMES $100 INVESTED ON MARCH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ASSUMES DIVIDEND REINVESTED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Company/Market/Peer Group</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3/31/2014</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3/31/2015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3/31/2016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3/31/2017</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3/31/2018</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3/31/2019</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Booz Allen Hamilton Holding Corp.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178.71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304.13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Russell 1000 Index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112.73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113.30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133.05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151.64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165.75</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S&amp;P Software &amp; Services Select Industry Index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113.34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136.90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176.90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222.45</w:t>
            </w:r>
          </w:p>
        </w:tc>
      </w:tr>
      <w:tr>
        <w:trPr>
          <w:trHeight w:val="27"/>
        </w:trPr>
        <w:tc>
          <w:tcPr>
            <w:tcW w:w="5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This performance graph and other information furnished under this Part II Item 5 of this Annual Report shall not be deemed to be “soliciting material” or to be “filed” with the SEC or subject to Regulation 14A or 14C, or to the liabilities of Section 18 of the Exchange Act.</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selected consolidated statements of operations data for fiscal 2019, fiscal 2018, and fiscal 2017 and the selected consolidated balance sheet data as of March 31, 2019 and 2018 have been derived from our audited consolidated financial statements included elsewhere in this Annual report. The selected consolidated statement of operations data for fiscal 2016 and fiscal 2015 and the selected consolidated balance sheet data as of March 31, 2017, 2016 and 2015 have been derived from audited consolidated financial statements which are not included in this Annual Report. Our historical results are not necessarily indicative of the results that may be expected for any future period. The selected financial data should be read in conjunction with “Item 7. Management’s Discussion and Analysis of Financial Condition and Results of Operations” and our consolidated financial statements and related notes included elsewhere in this Annual Report.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05" w:right="239" w:bottom="1440" w:gutter="0" w:footer="0" w:header="0"/>
        </w:sectPr>
      </w:pPr>
    </w:p>
    <w:bookmarkStart w:id="44" w:name="page45"/>
    <w:bookmarkEnd w:id="44"/>
    <w:tbl>
      <w:tblPr>
        <w:tblLayout w:type="fixed"/>
        <w:tblInd w:w="4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6"/>
              </w:rPr>
              <w:t>Fiscal Year Ended March 31,</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542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4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15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r>
      <w:tr>
        <w:trPr>
          <w:trHeight w:val="177"/>
        </w:trPr>
        <w:tc>
          <w:tcPr>
            <w:tcW w:w="5420" w:type="dxa"/>
            <w:vAlign w:val="bottom"/>
          </w:tcPr>
          <w:p>
            <w:pPr>
              <w:spacing w:after="0"/>
              <w:rPr>
                <w:sz w:val="20"/>
                <w:szCs w:val="20"/>
                <w:color w:val="auto"/>
              </w:rPr>
            </w:pPr>
            <w:r>
              <w:rPr>
                <w:rFonts w:ascii="Arial" w:cs="Arial" w:eastAsia="Arial" w:hAnsi="Arial"/>
                <w:sz w:val="14"/>
                <w:szCs w:val="14"/>
                <w:b w:val="1"/>
                <w:bCs w:val="1"/>
                <w:color w:val="auto"/>
              </w:rPr>
              <w:t>Consolidated Statements of Operations:</w:t>
            </w: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03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ectPr>
          <w:pgSz w:w="11900" w:h="16838" w:orient="portrait"/>
          <w:cols w:equalWidth="0" w:num="1">
            <w:col w:w="11420"/>
          </w:cols>
          <w:pgMar w:left="240" w:top="1103" w:right="239" w:bottom="1440" w:gutter="0" w:footer="0" w:header="0"/>
        </w:sectPr>
      </w:pP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costs and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Cost of revenue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Billable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General and administrative expenses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Total operating costs and expenses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per common share (1):</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6,704,037</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6,167,600</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5,809,491</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5,405,738</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5,274,770</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3,100,466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2,866,268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2,678,715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2,580,026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2,593,849</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2,004,664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1,861,312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1,751,077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1,513,083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1,406,527</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927,938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855,541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814,141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806,509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752,912</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68,575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64,756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59,544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61,536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62,660</w:t>
            </w:r>
          </w:p>
        </w:tc>
      </w:tr>
      <w:tr>
        <w:trPr>
          <w:trHeight w:val="250"/>
        </w:trPr>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6,101,643</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5,647,877</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5,303,477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4,961,154</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4,815,948</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602,394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519,723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506,014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444,584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458,822</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(89,517)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(82,269)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(62,298)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(70,815)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(71,832)</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5,693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515,403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430,036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425,657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379,462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385,918</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96,874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128,344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164,832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85,368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153,349</w:t>
            </w:r>
          </w:p>
        </w:tc>
      </w:tr>
      <w:tr>
        <w:trPr>
          <w:trHeight w:val="237"/>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418,529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301,692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260,825</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294,094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232,569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-1903095</wp:posOffset>
            </wp:positionV>
            <wp:extent cx="72034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-1560195</wp:posOffset>
            </wp:positionV>
            <wp:extent cx="72034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-1217295</wp:posOffset>
            </wp:positionV>
            <wp:extent cx="72034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-874395</wp:posOffset>
            </wp:positionV>
            <wp:extent cx="72034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-530860</wp:posOffset>
            </wp:positionV>
            <wp:extent cx="72034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-187960</wp:posOffset>
            </wp:positionV>
            <wp:extent cx="72034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171450</wp:posOffset>
            </wp:positionV>
            <wp:extent cx="72034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740" w:space="720"/>
            <w:col w:w="5960"/>
          </w:cols>
          <w:pgMar w:left="240" w:top="1103" w:right="239" w:bottom="1440" w:gutter="0" w:footer="0" w:header="0"/>
          <w:type w:val="continuous"/>
        </w:sectPr>
      </w:pPr>
    </w:p>
    <w:p>
      <w:pPr>
        <w:ind w:left="18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Weighted average common shares outstanding (1):</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Diluted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declared per share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2.94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2.05</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1.74</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1.58</w:t>
            </w:r>
          </w:p>
        </w:tc>
      </w:tr>
      <w:tr>
        <w:trPr>
          <w:trHeight w:val="270"/>
        </w:trPr>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2.91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540"/>
        </w:trPr>
        <w:tc>
          <w:tcPr>
            <w:tcW w:w="1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5"/>
              </w:rPr>
              <w:t>141,910,799</w:t>
            </w:r>
          </w:p>
        </w:tc>
        <w:tc>
          <w:tcPr>
            <w:tcW w:w="26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5"/>
              </w:rPr>
              <w:t>145,964,574</w:t>
            </w:r>
          </w:p>
        </w:tc>
        <w:tc>
          <w:tcPr>
            <w:tcW w:w="2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148,218,968</w:t>
            </w:r>
          </w:p>
        </w:tc>
        <w:tc>
          <w:tcPr>
            <w:tcW w:w="30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146,494,407</w:t>
            </w: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145,414,120</w:t>
            </w:r>
          </w:p>
        </w:tc>
      </w:tr>
      <w:tr>
        <w:trPr>
          <w:trHeight w:val="270"/>
        </w:trPr>
        <w:tc>
          <w:tcPr>
            <w:tcW w:w="12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5"/>
              </w:rPr>
              <w:t>143,156,176</w:t>
            </w:r>
          </w:p>
        </w:tc>
        <w:tc>
          <w:tcPr>
            <w:tcW w:w="26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w w:val="95"/>
              </w:rPr>
              <w:t>147,750,022</w:t>
            </w: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150,274,640</w:t>
            </w:r>
          </w:p>
        </w:tc>
        <w:tc>
          <w:tcPr>
            <w:tcW w:w="30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149,719,137</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150,375,531</w:t>
            </w:r>
          </w:p>
        </w:tc>
      </w:tr>
      <w:tr>
        <w:trPr>
          <w:trHeight w:val="270"/>
        </w:trPr>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0.80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0.70</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0.62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0.54</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-677545</wp:posOffset>
            </wp:positionV>
            <wp:extent cx="72034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-334645</wp:posOffset>
            </wp:positionV>
            <wp:extent cx="72034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23495</wp:posOffset>
            </wp:positionV>
            <wp:extent cx="46310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4780" w:space="720"/>
            <w:col w:w="5920"/>
          </w:cols>
          <w:pgMar w:left="240" w:top="1103"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283,990</w:t>
            </w:r>
          </w:p>
        </w:tc>
        <w:tc>
          <w:tcPr>
            <w:tcW w:w="120" w:type="dxa"/>
            <w:vAlign w:val="bottom"/>
          </w:tcPr>
          <w:p>
            <w:pPr>
              <w:spacing w:after="0"/>
              <w:rPr>
                <w:sz w:val="16"/>
                <w:szCs w:val="16"/>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286,958</w:t>
            </w:r>
          </w:p>
        </w:tc>
        <w:tc>
          <w:tcPr>
            <w:tcW w:w="120" w:type="dxa"/>
            <w:vAlign w:val="bottom"/>
          </w:tcPr>
          <w:p>
            <w:pPr>
              <w:spacing w:after="0"/>
              <w:rPr>
                <w:sz w:val="16"/>
                <w:szCs w:val="16"/>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217,417</w:t>
            </w:r>
          </w:p>
        </w:tc>
        <w:tc>
          <w:tcPr>
            <w:tcW w:w="120" w:type="dxa"/>
            <w:vAlign w:val="bottom"/>
          </w:tcPr>
          <w:p>
            <w:pPr>
              <w:spacing w:after="0"/>
              <w:rPr>
                <w:sz w:val="16"/>
                <w:szCs w:val="16"/>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187,529</w:t>
            </w:r>
          </w:p>
        </w:tc>
        <w:tc>
          <w:tcPr>
            <w:tcW w:w="100" w:type="dxa"/>
            <w:vAlign w:val="bottom"/>
          </w:tcPr>
          <w:p>
            <w:pPr>
              <w:spacing w:after="0"/>
              <w:rPr>
                <w:sz w:val="16"/>
                <w:szCs w:val="16"/>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207,217</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3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520,101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463,205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211,701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249,858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299,675</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4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3,831,841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3,606,619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3,378,693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3,010,171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2,863,982</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 of current portion</w:t>
            </w:r>
          </w:p>
        </w:tc>
        <w:tc>
          <w:tcPr>
            <w:tcW w:w="3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1,701,837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1,755,479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1,470,174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1,484,448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1,555,761</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675,366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ind w:right="68"/>
              <w:spacing w:after="0"/>
              <w:rPr>
                <w:sz w:val="20"/>
                <w:szCs w:val="20"/>
                <w:color w:val="auto"/>
              </w:rPr>
            </w:pPr>
            <w:r>
              <w:rPr>
                <w:rFonts w:ascii="Arial" w:cs="Arial" w:eastAsia="Arial" w:hAnsi="Arial"/>
                <w:sz w:val="14"/>
                <w:szCs w:val="14"/>
                <w:color w:val="auto"/>
              </w:rPr>
              <w:t>562,491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584,873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408,488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186,498</w:t>
            </w:r>
          </w:p>
        </w:tc>
        <w:tc>
          <w:tcPr>
            <w:tcW w:w="0" w:type="dxa"/>
            <w:vAlign w:val="bottom"/>
          </w:tcPr>
          <w:p>
            <w:pPr>
              <w:spacing w:after="0"/>
              <w:rPr>
                <w:sz w:val="1"/>
                <w:szCs w:val="1"/>
                <w:color w:val="auto"/>
              </w:rPr>
            </w:pPr>
          </w:p>
        </w:tc>
      </w:tr>
      <w:tr>
        <w:trPr>
          <w:trHeight w:val="68"/>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0" w:right="20"/>
        <w:spacing w:after="0" w:line="252" w:lineRule="auto"/>
        <w:rPr>
          <w:sz w:val="20"/>
          <w:szCs w:val="20"/>
          <w:color w:val="auto"/>
        </w:rPr>
      </w:pPr>
      <w:r>
        <w:rPr>
          <w:rFonts w:ascii="Arial" w:cs="Arial" w:eastAsia="Arial" w:hAnsi="Arial"/>
          <w:sz w:val="14"/>
          <w:szCs w:val="14"/>
          <w:color w:val="auto"/>
        </w:rPr>
        <w:t xml:space="preserve">On April 1, 2018, the Company adopted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using the full retrospective transition method and adopted retrospectively ASU 2017-07, </w:t>
      </w:r>
      <w:r>
        <w:rPr>
          <w:rFonts w:ascii="Arial" w:cs="Arial" w:eastAsia="Arial" w:hAnsi="Arial"/>
          <w:sz w:val="14"/>
          <w:szCs w:val="14"/>
          <w:i w:val="1"/>
          <w:iCs w:val="1"/>
          <w:color w:val="auto"/>
        </w:rPr>
        <w:t>Improving the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Presentation of Net Periodic Pension Cost and Net Periodic Postretirement Benefit Cost. </w:t>
      </w:r>
      <w:r>
        <w:rPr>
          <w:rFonts w:ascii="Arial" w:cs="Arial" w:eastAsia="Arial" w:hAnsi="Arial"/>
          <w:sz w:val="14"/>
          <w:szCs w:val="14"/>
          <w:color w:val="auto"/>
        </w:rPr>
        <w:t>Fiscal 2019, Fiscal 2018 and Fiscal 2017 results reflect the impact of the adoption of the two standards</w:t>
      </w:r>
      <w:r>
        <w:rPr>
          <w:rFonts w:ascii="Arial" w:cs="Arial" w:eastAsia="Arial" w:hAnsi="Arial"/>
          <w:sz w:val="14"/>
          <w:szCs w:val="14"/>
          <w:i w:val="1"/>
          <w:iCs w:val="1"/>
          <w:color w:val="auto"/>
        </w:rPr>
        <w:t xml:space="preserve"> </w:t>
      </w:r>
      <w:r>
        <w:rPr>
          <w:rFonts w:ascii="Arial" w:cs="Arial" w:eastAsia="Arial" w:hAnsi="Arial"/>
          <w:sz w:val="14"/>
          <w:szCs w:val="14"/>
          <w:color w:val="auto"/>
        </w:rPr>
        <w:t>(See Note 2 in our consolidated financial statements). Fiscal 2016 and Fiscal 2015 information has not been restated for the adoption of Topic 606 and ASU 2017-07, in accordance with the standard, and is therefore not comparable to the results from Fiscal 2019, Fiscal 2018 and Fiscal 2017.</w:t>
      </w:r>
    </w:p>
    <w:p>
      <w:pPr>
        <w:spacing w:after="0" w:line="188" w:lineRule="exact"/>
        <w:rPr>
          <w:sz w:val="20"/>
          <w:szCs w:val="20"/>
          <w:color w:val="auto"/>
        </w:rPr>
      </w:pPr>
    </w:p>
    <w:p>
      <w:pPr>
        <w:ind w:left="460" w:right="120" w:hanging="330"/>
        <w:spacing w:after="0" w:line="247" w:lineRule="auto"/>
        <w:tabs>
          <w:tab w:leader="none" w:pos="4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Basic earnings per share for the Company has been computed using the weighted average number of shares of Class A Common Stock, Class B Non- Voting Common Stock, and Class C Restricted Common Stock outstanding during the period. The Company’s diluted earnings per share has been computed using the weighted average number of shares of Class A Common Stock, Class B Non-Voting Common Stock, and Class C Restricted Common Stock including the dilutive effect of outstanding common stock options and other stock-based awards. For the purposes of calculating basic and diluted earnings per share, the Company has utilized the two class method, given non-forfeitable dividends declared on unvested Class A Restricted Common Stock. The weighted average number of Class E Special Voting Common Stock has not been included in the calculation of either basic earnings per share or diluted earnings per share due to the terms of such common stock.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03" w:right="239" w:bottom="1440" w:gutter="0" w:footer="0" w:header="0"/>
          <w:type w:val="continuous"/>
        </w:sectPr>
      </w:pPr>
    </w:p>
    <w:bookmarkStart w:id="45" w:name="page46"/>
    <w:bookmarkEnd w:id="45"/>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“Item 6. Selected Financial Data,” and our consolidated financial statements and the related notes contained elsewhere in this Annual Report.</w:t>
      </w:r>
    </w:p>
    <w:p>
      <w:pPr>
        <w:spacing w:after="0" w:line="127"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100"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i w:val="1"/>
          <w:iCs w:val="1"/>
          <w:color w:val="auto"/>
        </w:rPr>
        <w:t>Our fiscal year ends March 31 and, unless otherwise noted, references to years or fiscal are for fiscal years ended March 31. See “—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a leading provider of management and technology consulting, analytics, digital solutions, engineering, mission operations, and cyber expertise to U.S. and international governments, major corporations, and not-for-profit organizations. Our ability to deliver value to our clients has always been, and continues to be, a product of the strong character, expertise and tremendous passion of our people. Our approximately 26,100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5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Through our dedication to our clients' missions, and a commitment to evolving our business to address their client needs, we have longstanding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transportation to solve the hardest and most consequential challenges, including through our cybersecurity products and services. Our international clients are primarily in the Middle East and Southeast Asia.</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88"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Effective April 1, 2018, the Company adopted Accounting Standard Codification (ASC)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and Accounting Standard Updates (ASU) 2017-07, </w:t>
      </w:r>
      <w:r>
        <w:rPr>
          <w:rFonts w:ascii="Arial" w:cs="Arial" w:eastAsia="Arial" w:hAnsi="Arial"/>
          <w:sz w:val="18"/>
          <w:szCs w:val="18"/>
          <w:i w:val="1"/>
          <w:iCs w:val="1"/>
          <w:color w:val="auto"/>
        </w:rPr>
        <w:t>Improving the Presentation of Net Periodic Pension Cost and Net Periodic Postretirement Benefit Cost</w:t>
      </w:r>
      <w:r>
        <w:rPr>
          <w:rFonts w:ascii="Arial" w:cs="Arial" w:eastAsia="Arial" w:hAnsi="Arial"/>
          <w:sz w:val="18"/>
          <w:szCs w:val="18"/>
          <w:color w:val="auto"/>
        </w:rPr>
        <w:t>, using the full retrospective method. All amounts, percentages and disclosures set forth in this Form 10-K for fiscal 2019, 2018 and 2017 reflect these changes. See Note 2 to our accompanying consolidated financial statements for more information on the impact of the adoption of these accounting standards on revenue and operating income.</w:t>
      </w:r>
    </w:p>
    <w:p>
      <w:pPr>
        <w:spacing w:after="0" w:line="8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During fiscal 2019, the Company generated its highest annual revenue since its initial public offering and reported increases in headcount and backlog for the year. Revenue increased 8.7% from fiscal 2018 to fiscal 2019 primarily driven by continued strength in client demand, which led to increased client staff headcount, and an increase in client staff labor, as well as improved contract performance. Revenue also benefited from higher billable expenses as compared to the prior year.</w:t>
      </w:r>
    </w:p>
    <w:p>
      <w:pPr>
        <w:spacing w:after="0" w:line="133"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Operating income increased 15.9% to $602.4 million in fiscal 2019 from $519.7 million in fiscal 2018, which reflects an increase in operating margin to 9.0% from 8.4% in the comparable year. The increase in operating income was primarily driven by the same factors driving revenue growth as well as improved contract performance. During fiscal 2019 the Company also benefited from an $11.2 million reduction in expense as a result of an amendment and associated revaluation of our long term disability plan liability. The Company also incurred incremental legal costs during fiscal 2018 and 2019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850"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285" w:lineRule="exact"/>
        <w:rPr>
          <w:sz w:val="20"/>
          <w:szCs w:val="20"/>
          <w:color w:val="auto"/>
        </w:rPr>
      </w:pPr>
    </w:p>
    <w:p>
      <w:pPr>
        <w:ind w:left="1300" w:right="120" w:hanging="644"/>
        <w:spacing w:after="0" w:line="259"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8" w:lineRule="exact"/>
        <w:rPr>
          <w:rFonts w:ascii="Arial" w:cs="Arial" w:eastAsia="Arial" w:hAnsi="Arial"/>
          <w:sz w:val="18"/>
          <w:szCs w:val="18"/>
          <w:color w:val="auto"/>
        </w:rPr>
      </w:pPr>
    </w:p>
    <w:p>
      <w:pPr>
        <w:ind w:left="1300" w:right="120" w:hanging="644"/>
        <w:spacing w:after="0" w:line="25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adjustments related to the amortization of intangible assets resulting from the acquisition of our Company by The Carlyle Group (the “Carlyle Acquisition”), and (ii)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80" w:lineRule="exact"/>
        <w:rPr>
          <w:rFonts w:ascii="Arial" w:cs="Arial" w:eastAsia="Arial" w:hAnsi="Arial"/>
          <w:sz w:val="18"/>
          <w:szCs w:val="18"/>
          <w:color w:val="auto"/>
        </w:rPr>
      </w:pPr>
    </w:p>
    <w:p>
      <w:pPr>
        <w:ind w:left="1300" w:hanging="644"/>
        <w:spacing w:after="0" w:line="272"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and before certain other items, including transaction costs, fees, losses, and expenses, including fees associated with debt prepayments.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69" w:lineRule="exact"/>
        <w:rPr>
          <w:rFonts w:ascii="Arial" w:cs="Arial" w:eastAsia="Arial" w:hAnsi="Arial"/>
          <w:sz w:val="17"/>
          <w:szCs w:val="17"/>
          <w:color w:val="auto"/>
        </w:rPr>
      </w:pPr>
    </w:p>
    <w:p>
      <w:pPr>
        <w:ind w:left="1300" w:right="120" w:hanging="644"/>
        <w:spacing w:after="0" w:line="259"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Net Income" represents net income before: (i) adjustments related to the amortization of intangible assets resulting from the Carlyle Acquisition, (ii) transaction costs, fees, losses, and expenses, including fees associated with debt prepayments, (iii) amortization or write-off of debt issuance costs and write-off of original issue discount, (iv) release of income tax reserves, and (v) re-measurement of deferred tax assets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51" w:right="239" w:bottom="1440" w:gutter="0" w:footer="0" w:header="0"/>
        </w:sectPr>
      </w:pPr>
    </w:p>
    <w:bookmarkStart w:id="48" w:name="page49"/>
    <w:bookmarkEnd w:id="48"/>
    <w:p>
      <w:pPr>
        <w:ind w:left="644" w:right="20"/>
        <w:spacing w:after="0" w:line="323" w:lineRule="auto"/>
        <w:rPr>
          <w:sz w:val="20"/>
          <w:szCs w:val="20"/>
          <w:color w:val="auto"/>
        </w:rPr>
      </w:pPr>
      <w:r>
        <w:rPr>
          <w:rFonts w:ascii="Arial" w:cs="Arial" w:eastAsia="Arial" w:hAnsi="Arial"/>
          <w:sz w:val="17"/>
          <w:szCs w:val="17"/>
          <w:color w:val="auto"/>
        </w:rPr>
        <w:t>liabilities as a result of the Tax Cuts and Jobs Act (the "2017 Tax Act")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 result of the 2017 Tax Act as an important indicator of performance consistent with the manner in which management measures and forecasts the Company's performance and the way in which management is incentivized to perform.</w:t>
      </w:r>
    </w:p>
    <w:p>
      <w:pPr>
        <w:spacing w:after="0" w:line="42" w:lineRule="exact"/>
        <w:rPr>
          <w:sz w:val="20"/>
          <w:szCs w:val="20"/>
          <w:color w:val="auto"/>
        </w:rPr>
      </w:pPr>
    </w:p>
    <w:p>
      <w:pPr>
        <w:ind w:left="644" w:hanging="644"/>
        <w:spacing w:after="0" w:line="264" w:lineRule="auto"/>
        <w:tabs>
          <w:tab w:leader="none" w:pos="6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consolidated financial statements.</w:t>
      </w:r>
    </w:p>
    <w:p>
      <w:pPr>
        <w:spacing w:after="0" w:line="73" w:lineRule="exact"/>
        <w:rPr>
          <w:rFonts w:ascii="Arial" w:cs="Arial" w:eastAsia="Arial" w:hAnsi="Arial"/>
          <w:sz w:val="18"/>
          <w:szCs w:val="18"/>
          <w:color w:val="auto"/>
        </w:rPr>
      </w:pPr>
    </w:p>
    <w:p>
      <w:pPr>
        <w:ind w:left="644" w:hanging="644"/>
        <w:spacing w:after="0"/>
        <w:tabs>
          <w:tab w:leader="none" w:pos="644" w:val="left"/>
        </w:tabs>
        <w:numPr>
          <w:ilvl w:val="0"/>
          <w:numId w:val="41"/>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00" w:lineRule="exact"/>
        <w:rPr>
          <w:sz w:val="20"/>
          <w:szCs w:val="20"/>
          <w:color w:val="auto"/>
        </w:rPr>
      </w:pPr>
    </w:p>
    <w:p>
      <w:pPr>
        <w:spacing w:after="0" w:line="28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44"/>
          </w:cols>
          <w:pgMar w:left="896" w:top="827" w:right="259" w:bottom="1440" w:gutter="0" w:footer="0" w:header="0"/>
        </w:sectPr>
      </w:pPr>
    </w:p>
    <w:bookmarkStart w:id="49" w:name="page50"/>
    <w:bookmarkEnd w:id="49"/>
    <w:p>
      <w:pPr>
        <w:ind w:firstLine="405"/>
        <w:spacing w:after="0" w:line="264"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80" w:type="dxa"/>
            <w:vAlign w:val="bottom"/>
            <w:gridSpan w:val="6"/>
          </w:tcPr>
          <w:p>
            <w:pPr>
              <w:jc w:val="center"/>
              <w:ind w:left="890"/>
              <w:spacing w:after="0"/>
              <w:rPr>
                <w:sz w:val="20"/>
                <w:szCs w:val="20"/>
                <w:color w:val="auto"/>
              </w:rPr>
            </w:pPr>
            <w:r>
              <w:rPr>
                <w:rFonts w:ascii="Arial" w:cs="Arial" w:eastAsia="Arial" w:hAnsi="Arial"/>
                <w:sz w:val="18"/>
                <w:szCs w:val="18"/>
                <w:b w:val="1"/>
                <w:bCs w:val="1"/>
                <w:color w:val="auto"/>
                <w:w w:val="92"/>
              </w:rPr>
              <w:t>Fiscal Year Ended March 31,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in thousands, except share and per share data)</w:t>
            </w: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6,704,037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6,167,600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5,809,491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Billable expenses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2,004,664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1,861,312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1,751,077</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8"/>
                <w:szCs w:val="18"/>
                <w:color w:val="auto"/>
              </w:rPr>
              <w:t>Revenue, Excluding Billable Expenses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4,699,373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4,306,288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4,058,414</w:t>
            </w:r>
          </w:p>
        </w:tc>
        <w:tc>
          <w:tcPr>
            <w:tcW w:w="0" w:type="dxa"/>
            <w:vAlign w:val="bottom"/>
          </w:tcPr>
          <w:p>
            <w:pPr>
              <w:spacing w:after="0"/>
              <w:rPr>
                <w:sz w:val="1"/>
                <w:szCs w:val="1"/>
                <w:color w:val="auto"/>
              </w:rPr>
            </w:pPr>
          </w:p>
        </w:tc>
      </w:tr>
      <w:tr>
        <w:trPr>
          <w:trHeight w:val="67"/>
        </w:trPr>
        <w:tc>
          <w:tcPr>
            <w:tcW w:w="58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Operating Income</w:t>
            </w: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602,394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519,723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506,014</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 (a)</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Transaction expenses (b)</w:t>
            </w:r>
          </w:p>
        </w:tc>
        <w:tc>
          <w:tcPr>
            <w:tcW w:w="40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Adjusted 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606,054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519,723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513,593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Adjusted EBITDA, Adjusted EBITDA Margin on Revenue &amp;</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Adjusted EBITDA Margin on Revenue, Excluding Billable Expenses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418,529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301,692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260,825</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96,874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128,344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164,832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other, net (c)</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89,687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80,357</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68,575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64,756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59,544</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EBITDA</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670,969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584,479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565,558</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Transaction expenses (b)</w:t>
            </w:r>
          </w:p>
        </w:tc>
        <w:tc>
          <w:tcPr>
            <w:tcW w:w="40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674,629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584,479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568,912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Adjusted EBITDA Margin on Revenue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9"/>
              </w:rPr>
              <w:t>Adjusted EBITDA Margin on Revenue, Excluding Billable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418,529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301,692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260,825</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Amortization of intangible assets (a)</w:t>
            </w:r>
          </w:p>
        </w:tc>
        <w:tc>
          <w:tcPr>
            <w:tcW w:w="40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(b)</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Release of income tax reserves (d)</w:t>
            </w:r>
          </w:p>
        </w:tc>
        <w:tc>
          <w:tcPr>
            <w:tcW w:w="4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Re-measurement of deferred tax assets/liabilities (e)</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(9,107)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tcPr>
          <w:p>
            <w:pPr>
              <w:ind w:left="280"/>
              <w:spacing w:after="0"/>
              <w:rPr>
                <w:sz w:val="20"/>
                <w:szCs w:val="20"/>
                <w:color w:val="auto"/>
              </w:rPr>
            </w:pPr>
            <w:r>
              <w:rPr>
                <w:rFonts w:ascii="Arial" w:cs="Arial" w:eastAsia="Arial" w:hAnsi="Arial"/>
                <w:sz w:val="18"/>
                <w:szCs w:val="18"/>
                <w:color w:val="auto"/>
                <w:w w:val="99"/>
              </w:rPr>
              <w:t>Amortization or write-off of debt issuance costs and write-off of original</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80"/>
              <w:spacing w:after="0"/>
              <w:rPr>
                <w:sz w:val="20"/>
                <w:szCs w:val="20"/>
                <w:color w:val="auto"/>
              </w:rPr>
            </w:pPr>
            <w:r>
              <w:rPr>
                <w:rFonts w:ascii="Arial" w:cs="Arial" w:eastAsia="Arial" w:hAnsi="Arial"/>
                <w:sz w:val="18"/>
                <w:szCs w:val="18"/>
                <w:color w:val="auto"/>
              </w:rPr>
              <w:t>issue discount</w:t>
            </w:r>
          </w:p>
        </w:tc>
        <w:tc>
          <w:tcPr>
            <w:tcW w:w="40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for tax effect (f)</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8"/>
                <w:szCs w:val="18"/>
                <w:color w:val="auto"/>
              </w:rPr>
              <w:t>Adjusted Net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395,028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294,271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270,692</w:t>
            </w:r>
          </w:p>
        </w:tc>
        <w:tc>
          <w:tcPr>
            <w:tcW w:w="0" w:type="dxa"/>
            <w:vAlign w:val="bottom"/>
          </w:tcPr>
          <w:p>
            <w:pPr>
              <w:spacing w:after="0"/>
              <w:rPr>
                <w:sz w:val="1"/>
                <w:szCs w:val="1"/>
                <w:color w:val="auto"/>
              </w:rPr>
            </w:pPr>
          </w:p>
        </w:tc>
      </w:tr>
      <w:tr>
        <w:trPr>
          <w:trHeight w:val="67"/>
        </w:trPr>
        <w:tc>
          <w:tcPr>
            <w:tcW w:w="58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Weighted-average number of diluted shares outstanding</w:t>
            </w:r>
          </w:p>
        </w:tc>
        <w:tc>
          <w:tcPr>
            <w:tcW w:w="400" w:type="dxa"/>
            <w:vAlign w:val="bottom"/>
          </w:tcPr>
          <w:p>
            <w:pPr>
              <w:spacing w:after="0"/>
              <w:rPr>
                <w:sz w:val="21"/>
                <w:szCs w:val="21"/>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143,156,176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147,750,022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150,274,640</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Net Income Per Diluted Share (g)</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499,610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369,143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382,277</w:t>
            </w:r>
          </w:p>
        </w:tc>
        <w:tc>
          <w:tcPr>
            <w:tcW w:w="0" w:type="dxa"/>
            <w:vAlign w:val="bottom"/>
          </w:tcPr>
          <w:p>
            <w:pPr>
              <w:spacing w:after="0"/>
              <w:rPr>
                <w:sz w:val="1"/>
                <w:szCs w:val="1"/>
                <w:color w:val="auto"/>
              </w:rPr>
            </w:pPr>
          </w:p>
        </w:tc>
      </w:tr>
      <w:tr>
        <w:trPr>
          <w:trHeight w:val="243"/>
        </w:trPr>
        <w:tc>
          <w:tcPr>
            <w:tcW w:w="5860" w:type="dxa"/>
            <w:vAlign w:val="bottom"/>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400" w:type="dxa"/>
            <w:vAlign w:val="bottom"/>
          </w:tcPr>
          <w:p>
            <w:pPr>
              <w:spacing w:after="0"/>
              <w:rPr>
                <w:sz w:val="21"/>
                <w:szCs w:val="21"/>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(94,681)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(78,437)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(53,919)</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Free Cash Flow</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404,929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290,706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328,358</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692" w:right="239" w:bottom="1440" w:gutter="0" w:footer="0" w:header="0"/>
          <w:type w:val="continuous"/>
        </w:sectPr>
      </w:pPr>
    </w:p>
    <w:bookmarkStart w:id="50" w:name="page51"/>
    <w:bookmarkEnd w:id="50"/>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Carlyle Acquisition.</w:t>
      </w:r>
    </w:p>
    <w:p>
      <w:pPr>
        <w:spacing w:after="0" w:line="63" w:lineRule="exact"/>
        <w:rPr>
          <w:rFonts w:ascii="Arial" w:cs="Arial" w:eastAsia="Arial" w:hAnsi="Arial"/>
          <w:sz w:val="18"/>
          <w:szCs w:val="18"/>
          <w:color w:val="auto"/>
        </w:rPr>
      </w:pPr>
    </w:p>
    <w:p>
      <w:pPr>
        <w:ind w:left="660" w:right="460" w:hanging="652"/>
        <w:spacing w:after="0" w:line="29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Fiscal 2019 reflects debt refinancing costs incurred in connection with the refinancing transaction consummated on July 23, 2018. Fiscal 2017 reflects the debt refinancing costs incurred in connection with the refinancing transaction consummated on July 13, 2016.</w:t>
      </w: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the combination of Interest expense and Other income (expense), net from the consolidated statement of operations.</w:t>
      </w:r>
    </w:p>
    <w:p>
      <w:pPr>
        <w:spacing w:after="0" w:line="63"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Release of pre-acquisition income tax reserves assumed by the Company in connection with the Carlyle Acquisition.</w:t>
      </w:r>
    </w:p>
    <w:p>
      <w:pPr>
        <w:spacing w:after="0" w:line="63" w:lineRule="exact"/>
        <w:rPr>
          <w:rFonts w:ascii="Arial" w:cs="Arial" w:eastAsia="Arial" w:hAnsi="Arial"/>
          <w:sz w:val="18"/>
          <w:szCs w:val="18"/>
          <w:color w:val="auto"/>
        </w:rPr>
      </w:pPr>
    </w:p>
    <w:p>
      <w:pPr>
        <w:jc w:val="both"/>
        <w:ind w:left="660" w:right="260" w:hanging="652"/>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Reflects primarily the adjustments made to the provisional income tax benefit associated with the re-measurement of the Company's deferred tax assets and liabilities as a result of the 2017 Tax Act, including a measurement period adjustment associated with the unbilled receivables method change approved by the IRS in the third quarter of fiscal 2019.</w:t>
      </w:r>
    </w:p>
    <w:p>
      <w:pPr>
        <w:spacing w:after="0" w:line="19" w:lineRule="exact"/>
        <w:rPr>
          <w:rFonts w:ascii="Arial" w:cs="Arial" w:eastAsia="Arial" w:hAnsi="Arial"/>
          <w:sz w:val="18"/>
          <w:szCs w:val="18"/>
          <w:color w:val="auto"/>
        </w:rPr>
      </w:pPr>
    </w:p>
    <w:p>
      <w:pPr>
        <w:ind w:left="660" w:right="40" w:hanging="652"/>
        <w:spacing w:after="0" w:line="286"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Fiscal 2017 reflects the tax effect of adjustments at an assumed effective tax rate of 40%. With the enactment of the 2017 Tax Act, fiscal 2018 and fiscal 2019 adjustments are reflected using assumed effective tax rates of 36.5% and 26%, which approximate the blended federal and state tax rates for fiscal 2018 and 2019, respectively, and consistently exclude the impact of other tax credits and incentive benefits realized.</w:t>
      </w:r>
    </w:p>
    <w:p>
      <w:pPr>
        <w:spacing w:after="0" w:line="3" w:lineRule="exact"/>
        <w:rPr>
          <w:rFonts w:ascii="Arial" w:cs="Arial" w:eastAsia="Arial" w:hAnsi="Arial"/>
          <w:sz w:val="17"/>
          <w:szCs w:val="17"/>
          <w:color w:val="auto"/>
        </w:rPr>
      </w:pPr>
    </w:p>
    <w:p>
      <w:pPr>
        <w:ind w:left="660" w:right="14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an adjustment of approximately $1.8 million, $1.9 million, and $2.3 million of net earnings for fiscal 2019, 2018, and 2017, respectively, associated with the application of the two-class method for computing diluted earnings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40" w:hanging="644"/>
        <w:spacing w:after="0" w:line="273"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 Payer Relief Act of 2012, the Bipartisan Budget Act of 2013, the Bipartisan Budget Act of 2015 and the Bipartisan Budget Act of 2018, and address the ability of Congress to determine how to allocate the available budget authority and pass appropriations bills to fund both U.S. government departments and agencies that are, and those that are not, subject to the caps;</w:t>
      </w:r>
    </w:p>
    <w:p>
      <w:pPr>
        <w:spacing w:after="0" w:line="70"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right="40" w:hanging="644"/>
        <w:spacing w:after="0" w:line="289" w:lineRule="auto"/>
        <w:tabs>
          <w:tab w:leader="none" w:pos="13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746" w:right="299" w:bottom="1440" w:gutter="0" w:footer="0" w:header="0"/>
        </w:sectPr>
      </w:pPr>
    </w:p>
    <w:bookmarkStart w:id="51" w:name="page52"/>
    <w:bookmarkEnd w:id="51"/>
    <w:p>
      <w:pPr>
        <w:ind w:left="1300" w:right="40" w:hanging="644"/>
        <w:spacing w:after="0" w:line="259"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right="160" w:hanging="644"/>
        <w:spacing w:after="0" w:line="259"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73"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2"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certain of the trends identified above, and industry trend towards consolidation, which may result in the emergence of companies that are better able to compete against us;</w:t>
      </w:r>
    </w:p>
    <w:p>
      <w:pPr>
        <w:spacing w:after="0" w:line="15" w:lineRule="exact"/>
        <w:rPr>
          <w:rFonts w:ascii="Arial" w:cs="Arial" w:eastAsia="Arial" w:hAnsi="Arial"/>
          <w:sz w:val="16"/>
          <w:szCs w:val="16"/>
          <w:color w:val="auto"/>
        </w:rPr>
      </w:pPr>
    </w:p>
    <w:p>
      <w:pPr>
        <w:ind w:left="1300" w:right="180" w:hanging="644"/>
        <w:spacing w:after="0" w:line="31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cost-cutting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52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jc w:val="both"/>
        <w:ind w:left="1300" w:right="10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73" w:lineRule="exact"/>
        <w:rPr>
          <w:rFonts w:ascii="Arial" w:cs="Arial" w:eastAsia="Arial" w:hAnsi="Arial"/>
          <w:sz w:val="18"/>
          <w:szCs w:val="18"/>
          <w:color w:val="auto"/>
        </w:rPr>
      </w:pPr>
    </w:p>
    <w:p>
      <w:pPr>
        <w:jc w:val="both"/>
        <w:ind w:left="1300" w:right="20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(as amended by the American Taxpayer Relief Act of 2012, the Bipartisan Budget Act of 2013, the Bipartisan Budget Act of 2015, and the Bipartisan Act of 2018), provides for automatic spending cuts (referred to as sequestration) totaling approximately $1.2 trillion between 2013 and 2021, including an estimated $500 billion in federal defense spending cuts over this time period. The Bipartisan Budget Act of 2018 raised BCA spending caps on defense spending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800" w:right="259" w:bottom="1440" w:gutter="0" w:footer="0" w:header="0"/>
        </w:sectPr>
      </w:pPr>
    </w:p>
    <w:bookmarkStart w:id="52" w:name="page53"/>
    <w:bookmarkEnd w:id="52"/>
    <w:p>
      <w:pPr>
        <w:spacing w:after="0" w:line="291" w:lineRule="auto"/>
        <w:rPr>
          <w:sz w:val="20"/>
          <w:szCs w:val="20"/>
          <w:color w:val="auto"/>
        </w:rPr>
      </w:pPr>
      <w:r>
        <w:rPr>
          <w:rFonts w:ascii="Arial" w:cs="Arial" w:eastAsia="Arial" w:hAnsi="Arial"/>
          <w:sz w:val="16"/>
          <w:szCs w:val="16"/>
          <w:color w:val="auto"/>
        </w:rPr>
        <w:t>by $80 billion for fiscal 2018, and $85 billion for fiscal 2019. For non-defense funding, the Bipartisan Budget Act of 2018 raised BCA spending caps by $63 billion for fiscal 2018 and $67 billion for fiscal 2019. While the American Taxpayer Relief Act of 2012, the Bipartisan Budget Act of 2013, the Bipartisan Budget Act of 2015, and the Bipartisan Budget Act of 2018 all negated and raised budget limits put in place by the BCA for both defense and non-defense spending, those spending limits are due to return in fiscal 2020, and absent another budget deal, could result in significant cuts to the budget levels allowed by the Bipartisan Budget Act of 2018.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20" w:hanging="655"/>
        <w:spacing w:after="0" w:line="289" w:lineRule="auto"/>
        <w:tabs>
          <w:tab w:leader="none" w:pos="196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8" w:lineRule="exact"/>
        <w:rPr>
          <w:rFonts w:ascii="Arial" w:cs="Arial" w:eastAsia="Arial" w:hAnsi="Arial"/>
          <w:sz w:val="16"/>
          <w:szCs w:val="16"/>
          <w:i w:val="1"/>
          <w:iCs w:val="1"/>
          <w:color w:val="auto"/>
        </w:rPr>
      </w:pPr>
    </w:p>
    <w:p>
      <w:pPr>
        <w:ind w:left="1960" w:right="200" w:hanging="655"/>
        <w:spacing w:after="0" w:line="255" w:lineRule="auto"/>
        <w:tabs>
          <w:tab w:leader="none" w:pos="19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contracts in this category,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5" w:lineRule="exact"/>
        <w:rPr>
          <w:rFonts w:ascii="Arial" w:cs="Arial" w:eastAsia="Arial" w:hAnsi="Arial"/>
          <w:sz w:val="18"/>
          <w:szCs w:val="18"/>
          <w:i w:val="1"/>
          <w:iCs w:val="1"/>
          <w:color w:val="auto"/>
        </w:rPr>
      </w:pPr>
    </w:p>
    <w:p>
      <w:pPr>
        <w:ind w:left="1960" w:right="120" w:hanging="655"/>
        <w:spacing w:after="0" w:line="255" w:lineRule="auto"/>
        <w:tabs>
          <w:tab w:leader="none" w:pos="19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5"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800" w:right="259" w:bottom="1440" w:gutter="0" w:footer="0" w:header="0"/>
        </w:sectPr>
      </w:pPr>
    </w:p>
    <w:bookmarkStart w:id="53" w:name="page54"/>
    <w:bookmarkEnd w:id="53"/>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71" w:lineRule="exact"/>
        <w:rPr>
          <w:sz w:val="20"/>
          <w:szCs w:val="20"/>
          <w:color w:val="auto"/>
        </w:rPr>
      </w:pPr>
    </w:p>
    <w:tbl>
      <w:tblPr>
        <w:tblLayout w:type="fixed"/>
        <w:tblInd w:w="240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20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ind w:left="214"/>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w:t>
            </w:r>
          </w:p>
        </w:tc>
        <w:tc>
          <w:tcPr>
            <w:tcW w:w="1140" w:type="dxa"/>
            <w:vAlign w:val="bottom"/>
            <w:tcBorders>
              <w:bottom w:val="single" w:sz="8" w:color="CCEEFF"/>
            </w:tcBorders>
            <w:shd w:val="clear" w:color="auto" w:fill="CCEEFF"/>
          </w:tcPr>
          <w:p>
            <w:pPr>
              <w:jc w:val="center"/>
              <w:ind w:left="214"/>
              <w:spacing w:after="0"/>
              <w:rPr>
                <w:sz w:val="20"/>
                <w:szCs w:val="20"/>
                <w:color w:val="auto"/>
              </w:rPr>
            </w:pPr>
            <w:r>
              <w:rPr>
                <w:rFonts w:ascii="Arial" w:cs="Arial" w:eastAsia="Arial" w:hAnsi="Arial"/>
                <w:sz w:val="18"/>
                <w:szCs w:val="18"/>
                <w:color w:val="auto"/>
                <w:w w:val="88"/>
              </w:rPr>
              <w:t>53%</w:t>
            </w:r>
          </w:p>
        </w:tc>
        <w:tc>
          <w:tcPr>
            <w:tcW w:w="1860" w:type="dxa"/>
            <w:vAlign w:val="bottom"/>
            <w:tcBorders>
              <w:bottom w:val="single" w:sz="8" w:color="CCEEFF"/>
            </w:tcBorders>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4"/>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214"/>
              <w:spacing w:after="0"/>
              <w:rPr>
                <w:sz w:val="20"/>
                <w:szCs w:val="20"/>
                <w:color w:val="auto"/>
              </w:rPr>
            </w:pPr>
            <w:r>
              <w:rPr>
                <w:rFonts w:ascii="Arial" w:cs="Arial" w:eastAsia="Arial" w:hAnsi="Arial"/>
                <w:sz w:val="18"/>
                <w:szCs w:val="18"/>
                <w:color w:val="auto"/>
                <w:w w:val="94"/>
              </w:rPr>
              <w:t>50%</w:t>
            </w: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140" w:type="dxa"/>
            <w:vAlign w:val="bottom"/>
          </w:tcPr>
          <w:p>
            <w:pPr>
              <w:jc w:val="center"/>
              <w:ind w:left="214"/>
              <w:spacing w:after="0"/>
              <w:rPr>
                <w:sz w:val="20"/>
                <w:szCs w:val="20"/>
                <w:color w:val="auto"/>
              </w:rPr>
            </w:pPr>
            <w:r>
              <w:rPr>
                <w:rFonts w:ascii="Arial" w:cs="Arial" w:eastAsia="Arial" w:hAnsi="Arial"/>
                <w:sz w:val="18"/>
                <w:szCs w:val="18"/>
                <w:color w:val="auto"/>
                <w:w w:val="88"/>
              </w:rPr>
              <w:t>24%</w:t>
            </w:r>
          </w:p>
        </w:tc>
        <w:tc>
          <w:tcPr>
            <w:tcW w:w="1860" w:type="dxa"/>
            <w:vAlign w:val="bottom"/>
            <w:gridSpan w:val="3"/>
          </w:tcPr>
          <w:p>
            <w:pPr>
              <w:jc w:val="center"/>
              <w:ind w:left="314"/>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center"/>
              <w:ind w:right="214"/>
              <w:spacing w:after="0"/>
              <w:rPr>
                <w:sz w:val="20"/>
                <w:szCs w:val="20"/>
                <w:color w:val="auto"/>
              </w:rPr>
            </w:pPr>
            <w:r>
              <w:rPr>
                <w:rFonts w:ascii="Arial" w:cs="Arial" w:eastAsia="Arial" w:hAnsi="Arial"/>
                <w:sz w:val="18"/>
                <w:szCs w:val="18"/>
                <w:color w:val="auto"/>
                <w:w w:val="94"/>
              </w:rPr>
              <w:t>26%</w:t>
            </w:r>
          </w:p>
        </w:tc>
      </w:tr>
      <w:tr>
        <w:trPr>
          <w:trHeight w:val="27"/>
        </w:trPr>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114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88"/>
              </w:rPr>
              <w:t>23%</w:t>
            </w:r>
          </w:p>
        </w:tc>
        <w:tc>
          <w:tcPr>
            <w:tcW w:w="1860" w:type="dxa"/>
            <w:vAlign w:val="bottom"/>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4"/>
              </w:rPr>
              <w:t>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right="214"/>
              <w:spacing w:after="0"/>
              <w:rPr>
                <w:sz w:val="20"/>
                <w:szCs w:val="20"/>
                <w:color w:val="auto"/>
              </w:rPr>
            </w:pPr>
            <w:r>
              <w:rPr>
                <w:rFonts w:ascii="Arial" w:cs="Arial" w:eastAsia="Arial" w:hAnsi="Arial"/>
                <w:sz w:val="18"/>
                <w:szCs w:val="18"/>
                <w:color w:val="auto"/>
                <w:w w:val="94"/>
              </w:rPr>
              <w:t>24%</w:t>
            </w:r>
          </w:p>
        </w:tc>
      </w:tr>
      <w:tr>
        <w:trPr>
          <w:trHeight w:val="27"/>
        </w:trPr>
        <w:tc>
          <w:tcPr>
            <w:tcW w:w="20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0" w:right="720"/>
        <w:spacing w:after="0" w:line="277" w:lineRule="auto"/>
        <w:rPr>
          <w:sz w:val="20"/>
          <w:szCs w:val="20"/>
          <w:color w:val="auto"/>
        </w:rPr>
      </w:pPr>
      <w:r>
        <w:rPr>
          <w:rFonts w:ascii="Arial" w:cs="Arial" w:eastAsia="Arial" w:hAnsi="Arial"/>
          <w:sz w:val="18"/>
          <w:szCs w:val="18"/>
          <w:i w:val="1"/>
          <w:iCs w:val="1"/>
          <w:color w:val="auto"/>
        </w:rPr>
        <w:t>Note: Upon the adoption of Topic 606 in fiscal 2019, the contract type descriptions noted above have been aligned to the Revenue by Contract Type descriptions found in Note 3 to our accompanying consolidated financial statements.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 No single task order under any IDIQ contract represented more than 3.8% of our revenue in fiscal 2019. No single definite contract accounted for more than 2.8% of our revenue in fiscal 2019.</w:t>
      </w:r>
    </w:p>
    <w:p>
      <w:pPr>
        <w:spacing w:after="0" w:line="7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2019, 2018, and 2017, 92%, 91%, and 91%, respectively, of our revenue was generated by contracts and task orders for which we served as a prime contractor; 8%, 9%, and 9%, respectively, of our revenue was generated by contracts and task orders for which we served as a subcontractor; and approximately 24%, 25%, and 25%, respectively, of our revenue was generated by services provided by our subcontractors.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March 31, 2019, 2018, and 2017, we employed approximately 26,100, 24,600, and 23,300 people, respectively, of which approximately 23,400, 22,100, and 21,000, respectively, were consulting staff.</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for which funding has not been appropriated or otherwise authorized.</w:t>
      </w:r>
    </w:p>
    <w:p>
      <w:pPr>
        <w:spacing w:after="0" w:line="62"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0" w:right="239" w:bottom="1440" w:gutter="0" w:footer="0" w:header="0"/>
        </w:sectPr>
      </w:pPr>
    </w:p>
    <w:bookmarkStart w:id="54" w:name="page55"/>
    <w:bookmarkEnd w:id="54"/>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23495</wp:posOffset>
            </wp:positionV>
            <wp:extent cx="2992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03"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190"/>
        </w:trPr>
        <w:tc>
          <w:tcPr>
            <w:tcW w:w="5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5"/>
        </w:trPr>
        <w:tc>
          <w:tcPr>
            <w:tcW w:w="5240" w:type="dxa"/>
            <w:vAlign w:val="bottom"/>
          </w:tcPr>
          <w:p>
            <w:pPr>
              <w:ind w:left="20"/>
              <w:spacing w:after="0"/>
              <w:rPr>
                <w:sz w:val="20"/>
                <w:szCs w:val="20"/>
                <w:color w:val="auto"/>
              </w:rPr>
            </w:pPr>
            <w:r>
              <w:rPr>
                <w:rFonts w:ascii="Arial" w:cs="Arial" w:eastAsia="Arial" w:hAnsi="Arial"/>
                <w:sz w:val="18"/>
                <w:szCs w:val="18"/>
                <w:color w:val="auto"/>
              </w:rPr>
              <w:t>Backlog:</w:t>
            </w: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Funded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2,815</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Unfunded</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3,098</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Priced options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12,198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7,679</w:t>
            </w:r>
          </w:p>
        </w:tc>
      </w:tr>
      <w:tr>
        <w:trPr>
          <w:trHeight w:val="237"/>
        </w:trPr>
        <w:tc>
          <w:tcPr>
            <w:tcW w:w="5240" w:type="dxa"/>
            <w:vAlign w:val="bottom"/>
          </w:tcPr>
          <w:p>
            <w:pPr>
              <w:ind w:left="700"/>
              <w:spacing w:after="0"/>
              <w:rPr>
                <w:sz w:val="20"/>
                <w:szCs w:val="20"/>
                <w:color w:val="auto"/>
              </w:rPr>
            </w:pPr>
            <w:r>
              <w:rPr>
                <w:rFonts w:ascii="Arial" w:cs="Arial" w:eastAsia="Arial" w:hAnsi="Arial"/>
                <w:sz w:val="18"/>
                <w:szCs w:val="18"/>
                <w:color w:val="auto"/>
              </w:rPr>
              <w:t>Total backlog</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19,321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16,020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13,592</w:t>
            </w:r>
          </w:p>
        </w:tc>
      </w:tr>
      <w:tr>
        <w:trPr>
          <w:trHeight w:val="27"/>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Our total backlog consists of remaining performance obligations, certain orders under contracts for which the period of performance has expired, and unexercised option period and other unexercised optional orders. As of March 31, 2019, the Company has $5.8 billion of remaining performance obligations and we expect to recognize more than half of the remaining performance obligations as revenue over the next 12 months, and approximately three quarters over the next 24 months. The remainder is expected to be recognized thereafter. However, given the uncertainties discussed below, as well as the risks described in "Item 1A. Risk Factors",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59"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 xml:space="preserve">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20.6% from March 31, 2018 to March 31, 2019 and increased by 17.9% from March 31, 2017 to March 31, 2018. Additions to funded backlog, during fiscal 2019 and 2018 totaled $7.4 billion and $6.0 billion, respectively, </w:t>
      </w:r>
      <w:r>
        <w:rPr>
          <w:rFonts w:ascii="Arial" w:cs="Arial" w:eastAsia="Arial" w:hAnsi="Arial"/>
          <w:sz w:val="16"/>
          <w:szCs w:val="16"/>
          <w:color w:val="231F20"/>
        </w:rPr>
        <w:t>with the increase from fiscal 2018 to fiscal 2019 due to</w:t>
      </w:r>
      <w:r>
        <w:rPr>
          <w:rFonts w:ascii="Arial" w:cs="Arial" w:eastAsia="Arial" w:hAnsi="Arial"/>
          <w:sz w:val="16"/>
          <w:szCs w:val="16"/>
          <w:color w:val="auto"/>
        </w:rPr>
        <w:t xml:space="preserve"> the conversion of unfunded backlog to funded backlog, the award of new contracts and task orders under which funding was appropriated, and the subsequent funding of priced options. We report internally on our backlog on a monthly basis and review backlog upon occurrence of certain events to determine if any adjustments are necessary.</w:t>
      </w:r>
    </w:p>
    <w:p>
      <w:pPr>
        <w:spacing w:after="0" w:line="5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4.6% of funded backlog as of the end of any of the four fiscal quarters preceding the fiscal quarter ended March 31, 2019.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0" w:right="239" w:bottom="1440" w:gutter="0" w:footer="0" w:header="0"/>
        </w:sectPr>
      </w:pPr>
    </w:p>
    <w:bookmarkStart w:id="55" w:name="page56"/>
    <w:bookmarkEnd w:id="55"/>
    <w:p>
      <w:pPr>
        <w:jc w:val="both"/>
        <w:ind w:right="80" w:firstLine="405"/>
        <w:spacing w:after="0" w:line="264" w:lineRule="auto"/>
        <w:rPr>
          <w:sz w:val="20"/>
          <w:szCs w:val="20"/>
          <w:color w:val="auto"/>
        </w:rPr>
      </w:pPr>
      <w:r>
        <w:rPr>
          <w:rFonts w:ascii="Arial" w:cs="Arial" w:eastAsia="Arial" w:hAnsi="Arial"/>
          <w:sz w:val="18"/>
          <w:szCs w:val="18"/>
          <w:color w:val="auto"/>
        </w:rPr>
        <w:t>We expect to recognize revenue from a substantial portion of funded backlog as of March 31, 2019 within the next twelve months. However, given the uncertainties discussed above, as well as the risks described in "Item 1A. Risk Factors", we can give no assurance that we will be able to convert our backlog into revenue in any particular period, if at all.</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6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62"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8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Seasonality is just one of a number of factors, many of which are outside of our control, which may affect our results in any period. See "Item 1A. Risk Factors."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accordance with GAAP. The preparation of these consolidated financial statements in accordance with GAAP requires management to make estimates and assumptions that affect the reported amounts of assets and liabilities and the disclosure of contingencies at the date of the consolidated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7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 and Cost Estimation</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revenues from contracts with customers (clients) are derived from offerings that include consulting, analytics, digital solutions, engineering, and cyber services, substantially with the U.S. government and its agencies, and to a lesser extent, subcontractors. We also serve foreign governments, as well as domestic and international commercial clients. We perform under various types of contracts, which include cost-reimbursable-plus-fee contracts, time-and-material contracts, and fixed-price contracts.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800" w:right="259" w:bottom="1440" w:gutter="0" w:footer="0" w:header="0"/>
        </w:sectPr>
      </w:pPr>
    </w:p>
    <w:bookmarkStart w:id="56" w:name="page57"/>
    <w:bookmarkEnd w:id="56"/>
    <w:p>
      <w:pPr>
        <w:ind w:firstLine="648"/>
        <w:spacing w:after="0" w:line="255" w:lineRule="auto"/>
        <w:rPr>
          <w:sz w:val="20"/>
          <w:szCs w:val="20"/>
          <w:color w:val="auto"/>
        </w:rPr>
      </w:pPr>
      <w:r>
        <w:rPr>
          <w:rFonts w:ascii="Arial" w:cs="Arial" w:eastAsia="Arial" w:hAnsi="Arial"/>
          <w:sz w:val="18"/>
          <w:szCs w:val="18"/>
          <w:color w:val="auto"/>
        </w:rPr>
        <w:t>We consider a contract with a customer to exist under Topic 606 when there is approval and commitment from us and the customer, the rights of the parties and payment terms are identified, the contract has commercial substance, and collectability of consideration is probable. We will also consider whether two or more contracts entered into with the same customer should be combined and accounted for as a single contract. Furthermore, in certain transactions with commercial clients and with the U.S. government, we may commence providing services prior to receiving a formal approval from the customer. In these situations, we will consider the factors noted above, the risks associated with commencing the work, and legal enforceability in determining whether a contract with the customer exists under Topic 606.</w:t>
      </w:r>
    </w:p>
    <w:p>
      <w:pPr>
        <w:spacing w:after="0" w:line="8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our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70"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We evaluate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Our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Contracts with the U.S. government are subject to the Federal Acquisition Regulation ("FAR") and are priced based on estimated or actual costs of providing the goods or services. We derive a majority of our revenue from contracts awarded through a competitive bidding process. Pricing for non-U.S. government agencies and commercial customers is based on discrete negotiations with each customer. Certain of the our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We may perform work under a contract that has not been fully funded if the work has been authorized by the management and the customer to proceed. We evaluate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we allocate the transaction price of a contract between the performance obligations in the proportion to their respective stand-alone selling prices. We generally estimate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7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recognize revenue for each performance obligation identified within our customer contracts when, or as, the performance obligation is satisfied by transferring the promised goods or services. Revenue may either be recognized over time, or at a point in time. We generally recognize revenue over time as our contracts typically involve a continuous transfer of control to the customer. A continuous transfer of control under contracts with the U.S. government and its agencies is evidenced by clauses which require us to be paid for costs incurred plus a reasonable margin in the event that the customer unilaterally terminates the contract for convenience. For contracts where we recognize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We do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We include generally both funded and unfunded portions of customer contracts in this estimation process.</w:t>
      </w:r>
    </w:p>
    <w:p>
      <w:pPr>
        <w:spacing w:after="0" w:line="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us and the U.S. government and represent indirect contract costs required to execute and administer contract obligations. The impact of any agreed-upon changes, or changes in the estimated annual forward-pricing rates, will be recorded in the interim financial reporting period when such changes are identified. This change relates to the interim financial reporting period differences between the actual indirect cost incurred and allocated to customer contracts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00"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compared to the estimated amounts allocated to contracts using the estimated annual forward-pricing rates established with the U.S. government.</w:t>
      </w:r>
    </w:p>
    <w:p>
      <w:pPr>
        <w:spacing w:after="0" w:line="12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certain contracts, principally time-and-materials and cost-reimbursable-plus-fee contracts, revenue is recognized using the right-to-invoice practical expedient as we are contractually able to invoice the customer based on the control transferred. However, we did not elect to use the practical expedient which would allow us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8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our contracts. Changes in estimates related to contracts accounted for under the EAC process are recognized in the period when such changes are made on a cumulative catch-up basis. If the estimate of contract profitability indicates an anticipated loss on a contract, we recognize the total loss at the time it is identified. For fiscal years ended March 31, 2019, 2018 and 2017, the aggregate impact of adjustments in contract estimates was not material.</w:t>
      </w:r>
    </w:p>
    <w:p>
      <w:pPr>
        <w:spacing w:after="0" w:line="7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The accounting for the Company's business combinations consists of allocating the purchase price to tangible and intangible assets acquired and liabilities assumed based on their fair values, with the excess recorded as goodwill. Certain fair value measurements include inputs that are unobservable, requiring management to make judgments and estimates that can be affected by contract performance and other factors that may cause final amounts to differ materially from original estimates. We have up to one year from the acquisition date to use additional information obtained to adjust the fair value of the acquired assets and liabilities which may result in changes to the recorded values with an offsetting adjustment to goodwill.</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Intangible Assets Impairment</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test goodwill and trade name for impairment at least annually as of January 1 of each year and more frequently if interim indicators of impairment exist. We perform our impairment testing of goodwill at the reporting level. As our business is highly integrated and all of our components have similar economic characteristics, we conclude that we have one reporting unit at the consolidated entity level, which is the same as our single operating segment. We test goodwill for impairment using the quantitative method (primarily based on market capitalization). We test the trade name for impairment using the relief from royalty method that requires management to make significant amount of judgments and estimates in the valuation. We do not consider goodwill, trade name, or any other amortizable intangible assets at risk of impairment.</w:t>
      </w:r>
    </w:p>
    <w:p>
      <w:pPr>
        <w:spacing w:after="0" w:line="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Amortizable intangible assets are tested for impairment when an event occurs or circumstances change indicating that the carrying amount of the asset may not be recoverable. A significant amount of management judgment is required to determine if an event representing an impairment indicator has occurred during the year, including but not limited to: a decline in forecasted cash flows; a sustained, material decline in the stock price and market capitalization; a significant adverse change in the business climate or economy; or unanticipated competition. An adverse change in any of these factors could have a significant impact on the recoverability of other intangible assets.</w:t>
      </w:r>
    </w:p>
    <w:p>
      <w:pPr>
        <w:spacing w:after="0" w:line="8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During the fiscal year ended March 31, 2017, the Company recorded impairment charges related to intangible assets acquired in an acquisition. During the fiscal years ended March 31, 2019 and 2018, the Company did not record any impairment of intangible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01" w:right="239" w:bottom="1440" w:gutter="0" w:footer="0" w:header="0"/>
        </w:sectPr>
      </w:pPr>
    </w:p>
    <w:bookmarkStart w:id="58" w:name="page59"/>
    <w:bookmarkEnd w:id="58"/>
    <w:p>
      <w:pPr>
        <w:ind w:left="2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use the Black-Scholes option-pricing model to estimate the fair value for stock options. Critical inputs into the Black-Scholes option-pricing model include the following: option exercise price, fair value of the stock price, expected life of the option, annualized volatility of the stock, annual rate of quarterly dividends on the stock, and the risk-free interest rate.</w:t>
      </w:r>
    </w:p>
    <w:p>
      <w:pPr>
        <w:spacing w:after="0" w:line="73"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During fiscal 2019, the Company’s Board of Directors authorized and declared recurring cash dividends in the amount of $0.19 per share (declared in the first three quarters) and $0.23 per share (declared in the fourth quarter) to holders of Booz Allen Holding’s Class A Common Stock. Therefore, an annualized dividend yield between 1.66% and 2.46% was used in the Black-Scholes option-pricing model for all grants made during the fiscal year. Implied volatility is calculated as of each grant date based on our historical volatility. Other than the expected life of the option, volatility is the most sensitive input to our option grants. The expected term is estimated using historical exercise patterns of our equity award recipients.</w:t>
      </w:r>
    </w:p>
    <w:p>
      <w:pPr>
        <w:spacing w:after="0" w:line="6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risk-free interest rate used in the Black-Scholes option-pricing model is determined by referencing the U.S. Treasury yield curve rates with the remaining term equal to the expected life assumed at the date of grant.</w:t>
      </w:r>
    </w:p>
    <w:p>
      <w:pPr>
        <w:spacing w:after="0" w:line="6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Forfeitures for our stock option awards are estimated based on our historical analysis of attrition levels and updated annually. We do not expect this assumption to change materially, as attrition levels associated with new option grants have not materially changed.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public company, we use the closing price of our Class A Common Stock on the grant date for valuation purposes.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Provisions for federal, state, and foreign income taxes are calculated from the income reported on our consolidated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consolidated financial statements than for income tax purposes.</w:t>
      </w:r>
    </w:p>
    <w:p>
      <w:pPr>
        <w:spacing w:after="0" w:line="7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consolidated financial statement period may be materially impacted.</w:t>
      </w:r>
    </w:p>
    <w:p>
      <w:pPr>
        <w:spacing w:after="0" w:line="8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2017 Tax Act was enacted on December 22, 2017 and was generally effective beginning January 1, 2018. We were impacted in several ways as a result of the Tax Act including, but not limited to, provisions which include a reduction in the U.S. federal corporate income tax rate from 35% to 21%, the re-measurement of deferred tax assets and liabilities that was required as a result of the tax rate change and the application of a mandatory one time "transition tax" on unremitted earnings of certain foreign subsidiaries. During fiscal 2019 we completed our assessment for the income tax effects of the 2017 Tax Act, including a true up to all provisional amounts previously recorded, pursuant to SEC staff issues Staff Accounting Bulletin No. 118 ("SAB 118"). The final adjusted amount recorded related to the remeasurement of the deferred tax balances through the third quarter of fiscal 2019 was a decrease in the provision for income taxes of $27.9 million.</w:t>
      </w:r>
    </w:p>
    <w:p>
      <w:pPr>
        <w:spacing w:after="0" w:line="81" w:lineRule="exact"/>
        <w:rPr>
          <w:sz w:val="20"/>
          <w:szCs w:val="20"/>
          <w:color w:val="auto"/>
        </w:rPr>
      </w:pPr>
    </w:p>
    <w:p>
      <w:pPr>
        <w:ind w:left="220" w:right="980" w:firstLine="432"/>
        <w:spacing w:after="0" w:line="375" w:lineRule="auto"/>
        <w:rPr>
          <w:sz w:val="20"/>
          <w:szCs w:val="20"/>
          <w:color w:val="auto"/>
        </w:rPr>
      </w:pPr>
      <w:r>
        <w:rPr>
          <w:rFonts w:ascii="Arial" w:cs="Arial" w:eastAsia="Arial" w:hAnsi="Arial"/>
          <w:sz w:val="18"/>
          <w:szCs w:val="18"/>
          <w:color w:val="auto"/>
        </w:rPr>
        <w:t xml:space="preserve">For a description of our related accounting policies, refer to Note 2 and Note 14 to our accompanying consolidated financial statements. </w:t>
      </w:r>
      <w:r>
        <w:rPr>
          <w:rFonts w:ascii="Arial" w:cs="Arial" w:eastAsia="Arial" w:hAnsi="Arial"/>
          <w:sz w:val="18"/>
          <w:szCs w:val="18"/>
          <w:b w:val="1"/>
          <w:bCs w:val="1"/>
          <w:i w:val="1"/>
          <w:iCs w:val="1"/>
          <w:color w:val="auto"/>
        </w:rPr>
        <w:t>Recent Accounting Pronouncements</w:t>
      </w:r>
    </w:p>
    <w:p>
      <w:pPr>
        <w:spacing w:after="0" w:line="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See Note 2 to our accompanying audited consolidated financial statements for information related to our adoption of new accounting standards and for information on our anticipated adoption of recently issued accounting standards.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0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and have been prepared in accordance with GAAP, and the rules and regulations of the U.S. Securities and Exchange Commission, or SEC. All intercompany balances and transactions have been eliminated in consolidation.</w:t>
      </w:r>
    </w:p>
    <w:p>
      <w:pPr>
        <w:spacing w:after="0" w:line="7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accompanying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2019 and 2018 and the Company’s results of operations for fiscal 2019, fiscal 2018, and fiscal 2017.</w:t>
      </w:r>
    </w:p>
    <w:p>
      <w:pPr>
        <w:spacing w:after="0" w:line="7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Effective April 1, 2018, the Company adopted Accounting Standards Codification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and Accounting Standard Updates (ASU) 2017-07, </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 on a full retrospective method for all amounts and percentages presented and disclosures set forth in this Form 10-K.</w:t>
      </w:r>
    </w:p>
    <w:p>
      <w:pPr>
        <w:spacing w:after="0" w:line="111"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Certain amounts reported in the Company's prior year consolidated financial statements have been reclassified to conform to the current year presentation.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consolidated statements of operations for the periods indicated: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0" w:type="dxa"/>
            <w:vAlign w:val="bottom"/>
            <w:gridSpan w:val="6"/>
          </w:tcPr>
          <w:p>
            <w:pPr>
              <w:jc w:val="center"/>
              <w:ind w:right="148"/>
              <w:spacing w:after="0"/>
              <w:rPr>
                <w:sz w:val="20"/>
                <w:szCs w:val="20"/>
                <w:color w:val="auto"/>
              </w:rPr>
            </w:pPr>
            <w:r>
              <w:rPr>
                <w:rFonts w:ascii="Arial" w:cs="Arial" w:eastAsia="Arial" w:hAnsi="Arial"/>
                <w:sz w:val="14"/>
                <w:szCs w:val="14"/>
                <w:b w:val="1"/>
                <w:bCs w:val="1"/>
                <w:color w:val="auto"/>
                <w:w w:val="94"/>
              </w:rPr>
              <w:t>Fiscal Year Ended March 31,</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Fiscal 2019</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2018</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85"/>
              </w:rPr>
              <w:t>Versus</w:t>
            </w:r>
          </w:p>
        </w:tc>
        <w:tc>
          <w:tcPr>
            <w:tcW w:w="14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5"/>
              </w:rPr>
              <w:t>Versus</w:t>
            </w:r>
          </w:p>
        </w:tc>
        <w:tc>
          <w:tcPr>
            <w:tcW w:w="0" w:type="dxa"/>
            <w:vAlign w:val="bottom"/>
          </w:tcPr>
          <w:p>
            <w:pPr>
              <w:spacing w:after="0"/>
              <w:rPr>
                <w:sz w:val="1"/>
                <w:szCs w:val="1"/>
                <w:color w:val="auto"/>
              </w:rPr>
            </w:pPr>
          </w:p>
        </w:tc>
      </w:tr>
      <w:tr>
        <w:trPr>
          <w:trHeight w:val="65"/>
        </w:trPr>
        <w:tc>
          <w:tcPr>
            <w:tcW w:w="4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Fiscal 2018</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2017</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6,704,037</w:t>
            </w:r>
          </w:p>
        </w:tc>
        <w:tc>
          <w:tcPr>
            <w:tcW w:w="3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6,167,600</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5,809,491</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380" w:type="dxa"/>
            <w:vAlign w:val="bottom"/>
            <w:gridSpan w:val="3"/>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Operating costs and expenses:</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3,100,466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2,866,268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2,678,715</w:t>
            </w:r>
          </w:p>
        </w:tc>
        <w:tc>
          <w:tcPr>
            <w:tcW w:w="10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8.2 %</w:t>
            </w:r>
          </w:p>
        </w:tc>
        <w:tc>
          <w:tcPr>
            <w:tcW w:w="12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Billable expenses</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2,004,664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1,861,312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1,751,077</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7.7 %</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927,938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855,541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814,141</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1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68,575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64,756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59,544</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5.9 %</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74"/>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operating costs and expenses</w:t>
            </w:r>
          </w:p>
        </w:tc>
        <w:tc>
          <w:tcPr>
            <w:tcW w:w="3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6,101,643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5,647,877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5,303,477</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4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602,394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519,723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506,014</w:t>
            </w: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15.9 %</w:t>
            </w:r>
          </w:p>
        </w:tc>
        <w:tc>
          <w:tcPr>
            <w:tcW w:w="1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(89,517)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(82,269)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(62,298)</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8.8 %</w:t>
            </w:r>
          </w:p>
        </w:tc>
        <w:tc>
          <w:tcPr>
            <w:tcW w:w="1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(7,418)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(18,059)</w:t>
            </w:r>
          </w:p>
        </w:tc>
        <w:tc>
          <w:tcPr>
            <w:tcW w:w="100" w:type="dxa"/>
            <w:vAlign w:val="bottom"/>
          </w:tcPr>
          <w:p>
            <w:pPr>
              <w:spacing w:after="0"/>
              <w:rPr>
                <w:sz w:val="16"/>
                <w:szCs w:val="16"/>
                <w:color w:val="auto"/>
              </w:rPr>
            </w:pPr>
          </w:p>
        </w:tc>
        <w:tc>
          <w:tcPr>
            <w:tcW w:w="1560" w:type="dxa"/>
            <w:vAlign w:val="bottom"/>
            <w:gridSpan w:val="2"/>
            <w:vMerge w:val="restart"/>
          </w:tcPr>
          <w:p>
            <w:pPr>
              <w:ind w:left="1020"/>
              <w:spacing w:after="0"/>
              <w:rPr>
                <w:sz w:val="20"/>
                <w:szCs w:val="20"/>
                <w:color w:val="auto"/>
              </w:rPr>
            </w:pPr>
            <w:r>
              <w:rPr>
                <w:rFonts w:ascii="Arial" w:cs="Arial" w:eastAsia="Arial" w:hAnsi="Arial"/>
                <w:sz w:val="14"/>
                <w:szCs w:val="14"/>
                <w:color w:val="auto"/>
              </w:rPr>
              <w:t>NM</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515,403</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430,036</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425,657</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1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96,874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128,344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164,832</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74"/>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418,529</w:t>
            </w:r>
          </w:p>
        </w:tc>
        <w:tc>
          <w:tcPr>
            <w:tcW w:w="3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301,692</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260,825</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38.7 %</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15.7 %</w:t>
            </w:r>
          </w:p>
        </w:tc>
        <w:tc>
          <w:tcPr>
            <w:tcW w:w="0" w:type="dxa"/>
            <w:vAlign w:val="bottom"/>
          </w:tcPr>
          <w:p>
            <w:pPr>
              <w:spacing w:after="0"/>
              <w:rPr>
                <w:sz w:val="1"/>
                <w:szCs w:val="1"/>
                <w:color w:val="auto"/>
              </w:rPr>
            </w:pPr>
          </w:p>
        </w:tc>
      </w:tr>
      <w:tr>
        <w:trPr>
          <w:trHeight w:val="60"/>
        </w:trPr>
        <w:tc>
          <w:tcPr>
            <w:tcW w:w="404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380" w:type="dxa"/>
            <w:vAlign w:val="bottom"/>
            <w:gridSpan w:val="3"/>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Compared to Fiscal 2018</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w:t>
      </w:r>
    </w:p>
    <w:p>
      <w:pPr>
        <w:spacing w:after="0" w:line="6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Revenue increased to $6,704.0 million from $6,167.6 million, or an 8.7% increase, primarily due to continued strength in client demand, which led to increased client staff headcount, and an increase in client staff labor, as well as improved contract performance. Revenue growth was also driven by an increase in billable expenses, including subcontractors and direct expenses on behalf of our clients.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50" w:right="239" w:bottom="1440" w:gutter="0" w:footer="0" w:header="0"/>
        </w:sectPr>
      </w:pPr>
    </w:p>
    <w:bookmarkStart w:id="60" w:name="page61"/>
    <w:bookmarkEnd w:id="60"/>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6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Cost of revenue increased to $3,100.5 million from $2,866.3 million, or an 8.2% increase. This increase was primarily due to an increase in salaries and salary-related benefits of $176.2 million, higher incentive compensation of $24.6 million, and an increase in employer retirement plan contributions of $7.2 million. The increase in salaries and salary-related benefits was driven by an increase in headcount growth and annual base salary increases. Cost of revenue as a percentage of revenue was 46.2% and 46.5% in fiscal 2019 and fiscal 2018,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Billable Expenses</w:t>
      </w:r>
    </w:p>
    <w:p>
      <w:pPr>
        <w:spacing w:after="0" w:line="6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Billable expenses increased to $2,004.7 million from $1,861.3 million, or a 7.7% increase. The overall increase was primarily attributable to an increase in use of subcontractors in fiscal 2019 driven by client demand. In addition, contracts which require the Company to incur direct and travel expenses on behalf of clients increased over the prior year. Billable expenses as a percentage of revenue were 29.9% and 30.2% for fiscal 2019 and fiscal 2018,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General and administrative expenses increased to $927.9 million from $855.5 million, or an 8.5% increase. The increase was primarily due to salaries and salary-related benefits of $32.0 million, driven by headcount growth as well as annual base salary increases. Incentive and stock compensation increased $14.6 million and other business expenses and professional fees increased $23.6 million. General and administrative expenses as a percentage of revenue were 13.8% and 13.9% for fiscal 2019 and fiscal 2018, respectively.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63"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Depreciation and amortization expense increased to $68.6 million from $64.8 million, or a 5.9% increase, primarily due to increases in depreciation expense resulting from the effects of higher capital expenditures in fiscal 2018.</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63"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Interest expense increased to $89.5 million from $82.3 million, or an 8.8% increase, primarily due to an increase in 1 Month LIBOR, the benchmark interest rate attached to our floating rate debt, which rose approximately 60 basis points throughout fiscal 2019.</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63"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Income tax expense decreased to $96.9 million from $128.3 million, or a 24.5% decrease. The effective tax rate decreased to 18.8% in fiscal 2019 from 29.8% in fiscal 2018 primarily due to the 2017 Tax Act's reduction of the U.S. federal corporate tax rate and the re-measurement of deferred income taxes.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2018 Compared to Fiscal 2017</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w:t>
      </w:r>
    </w:p>
    <w:p>
      <w:pPr>
        <w:spacing w:after="0" w:line="6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Revenue increased to $6,167.6 million from $5,809.5 million, or a 6.2% increase, primarily due to increased client demand which led to increased client staff headcount, and an increase in client staff labor, as well as increases in billable expenses.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6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Cost of revenue increased to $2,866.3 million from $2,678.7 million, or a 7.0% increase. This increase was primarily due to an increase in salaries and salary-related benefits of $168.8 million, higher incentive compensation of $9.6 million, and an increase in employer retirement plan contributions of $9.5 million. The increase in salaries and salary-related benefits was driven by an increase in headcount growth and annual base salary increases. Cost of revenue as a percentage of revenue was 46.5% and 46.1% in fiscal 2018 and fiscal 2017, respectively.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Billable Expenses</w:t>
      </w:r>
    </w:p>
    <w:p>
      <w:pPr>
        <w:spacing w:after="0" w:line="63"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Billable expenses increased to $1,861.3 million from $1,751.1 million, or a 6.3% increase. The overall increase was primarily attributable to an increase in use of subcontractors in fiscal 2019 driven by client demand. In addition, contracts which require the Company to incur travel expenses on behalf of our clients increased over the prior year. Billable expenses as a percentage of revenue were 30.2% and 30.1% in fiscal 2018 and fiscal 2017, respectively.</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3"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General and administrative expenses increased to $855.5 million from $814.1 million, or a 5.1% increase. The increase was primarily due to salaries and salary-related benefits of $43.0 million, driven by headcount growth as well as annual base salary increases, and occupancy costs of $5.1 million, partially offset by lower incentive compensation of $9.9 million. General and administrative expenses as a percentage of revenue were 13.9% and 14.0% for fiscal 2018 and fiscal 2017, respectively.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54" w:right="239" w:bottom="1440" w:gutter="0" w:footer="0" w:header="0"/>
        </w:sectPr>
      </w:pPr>
    </w:p>
    <w:bookmarkStart w:id="61" w:name="page62"/>
    <w:bookmarkEnd w:id="61"/>
    <w:p>
      <w:pPr>
        <w:ind w:left="22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6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Depreciation and amortization expense increased to $64.8 million from $59.5 million, or an 8.8% increase, primarily due to increases in intangible asset amortization related to the Company's acquisition of Aquilent in fiscal 2017, partially offset by a decrease in amortization of other amortizable intangible assets that fully amortized in fiscal 2017.</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6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Interest expense increased to $82.3 million from $62.3 million, or a 32.1% increase, primarily as a result of interest expense related to the issuance of the Senior Notes in April 2017.</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63"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Income tax expense decreased to $128.3 million from $164.8 million, or a 22.1% decrease. The effective tax rate decreased to 29.8% in fiscal 2018 from 38.7% in fiscal 2017, primarily due to the blended tax rate benefit of the 2017 Tax Act and provisional estimates for the re-measurement of the existing deferred tax balances. The effective tax rate also decreased with the recognition of excess tax benefits of $14.5 million being reflected in earnings as a reduction to income tax expense for fiscal 2018. This was driven by the Company's initial adoption of new accounting guidance in the first quarter of fiscal 2018 whereby excess tax benefits on employee share-based payment awards are now recognized in earnings as a reduction to income tax expense instead of as an adjustment to additional paid-in-capital, as was the case historically.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March 31, 2019, our total liquidity was $1.2 billion, consisting of $284.0 million of cash and cash equivalents, $499.0 million available under the Revolving Credit Facility, and $400.0 million available under the Delayed Draw Facility (which was fully drawn on April 23, 2019). In the opinion of management, we will be able to meet our liquidity and cash needs through a combination of cash flows from operating activities, available cash balances, and available borrowing under the Revolving Credit Facility and Delayed Draw Facility. If these resources need to be augmented, additional cash requirements would likely be financed through the issuance of debt or equity securities.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selected financial information for the periods presented:</w:t>
      </w:r>
    </w:p>
    <w:p>
      <w:pPr>
        <w:spacing w:after="0" w:line="379"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w w:val="95"/>
              </w:rPr>
              <w:t>Fiscal Year Ended March 31,</w:t>
            </w:r>
          </w:p>
        </w:tc>
        <w:tc>
          <w:tcPr>
            <w:tcW w:w="1140" w:type="dxa"/>
            <w:vAlign w:val="bottom"/>
            <w:tcBorders>
              <w:bottom w:val="single" w:sz="8" w:color="auto"/>
            </w:tcBorders>
          </w:tcPr>
          <w:p>
            <w:pPr>
              <w:spacing w:after="0"/>
              <w:rPr>
                <w:sz w:val="16"/>
                <w:szCs w:val="16"/>
                <w:color w:val="auto"/>
              </w:rPr>
            </w:pPr>
          </w:p>
        </w:tc>
      </w:tr>
      <w:tr>
        <w:trPr>
          <w:trHeight w:val="264"/>
        </w:trPr>
        <w:tc>
          <w:tcPr>
            <w:tcW w:w="5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5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283,990</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286,958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217,417</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1,759,761</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1,818,579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1,663,324</w:t>
            </w:r>
          </w:p>
        </w:tc>
      </w:tr>
      <w:tr>
        <w:trPr>
          <w:trHeight w:val="27"/>
        </w:trPr>
        <w:tc>
          <w:tcPr>
            <w:tcW w:w="5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97"/>
        </w:trPr>
        <w:tc>
          <w:tcPr>
            <w:tcW w:w="52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499,610</w:t>
            </w: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369,143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382,277</w:t>
            </w:r>
          </w:p>
        </w:tc>
      </w:tr>
      <w:tr>
        <w:trPr>
          <w:trHeight w:val="27"/>
        </w:trPr>
        <w:tc>
          <w:tcPr>
            <w:tcW w:w="5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(89,212)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(300,896)</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(413,366)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(203,149)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(51,493)</w:t>
            </w:r>
          </w:p>
        </w:tc>
      </w:tr>
      <w:tr>
        <w:trPr>
          <w:trHeight w:val="27"/>
        </w:trPr>
        <w:tc>
          <w:tcPr>
            <w:tcW w:w="5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increase (decrease) in 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69,541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29,888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188"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82"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ectPr>
          <w:pgSz w:w="11900" w:h="16838" w:orient="portrait"/>
          <w:cols w:equalWidth="0" w:num="1">
            <w:col w:w="11400"/>
          </w:cols>
          <w:pgMar w:left="240" w:top="85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855" w:right="259" w:bottom="1440" w:gutter="0" w:footer="0" w:header="0"/>
          <w:type w:val="continuous"/>
        </w:sectPr>
      </w:pPr>
    </w:p>
    <w:bookmarkStart w:id="62" w:name="page63"/>
    <w:bookmarkEnd w:id="62"/>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design, build-out, testing, and potential implementation and operation of new financial management systems;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65"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 Total accounts receivable (billed and unbilled combined, net of allowance for doubtful accounts) days sales outstanding, or DSO, which we calculate by dividing total accounts receivable by revenue per day during the relevant fiscal quarter, was 70 as of March 31, 2019 and 66 as of March 31, 2018. DSO increased primarily due to delays in the billing and collection of our revenue.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$499.6 million in fiscal 2019 compared to $369.1 million in fiscal 2018, or a 35.3% increase. The improvement in operating cash flow over the prior year was primarily due to revenue growth and lower cash paid for taxes in fiscal 2019 as compared to fiscal 2018.</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ind w:right="220" w:firstLine="405"/>
        <w:spacing w:after="0" w:line="312" w:lineRule="auto"/>
        <w:rPr>
          <w:sz w:val="20"/>
          <w:szCs w:val="20"/>
          <w:color w:val="auto"/>
        </w:rPr>
      </w:pPr>
      <w:r>
        <w:rPr>
          <w:rFonts w:ascii="Arial" w:cs="Arial" w:eastAsia="Arial" w:hAnsi="Arial"/>
          <w:sz w:val="16"/>
          <w:szCs w:val="16"/>
          <w:color w:val="auto"/>
        </w:rPr>
        <w:t>Net cash used in investing activities was $89.2 million in fiscal 2019 compared to $96.5 million in the prior year, or a 7.5% decrease. The decrease in net cash used in investing activities was primarily due to cash paid for an acquisition in the prior year, partially offset by an increase in capital expenditures over the prior year primarily related to investments in our facilities and infrastructure, financial management systems and information technology.</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Net cash used in financing activities was $413.4 million in fiscal 2019 compared to $203.1 million in the prior year. The increase in net cash used in financing activities was primarily due to net proceeds of $343.3 million received in fiscal 2018 from the issuance of the Senior Notes. This was partially offset by $130 million in net borrowings on the Revolving Credit Facility in fiscal 2018 as well as a $17.5 million decrease in share repurchases in fiscal 2019 as compared to the prior year.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800" w:right="259" w:bottom="1440" w:gutter="0" w:footer="0" w:header="0"/>
        </w:sectPr>
      </w:pPr>
    </w:p>
    <w:bookmarkStart w:id="63" w:name="page64"/>
    <w:bookmarkEnd w:id="63"/>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Company paid $0.80 in dividends per share to shareholders of record in fiscal 2019. On May 28, 2019, the Company announced a regular quarterly cash dividend in the amount of $0.23 per share. The quarterly dividend is payable on June 28, 2019 to stockholders of record on June 14, 2019.</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consolidated statement of cash flows:</w:t>
      </w:r>
    </w:p>
    <w:p>
      <w:pPr>
        <w:spacing w:after="0" w:line="200" w:lineRule="exact"/>
        <w:rPr>
          <w:sz w:val="20"/>
          <w:szCs w:val="20"/>
          <w:color w:val="auto"/>
        </w:rPr>
      </w:pPr>
    </w:p>
    <w:p>
      <w:pPr>
        <w:spacing w:after="0" w:line="246"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center"/>
              <w:ind w:left="537"/>
              <w:spacing w:after="0"/>
              <w:rPr>
                <w:sz w:val="20"/>
                <w:szCs w:val="20"/>
                <w:color w:val="auto"/>
              </w:rPr>
            </w:pPr>
            <w:r>
              <w:rPr>
                <w:rFonts w:ascii="Arial" w:cs="Arial" w:eastAsia="Arial" w:hAnsi="Arial"/>
                <w:sz w:val="14"/>
                <w:szCs w:val="14"/>
                <w:b w:val="1"/>
                <w:bCs w:val="1"/>
                <w:color w:val="auto"/>
                <w:w w:val="94"/>
              </w:rPr>
              <w:t>Fiscal Year Ended March 31,</w:t>
            </w:r>
          </w:p>
        </w:tc>
        <w:tc>
          <w:tcPr>
            <w:tcW w:w="900" w:type="dxa"/>
            <w:vAlign w:val="bottom"/>
            <w:tcBorders>
              <w:bottom w:val="single" w:sz="8" w:color="auto"/>
            </w:tcBorders>
          </w:tcPr>
          <w:p>
            <w:pPr>
              <w:spacing w:after="0"/>
              <w:rPr>
                <w:sz w:val="16"/>
                <w:szCs w:val="16"/>
                <w:color w:val="auto"/>
              </w:rPr>
            </w:pPr>
          </w:p>
        </w:tc>
      </w:tr>
      <w:tr>
        <w:trPr>
          <w:trHeight w:val="250"/>
        </w:trPr>
        <w:tc>
          <w:tcPr>
            <w:tcW w:w="47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Recurring dividends (1)</w:t>
            </w: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114,234</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103,411</w:t>
            </w:r>
          </w:p>
        </w:tc>
        <w:tc>
          <w:tcPr>
            <w:tcW w:w="10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92,925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Dividend equivalents (2)</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2,254</w:t>
            </w:r>
          </w:p>
        </w:tc>
      </w:tr>
      <w:tr>
        <w:trPr>
          <w:trHeight w:val="27"/>
        </w:trPr>
        <w:tc>
          <w:tcPr>
            <w:tcW w:w="470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BFE4FF"/>
            </w:tcBorders>
            <w:shd w:val="clear" w:color="auto" w:fill="BFE4FF"/>
          </w:tcPr>
          <w:p>
            <w:pPr>
              <w:ind w:left="160"/>
              <w:spacing w:after="0"/>
              <w:rPr>
                <w:sz w:val="20"/>
                <w:szCs w:val="20"/>
                <w:color w:val="auto"/>
              </w:rPr>
            </w:pPr>
            <w:r>
              <w:rPr>
                <w:rFonts w:ascii="Arial" w:cs="Arial" w:eastAsia="Arial" w:hAnsi="Arial"/>
                <w:sz w:val="18"/>
                <w:szCs w:val="18"/>
                <w:color w:val="auto"/>
              </w:rPr>
              <w:t>Total distributions</w:t>
            </w:r>
          </w:p>
        </w:tc>
        <w:tc>
          <w:tcPr>
            <w:tcW w:w="300" w:type="dxa"/>
            <w:vAlign w:val="bottom"/>
            <w:tcBorders>
              <w:bottom w:val="single" w:sz="8" w:color="auto"/>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114,514</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104,362</w:t>
            </w:r>
          </w:p>
        </w:tc>
        <w:tc>
          <w:tcPr>
            <w:tcW w:w="10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95,179</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represent recurring dividends that were declared and paid for during each quarter of fiscal 2019, 2018, and 2017, respectively.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December 12, 2011, the Board of Directors approved a $30.0 million share repurchase program, which was further increased by the Board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Directors on (i) January 27, 2015 to $180.0 million, (ii) January 25, 2017 to $410.0 million, (iii) November 2, 2017 to $610.0 million and (iv) May 24, 2018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$910.0 million. On May 23, 2019, the Board of Directors approved an additional increase to our share repurchase authorization of $400.0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$1,310.0 million. During fiscal 2019 and 2018, the Company purchased 5.1 million and 7.2 million shares of the Company’s Class A Common Stock for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of $239.8 million and $257.6 million, respectively. As of May 23, 2019, taking into effect the increase in the share repurchase authorization,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may repurchase up to approximately $658.2 million of additional shares of common stock under its share repurchase program.</w:t>
      </w:r>
    </w:p>
    <w:p>
      <w:pPr>
        <w:spacing w:after="0" w:line="211"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Indebtedness</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debt totaled $1,759.8 million and $1,818.6 million as of March 31, 2019 and 2018, respectively. Our debt bears interest at specified rates and is held by a syndicate of lenders (see Note 12 to our consolidated financial statements).</w:t>
      </w:r>
    </w:p>
    <w:p>
      <w:pPr>
        <w:spacing w:after="0" w:line="170" w:lineRule="exact"/>
        <w:rPr>
          <w:sz w:val="20"/>
          <w:szCs w:val="20"/>
          <w:color w:val="auto"/>
        </w:rPr>
      </w:pPr>
    </w:p>
    <w:p>
      <w:pPr>
        <w:ind w:firstLine="405"/>
        <w:spacing w:after="0" w:line="283" w:lineRule="auto"/>
        <w:rPr>
          <w:sz w:val="20"/>
          <w:szCs w:val="20"/>
          <w:color w:val="auto"/>
        </w:rPr>
      </w:pPr>
      <w:r>
        <w:rPr>
          <w:rFonts w:ascii="Arial" w:cs="Arial" w:eastAsia="Arial" w:hAnsi="Arial"/>
          <w:sz w:val="16"/>
          <w:szCs w:val="16"/>
          <w:color w:val="auto"/>
        </w:rPr>
        <w:t>On July 23, 2018 (the "Amendment Effective Date"), Booz Allen Hamilton Inc. ("Booz Allen Hamilton") and Booz Allen Hamilton Investor Corporation ("Investor"), and certain wholly-owned subsidiaries of Booz Allen Hamilton, entered into the Sixth Amendment (the "Sixth Amendment") to the Credit Agreement (as amended, the "Credit Agreement"), dated as of July 31, 2012 among Booz Allen Hamilton, Investor, certain wholly owned subsidiaries of Booz Allen Hamilton and Bank of America, N.A., as Administrative Agent, Collateral Agent and Issuing Lender and the other lenders and financial institutions from time to time party thereto (as previously amended by the First Amendment to Credit Agreement, dated as of August 16, 2013, the Second Amendment to Credit Agreement, date as of May 7, 2014, the Third Amendment to the Credit Agreement, dated as of July 13, 2016, the Fourth Amendment to the Credit Agreement, dated as of February 6, 2017, and the Fifth Amendment to the Credit Agreement, dated as of March 7, 2018). The Sixth Amendment provides for a new delayed draw (the "Delayed Draw Facility") on the tranche A term loan ("Term Loan A") facility in the amount of up to $400.0 million and extended the maturity of the Term Loan A and the revolving credit facility (the "Revolving Credit Facility") to July 2023. Additionally, the Sixth Amendment reduced the interest rate spread applicable to the Term Loan A and the Revolving Credit Facility from a range of 1.50% to 2.25% to a range of</w:t>
      </w:r>
    </w:p>
    <w:p>
      <w:pPr>
        <w:spacing w:after="0" w:line="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1.25% to 2.00% based on consolidated net total leverage. The interest rate applicable to the Term Loan B ("Term Loan B" and, together with Term Loan A, the "Term Loans") remained unchanged.</w:t>
      </w:r>
    </w:p>
    <w:p>
      <w:pPr>
        <w:spacing w:after="0" w:line="7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Prior to the Sixth Amendment, approximately $1,079.5 million were outstanding under the Term Loan A. Pursuant to the Sixth Amendment, certain lenders converted their existing Term Loan A loans into a new tranche of Term Loan A loans in an aggregate amount, along with Term Loan A loans advanced by certain new lenders, of approximately $1,479.5 million, $400.0 million of which was available as the Delayed Draw Facility. The Delayed Draw Facility is accessible for nine months from the Amendment Effective Date (the "Delayed Draw Availability Period"). The Company was able to draw on the facility up to two times during the Delayed Draw Availability Period with a minimum of $100.0 million per draw. On April 23, 2019, we drew down the full $400 million of the Delayed Draw Facility. We expect that the proceeds will be used for general corporate purposes and other purposes not prohibited by the Credit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800" w:right="259" w:bottom="1440" w:gutter="0" w:footer="0" w:header="0"/>
        </w:sectPr>
      </w:pPr>
    </w:p>
    <w:bookmarkStart w:id="64" w:name="page65"/>
    <w:bookmarkEnd w:id="64"/>
    <w:p>
      <w:pPr>
        <w:ind w:right="160" w:firstLine="648"/>
        <w:spacing w:after="0" w:line="259" w:lineRule="auto"/>
        <w:rPr>
          <w:sz w:val="20"/>
          <w:szCs w:val="20"/>
          <w:color w:val="auto"/>
        </w:rPr>
      </w:pPr>
      <w:r>
        <w:rPr>
          <w:rFonts w:ascii="Arial" w:cs="Arial" w:eastAsia="Arial" w:hAnsi="Arial"/>
          <w:sz w:val="18"/>
          <w:szCs w:val="18"/>
          <w:color w:val="auto"/>
        </w:rPr>
        <w:t>Prior to the Sixth Amendment, $500.0 million was available under the Revolving Credit Facility. Pursuant to the Sixth Amendment, certain lenders under the Credit Agreement converted their existing revolving commitments into a new tranche of revolving commitments (the "New Revolving Commitments" and the revolving credit loans made thereunder, the "New Revolving Loans") in an aggregate amount, along with the New Revolving Commitments of certain lenders, of $500.0 million.</w:t>
      </w:r>
    </w:p>
    <w:p>
      <w:pPr>
        <w:spacing w:after="0" w:line="7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As of March 31, 2019, the Credit Agreement provided Booz Allen Hamilton with a $1,037.7 million Term Loan A, a $400.0 million Delayed Draw Facility, a $391.1 million Term Loan B, and a $500.0 million in New Revolving Commitments with a sub-limit for letters of credit of $100.0 million. As of March 31, 2019, the maturity date of Term Loan A and the termination date for the Revolving Credit Facility was June 23, 2023 and the maturity date of Term Loan B was June 30, 2023.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(i)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70" w:lineRule="exact"/>
        <w:rPr>
          <w:sz w:val="20"/>
          <w:szCs w:val="20"/>
          <w:color w:val="auto"/>
        </w:rPr>
      </w:pPr>
    </w:p>
    <w:p>
      <w:pPr>
        <w:ind w:right="22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40" w:firstLine="8"/>
        <w:spacing w:after="0" w:line="281" w:lineRule="auto"/>
        <w:tabs>
          <w:tab w:leader="none" w:pos="255"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2.00% for LIBOR loans and 1.00% for base rate loans. Unused commitments under the Revolving Credit Facility were from the effective date of the Sixth Amendment until the delivery of financial statements for the first full fiscal quarter ending after the Sixth Amendment effective date pursuant to the Credit Agreement subject to a quarterly fee of</w:t>
      </w:r>
    </w:p>
    <w:p>
      <w:pPr>
        <w:spacing w:after="0" w:line="4" w:lineRule="exact"/>
        <w:rPr>
          <w:rFonts w:ascii="Arial" w:cs="Arial" w:eastAsia="Arial" w:hAnsi="Arial"/>
          <w:sz w:val="16"/>
          <w:szCs w:val="16"/>
          <w:color w:val="auto"/>
        </w:rPr>
      </w:pPr>
    </w:p>
    <w:p>
      <w:pPr>
        <w:ind w:right="360"/>
        <w:spacing w:after="0" w:line="302" w:lineRule="auto"/>
        <w:rPr>
          <w:rFonts w:ascii="Arial" w:cs="Arial" w:eastAsia="Arial" w:hAnsi="Arial"/>
          <w:sz w:val="16"/>
          <w:szCs w:val="16"/>
          <w:color w:val="auto"/>
        </w:rPr>
      </w:pPr>
      <w:r>
        <w:rPr>
          <w:rFonts w:ascii="Arial" w:cs="Arial" w:eastAsia="Arial" w:hAnsi="Arial"/>
          <w:sz w:val="16"/>
          <w:szCs w:val="16"/>
          <w:color w:val="auto"/>
        </w:rPr>
        <w:t>0.25% and are, following such delivery of financial statements, subject to a quarterly fee ranging from 0.20% to 0.35% based on Booz Allen Hamilton’s consolidated total net leverage ratio. Until the Delayed Draw Facility was drawn down on April 23, 2019, commitments under the Delayed Draw Facility were subject to a quarterly fee ranging from 0.20% to 0.35% based on Booz Allen Hamilton's consolidated total net leverage ratio.</w:t>
      </w:r>
    </w:p>
    <w:p>
      <w:pPr>
        <w:spacing w:after="0" w:line="15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fiscal 2019 and 2018, Booz Allen Hamilton accessed a total of $110.0 million and $125.0 million, respectively of its $500.0 million Revolving Credit Facility. As of March 31, 2019 and 2018, there was no outstanding balance on the Revolving Credit Facility.</w:t>
      </w:r>
    </w:p>
    <w:p>
      <w:pPr>
        <w:spacing w:after="0" w:line="181"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17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Booz Allen Hamilton also has agreed to pay customary letter of credit and agency fees. As of March 31, 2019 and 2018, Booz Allen Hamilton were contingently liable under open standby letters of credit and bank guarantees issued by its banks in favor of third parties that totaled $9.5 million and $6.3 million, respectively. These letters of credit and bank guarantees primarily support insurance and bid and performance obligations. At March 31, 2019 and 2018, approximately $1.0 million and $1.4 million of these instruments reduce our available borrowings under the Revolving Credit Facility. The remainder is guaranteed under a separate $15.0 million facility established in fiscal 2015, of which $6.5 million and $10.1 million, respectively, was available to us at March 31, 2019 and 2018. As of March 31, 2019, we had $499.0 million of capacity available for additional borrowings under the Revolving Credit Facility.</w:t>
      </w:r>
    </w:p>
    <w:p>
      <w:pPr>
        <w:spacing w:after="0" w:line="165"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jc w:val="both"/>
        <w:ind w:right="120" w:firstLine="8"/>
        <w:spacing w:after="0" w:line="281" w:lineRule="auto"/>
        <w:tabs>
          <w:tab w:leader="none" w:pos="30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ERISA events;</w:t>
      </w:r>
    </w:p>
    <w:p>
      <w:pPr>
        <w:spacing w:after="0" w:line="2" w:lineRule="exact"/>
        <w:rPr>
          <w:rFonts w:ascii="Arial" w:cs="Arial" w:eastAsia="Arial" w:hAnsi="Arial"/>
          <w:sz w:val="16"/>
          <w:szCs w:val="16"/>
          <w:color w:val="auto"/>
        </w:rPr>
      </w:pPr>
    </w:p>
    <w:p>
      <w:pPr>
        <w:ind w:right="200"/>
        <w:spacing w:after="0" w:line="261" w:lineRule="auto"/>
        <w:rPr>
          <w:rFonts w:ascii="Arial" w:cs="Arial" w:eastAsia="Arial" w:hAnsi="Arial"/>
          <w:sz w:val="16"/>
          <w:szCs w:val="16"/>
          <w:color w:val="auto"/>
        </w:rPr>
      </w:pPr>
      <w:r>
        <w:rPr>
          <w:rFonts w:ascii="Arial" w:cs="Arial" w:eastAsia="Arial" w:hAnsi="Arial"/>
          <w:sz w:val="18"/>
          <w:szCs w:val="18"/>
          <w:color w:val="auto"/>
        </w:rPr>
        <w:t>(g) certain material judgments; (h) actual or asserted invalidity of the Guarantee and Collateral Agreements or the other security documents or failure of the guarantees or perfected liens thereunder; and (i) a change of control. In addition, we are required to meet certain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00" w:right="239" w:bottom="1440" w:gutter="0" w:footer="0" w:header="0"/>
        </w:sectPr>
      </w:pPr>
    </w:p>
    <w:bookmarkStart w:id="65" w:name="page66"/>
    <w:bookmarkEnd w:id="65"/>
    <w:p>
      <w:pPr>
        <w:ind w:right="160"/>
        <w:spacing w:after="0" w:line="277" w:lineRule="auto"/>
        <w:rPr>
          <w:sz w:val="20"/>
          <w:szCs w:val="20"/>
          <w:color w:val="auto"/>
        </w:rPr>
      </w:pPr>
      <w:r>
        <w:rPr>
          <w:rFonts w:ascii="Arial" w:cs="Arial" w:eastAsia="Arial" w:hAnsi="Arial"/>
          <w:sz w:val="18"/>
          <w:szCs w:val="18"/>
          <w:color w:val="auto"/>
        </w:rPr>
        <w:t>financial covenants at each quarter end, namely Consolidated Net Total Leverage and Consolidated Net Interest Coverage Ratios. As of March 31, 2019, we were compliant with these covenants.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fiscal 2019, interest payments of $41.9 million and $16.8 million were made for the Term Loan A and Term Loan B facilities,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2018, interest payments of $38.1 million and $14.9 million were made for the Term Loan A and Term Loan B facilities, respectively.</w:t>
      </w:r>
    </w:p>
    <w:p>
      <w:pPr>
        <w:spacing w:after="0" w:line="22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total outstanding debt balance is recorded in the accompanying consolidated balance sheets net of unamortized discount and debt issuance costs of $19.0 million and $20.7 million as of March 31, 2019 and 2018, respectively.</w:t>
      </w:r>
    </w:p>
    <w:p>
      <w:pPr>
        <w:spacing w:after="0" w:line="170"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On April 25, 2017, Booz Allen Hamilton issued $350 million aggregate principal amount of its 5.125% Senior Notes due 2025 under an Indenture, dated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A portion of the proceeds was used to repay all outstanding loans under the Revolving Credit Facility. During fiscal 2019 and 2018, interest payments of $17.9 million and $9.3 million, respectively, were made for the Senior Notes.</w:t>
      </w:r>
    </w:p>
    <w:p>
      <w:pPr>
        <w:spacing w:after="0" w:line="158"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Borrowings under the Term Loans, and, if used, our Revolving Credit Facility, incur interest at a variable rate. In accordance with our risk management strategy between April 6, 2017 and May 24, 2017, Booz Allen Hamilton executed a series of interest rate swaps. As of March 31, 2019, we had interest rate swaps with an aggregate notional amount of $600 million. Between April 2, 2019 and April 4, 2019, Booz Allen Hamilton entered into eight interest rate swap agreements with six different financial institutions to fix the LIBOR portion of the interest rate on outstanding debt under the Credit Agreement, as amended. Each swap has a notional amount of $50 million and fixes LIBOR at rates ranging from 2.259% to 2.308% with an effective date of April 30, 2019 and maturity dates of June 30, 2024 and June 30, 2025. As of April 4, 2019, we had interest rate swaps with an aggregate notional amount of $1.0 billion. These instruments hedge the variability of cash outflows for interest payments on the floating portion of our debt. The Company's objectives in using cash flow hedges are to reduce volatility due to interest rate movements and to add stability to interest expense (see Note 13 in our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stockholders’ equity amounted to $675.4 million as of March 31, 2019, an increase of $112.9 million compared to stockholders’ equity of $562.5 million as of March 31, 2018. The increase was primarily due to net income of $418.5 million in fiscal 2019, stock-based compensation expense of $31.3 million, and stock option exercises of $12.1 million, partially offset by $250.0 million in treasury stock resulting from the repurchase of shares of our Class A Common Stock and $114.2 million in aggregate quarterly dividend payments in fiscal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2019, we did not have any material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following table summarizes our contractual obligations that require us to make future cash payments as of March 31, 2019. For contractual obligations, we included payments that we have an unconditional obligation to make.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b w:val="1"/>
                <w:bCs w:val="1"/>
                <w:color w:val="auto"/>
                <w:w w:val="90"/>
              </w:rPr>
              <w:t>Payments Due by Fiscal Periods</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Less Than</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1 to 3</w:t>
            </w:r>
          </w:p>
        </w:tc>
        <w:tc>
          <w:tcPr>
            <w:tcW w:w="34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3 to 5</w:t>
            </w:r>
          </w:p>
        </w:tc>
        <w:tc>
          <w:tcPr>
            <w:tcW w:w="200" w:type="dxa"/>
            <w:vAlign w:val="bottom"/>
          </w:tcPr>
          <w:p>
            <w:pPr>
              <w:spacing w:after="0"/>
              <w:rPr>
                <w:sz w:val="13"/>
                <w:szCs w:val="13"/>
                <w:color w:val="auto"/>
              </w:rPr>
            </w:pPr>
          </w:p>
        </w:tc>
        <w:tc>
          <w:tcPr>
            <w:tcW w:w="106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1,778,763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57,924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115,848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1,254,991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422,911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70,614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127,213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99,685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125,399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indebtedness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353,266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102,430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payment obligation (b)</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88,000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88,000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liabilities for uncertain tax positions (c)</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10,856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2,654,449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293,734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400,729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7"/>
              </w:rPr>
              <w:t>1,457,681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502,305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 Note 12 to our consolidated financial statements for additional information regarding debt and related matters.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$80 million deferred payment obligation balance plus interest due within the next year.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00" w:right="239" w:bottom="1440" w:gutter="0" w:footer="0" w:header="0"/>
        </w:sectPr>
      </w:pPr>
    </w:p>
    <w:bookmarkStart w:id="66" w:name="page67"/>
    <w:bookmarkEnd w:id="66"/>
    <w:p>
      <w:pPr>
        <w:ind w:left="540" w:right="560" w:hanging="316"/>
        <w:spacing w:after="0" w:line="27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a reserve of $10.2 million for income tax uncertainties created with the acquisition discussed in Note 5 to our consolidated financial statements.</w:t>
      </w:r>
    </w:p>
    <w:p>
      <w:pPr>
        <w:spacing w:after="0" w:line="116"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fiscal 2019 and 2018 were $94.7 million and $78.4 million, respectively. The increase in capital expenditures over the prior year primarily relates to investments in our facilities and infrastructure, financial management systems, and information technology. We expect capital expenditures for fiscal 2020 to increase from fiscal 2019 as a result of continuing investments in these areas.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22 to our consolidated financial statements.</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60"/>
          </w:cols>
          <w:pgMar w:left="240" w:top="692" w:right="399" w:bottom="1440" w:gutter="0" w:footer="0" w:header="0"/>
        </w:sectPr>
      </w:pPr>
    </w:p>
    <w:bookmarkStart w:id="67" w:name="page68"/>
    <w:bookmarkEnd w:id="67"/>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4" w:lineRule="exact"/>
        <w:rPr>
          <w:sz w:val="20"/>
          <w:szCs w:val="20"/>
          <w:color w:val="auto"/>
        </w:rPr>
      </w:pPr>
    </w:p>
    <w:p>
      <w:pPr>
        <w:ind w:right="180" w:firstLine="432"/>
        <w:spacing w:after="0" w:line="334" w:lineRule="auto"/>
        <w:rPr>
          <w:sz w:val="20"/>
          <w:szCs w:val="20"/>
          <w:color w:val="auto"/>
        </w:rPr>
      </w:pPr>
      <w:r>
        <w:rPr>
          <w:rFonts w:ascii="Arial" w:cs="Arial" w:eastAsia="Arial" w:hAnsi="Arial"/>
          <w:sz w:val="16"/>
          <w:szCs w:val="16"/>
          <w:color w:val="auto"/>
        </w:rPr>
        <w:t>Market risk is the potential loss arising from adverse changes in market rates and market prices such as those related to interest rates. We actively monitor these exposures and manage such risks through our regular operating and financing activities or through the use of derivative financial instruments.</w:t>
      </w:r>
    </w:p>
    <w:p>
      <w:pPr>
        <w:spacing w:after="0" w:line="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outstanding debt, cash equivalents, which consist primarily of funds invested in U.S. government money-market funds, our cash flow hedges and our Rabbi trust.</w:t>
      </w:r>
    </w:p>
    <w:p>
      <w:pPr>
        <w:spacing w:after="0" w:line="116"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exposure to market risk for changes in interest rates related to our outstanding debt will impact our Secured Credit Facility. The interest expense associated with our term loans and any loans under our Revolving Credit Facility will vary with market rates. A hypothetical interest rate increase of 1% would have increased interest expense related to the term facilities under our Secured Credit Facility by approximately $14.8 million in fiscal 2019 and $14.9 million in fiscal 2018, and likewise decreased our income and cash flows. The year over year increase in interest expense is primarily due to an increase in 1 Month LIBOR, the benchmark interest rate attached to our floating rate debt, which rose approximately 60 basis points throughout fiscal 2019, further contributing to the Company’s increased interest expense. This increase in LIBOR was partially offset with a 25 basis point reduction in our Term Loan A and the Revolving Credit Facility credit spreads as part of the Sixth Amendment consummated on July 23, 2018, along with amounts reclassified into interest expense relating to our cash flow hedges.</w:t>
      </w:r>
    </w:p>
    <w:p>
      <w:pPr>
        <w:spacing w:after="0" w:line="12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As of March 31, 2019 and 2018, we had $284.0 million and $287.0 million, respectively, in cash and cash equivalents. The return on our cash and cash equivalents balance as of March 31, 2019 and 2018 was less than 3%. Therefore, the corresponding impact to our interest income, and likewise to our income and cash flow, was not material.</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Pursuant to our interest rate risk management strategies, we began using interest rate cash flow hedges in April 2017 to add stability to our incurrence of interest rate expense and to manage our exposure to related interest rate movement. See Note 13 to our consolidated financial statements for further discussion. As of March 31, 2019, we had interest rate swaps with an aggregate notional amount of $600 million, $150 million of which are forward starting with a start date of April 30, 2019. These derivative instruments hedge the variability of cash outflows for interest payments on our variable rate debt and are recorded at fair value on our consolidated balance sheet. As of March 31, 2019, a 25 basis point increase in interest rates would increase the fair value of our interest rate swaps by approximately $1.2 million and a 25 basis point decrease in interest rates would decrease the fair value of our interest rate swaps by approximately $7.1 million.</w:t>
      </w:r>
    </w:p>
    <w:p>
      <w:pPr>
        <w:spacing w:after="0" w:line="8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established a Rabbi trust to provide for the payment of benefits under our non-qualified deferred compensation plan that became effective in the first quarter of fiscal 2019. As of March 31, 2019, fund assets totaled $3.2 million which include mutual fund investments that are subject to fluctuations in market prices and interest rates. Cash distributions made to plan participants are recognized as operating cash flows in the consolidated statement of cash flows and have the effect of lowering both fund assets and the corresponding fund liabilities on a one-for-one basis. Changes in fair value on fund liabilities offset the changes in fair value of fund assets, and changes in fair value on both fund assets and fund liabilities are recognized in earnings on our consolidated statements of operations. See Notes 15 and 20 to our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88"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b w:val="1"/>
                <w:bCs w:val="1"/>
                <w:i w:val="1"/>
                <w:iCs w:val="1"/>
                <w:color w:val="auto"/>
              </w:rPr>
              <w:t>.</w:t>
            </w:r>
          </w:p>
        </w:tc>
        <w:tc>
          <w:tcPr>
            <w:tcW w:w="9420" w:type="dxa"/>
            <w:vAlign w:val="bottom"/>
            <w:gridSpan w:val="9"/>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9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gridSpan w:val="4"/>
          </w:tcPr>
          <w:p>
            <w:pPr>
              <w:ind w:left="440"/>
              <w:spacing w:after="0"/>
              <w:rPr>
                <w:sz w:val="20"/>
                <w:szCs w:val="20"/>
                <w:color w:val="auto"/>
              </w:rPr>
            </w:pPr>
            <w:r>
              <w:rPr>
                <w:rFonts w:ascii="Arial" w:cs="Arial" w:eastAsia="Arial" w:hAnsi="Arial"/>
                <w:sz w:val="18"/>
                <w:szCs w:val="18"/>
                <w:b w:val="1"/>
                <w:bCs w:val="1"/>
                <w:color w:val="auto"/>
              </w:rPr>
              <w:t>Page</w:t>
            </w:r>
          </w:p>
        </w:tc>
      </w:tr>
      <w:tr>
        <w:trPr>
          <w:trHeight w:val="27"/>
        </w:trPr>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80" w:type="dxa"/>
            <w:vAlign w:val="bottom"/>
            <w:gridSpan w:val="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Report of Ernst &amp; Young LLP, Independent Registered Public Accounting Firm</w:t>
              </w:r>
            </w:hyperlink>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F-2</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40" w:type="dxa"/>
            <w:vAlign w:val="bottom"/>
            <w:gridSpan w:val="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Balance Sheets as of March 31, 2019 and 2018</w:t>
              </w:r>
            </w:hyperlink>
          </w:p>
        </w:tc>
        <w:tc>
          <w:tcPr>
            <w:tcW w:w="344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F-3</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20" w:type="dxa"/>
            <w:vAlign w:val="bottom"/>
            <w:gridSpan w:val="4"/>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Operations for the Fiscal Years Ended March 31, 2019, 2018 and 2017</w:t>
              </w:r>
            </w:hyperlink>
          </w:p>
        </w:tc>
        <w:tc>
          <w:tcPr>
            <w:tcW w:w="20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F-4</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Comprehensive Income for the Fiscal Years Ended March 31, 2019, 2018 and 2017</w:t>
              </w:r>
            </w:hyperlink>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F-5</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5"/>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Cash Flows for the Fiscal Years Ended March 31, 2019, 2018 and 2017</w:t>
              </w:r>
            </w:hyperlink>
          </w:p>
        </w:tc>
        <w:tc>
          <w:tcPr>
            <w:tcW w:w="86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F-6</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Stockholders' Equity for the Fiscal Years Ended March 31, 2019, 2018 and 2017</w:t>
              </w:r>
            </w:hyperlink>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F-7</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660" w:type="dxa"/>
            <w:vAlign w:val="bottom"/>
            <w:gridSpan w:val="5"/>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20" w:type="dxa"/>
            <w:vAlign w:val="bottom"/>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13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F-8</w:t>
              </w:r>
            </w:hyperlink>
          </w:p>
        </w:tc>
      </w:tr>
      <w:tr>
        <w:trPr>
          <w:trHeight w:val="723"/>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4800" w:type="dxa"/>
            <w:vAlign w:val="bottom"/>
            <w:gridSpan w:val="6"/>
          </w:tcPr>
          <w:p>
            <w:pPr>
              <w:jc w:val="center"/>
              <w:ind w:right="4140"/>
              <w:spacing w:after="0"/>
              <w:rPr>
                <w:sz w:val="20"/>
                <w:szCs w:val="20"/>
                <w:color w:val="auto"/>
              </w:rPr>
            </w:pPr>
            <w:r>
              <w:rPr>
                <w:rFonts w:ascii="Arial" w:cs="Arial" w:eastAsia="Arial" w:hAnsi="Arial"/>
                <w:sz w:val="18"/>
                <w:szCs w:val="18"/>
                <w:color w:val="auto"/>
                <w:w w:val="96"/>
              </w:rPr>
              <w:t>F-1</w:t>
            </w:r>
          </w:p>
        </w:tc>
        <w:tc>
          <w:tcPr>
            <w:tcW w:w="5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 Holding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Booz Allen Hamilton Holding Corporation (the Company) as of March 31, 2019 and 2018, the related consolidated statements of operations, comprehensive income, stockholders' equity and cash flows for each of the three years in the period ended March 31, 2019, and the related notes (collectively referred to as the “consolidated financial statements”). In our opinion, the consolidated financial statements present fairly, in all material respects, the consolidated financial position of the Company at March 31, 2019 and 2018, and the consolidated results of its operations and its cash flows for each of the three years in the period ended March 31, 2019, in conformity with U.S. generally accepted accounting principles.</w:t>
      </w:r>
    </w:p>
    <w:p>
      <w:pPr>
        <w:spacing w:after="0" w:line="194"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2019, based on criteria established in Internal Control-Integrated Framework issued by the Committee of Sponsoring Organizations of the Treadway Commission (2013 framework) and our report dated May 28,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28, 2019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904" w:right="25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20" w:type="dxa"/>
            <w:vAlign w:val="bottom"/>
          </w:tcPr>
          <w:p>
            <w:pPr>
              <w:jc w:val="right"/>
              <w:ind w:right="351"/>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20" w:type="dxa"/>
            <w:vAlign w:val="bottom"/>
            <w:gridSpan w:val="4"/>
          </w:tcPr>
          <w:p>
            <w:pPr>
              <w:ind w:left="360"/>
              <w:spacing w:after="0" w:line="153" w:lineRule="exact"/>
              <w:rPr>
                <w:sz w:val="20"/>
                <w:szCs w:val="20"/>
                <w:color w:val="auto"/>
              </w:rPr>
            </w:pPr>
            <w:r>
              <w:rPr>
                <w:rFonts w:ascii="Arial" w:cs="Arial" w:eastAsia="Arial" w:hAnsi="Arial"/>
                <w:sz w:val="14"/>
                <w:szCs w:val="14"/>
                <w:b w:val="1"/>
                <w:bCs w:val="1"/>
                <w:color w:val="auto"/>
              </w:rPr>
              <w:t>(Amounts in thousands, except</w:t>
            </w:r>
          </w:p>
        </w:tc>
      </w:t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share and per share data)</w:t>
            </w:r>
          </w:p>
        </w:tc>
      </w:tr>
      <w:tr>
        <w:trPr>
          <w:trHeight w:val="255"/>
        </w:trPr>
        <w:tc>
          <w:tcPr>
            <w:tcW w:w="834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283,990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286,958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1,330,364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1,133,705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84,986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71,309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1,699,340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1,491,972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172,453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152,364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287,051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1,581,160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1,581,146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91,837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102,633</w:t>
            </w: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3,831,841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3,606,619</w:t>
            </w:r>
          </w:p>
        </w:tc>
      </w:tr>
      <w:tr>
        <w:trPr>
          <w:trHeight w:val="237"/>
        </w:trPr>
        <w:tc>
          <w:tcPr>
            <w:tcW w:w="8340" w:type="dxa"/>
            <w:vAlign w:val="bottom"/>
            <w:tcBorders>
              <w:bottom w:val="single" w:sz="8" w:color="CCEEFF"/>
            </w:tcBorders>
            <w:shd w:val="clear" w:color="auto" w:fill="CCEEFF"/>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57,924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 and other accrued expenses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664,948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557,559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282,750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130,814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125,358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1,179,239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1,028,767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1,701,837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1,755,479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reserves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7,274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230,652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240,821</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3,156,475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3,044,128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22)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Common stock, Class A — $0.01 par value — authorized, 600,000,000 shares; issued, 159,924,825 shares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March 31, 2019 and 158,028,673 shares at March 31, 2018; outstanding, 140,027,853 shares at March 31,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2019 and 143,446,539 shares at March 31, 2018</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w w:val="94"/>
              </w:rPr>
              <w:t>Treasury stock, at cost — 19,896,972 shares at March 31, 2019 and 14,582,134 shares at March 31, 2018</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(711,450)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(461,457)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401,596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346,958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994,811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690,516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675,366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562,491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3,831,841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3,606,619</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877"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Fiscal Year Ended 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0" w:type="dxa"/>
            <w:vAlign w:val="bottom"/>
            <w:gridSpan w:val="8"/>
          </w:tcPr>
          <w:p>
            <w:pPr>
              <w:jc w:val="center"/>
              <w:ind w:right="211"/>
              <w:spacing w:after="0"/>
              <w:rPr>
                <w:sz w:val="20"/>
                <w:szCs w:val="20"/>
                <w:color w:val="auto"/>
              </w:rPr>
            </w:pPr>
            <w:r>
              <w:rPr>
                <w:rFonts w:ascii="Arial" w:cs="Arial" w:eastAsia="Arial" w:hAnsi="Arial"/>
                <w:sz w:val="14"/>
                <w:szCs w:val="14"/>
                <w:b w:val="1"/>
                <w:bCs w:val="1"/>
                <w:color w:val="auto"/>
                <w:w w:val="91"/>
              </w:rPr>
              <w:t>(Amounts in thousands, except per share data)</w:t>
            </w: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6,704,037</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6,167,600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5,809,491</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3,100,466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2,866,268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2,678,715</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2,004,664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1,861,312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1,751,077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927,938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814,141</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59,544</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6,101,643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5,647,877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5,303,477</w:t>
            </w: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602,394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519,723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506,014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(62,298)</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(18,059)</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515,403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425,657</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96,874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128,344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164,832</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418,529</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301,692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260,825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320"/>
          </w:cols>
          <w:pgMar w:left="240" w:top="1094" w:right="13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4"/>
              </w:rPr>
              <w:t>Fiscal Year Ended March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w w:val="96"/>
              </w:rPr>
              <w:t>(Amounts in thousands)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418,529</w:t>
            </w:r>
          </w:p>
        </w:tc>
        <w:tc>
          <w:tcPr>
            <w:tcW w:w="5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301,692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260,825</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unrealized gain (loss) on derivatives designated as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Change in postretirement plan costs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11,887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comprehensive (loss) income, net of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5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50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0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422,445</w:t>
            </w:r>
          </w:p>
        </w:tc>
        <w:tc>
          <w:tcPr>
            <w:tcW w:w="50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306,514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263,361</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20"/>
          </w:cols>
          <w:pgMar w:left="240" w:top="1094"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center"/>
              <w:ind w:left="539"/>
              <w:spacing w:after="0"/>
              <w:rPr>
                <w:sz w:val="20"/>
                <w:szCs w:val="20"/>
                <w:color w:val="auto"/>
              </w:rPr>
            </w:pPr>
            <w:r>
              <w:rPr>
                <w:rFonts w:ascii="Arial" w:cs="Arial" w:eastAsia="Arial" w:hAnsi="Arial"/>
                <w:sz w:val="16"/>
                <w:szCs w:val="16"/>
                <w:b w:val="1"/>
                <w:bCs w:val="1"/>
                <w:color w:val="auto"/>
                <w:w w:val="92"/>
              </w:rPr>
              <w:t>Fiscal Year Ended March 31,</w:t>
            </w:r>
          </w:p>
        </w:tc>
        <w:tc>
          <w:tcPr>
            <w:tcW w:w="88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19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6"/>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6"/>
          </w:tcPr>
          <w:p>
            <w:pPr>
              <w:jc w:val="center"/>
              <w:ind w:left="539"/>
              <w:spacing w:after="0"/>
              <w:rPr>
                <w:sz w:val="20"/>
                <w:szCs w:val="20"/>
                <w:color w:val="auto"/>
              </w:rPr>
            </w:pPr>
            <w:r>
              <w:rPr>
                <w:rFonts w:ascii="Arial" w:cs="Arial" w:eastAsia="Arial" w:hAnsi="Arial"/>
                <w:sz w:val="16"/>
                <w:szCs w:val="16"/>
                <w:b w:val="1"/>
                <w:bCs w:val="1"/>
                <w:color w:val="auto"/>
                <w:w w:val="89"/>
              </w:rPr>
              <w:t>(Amounts in thousands)</w:t>
            </w:r>
          </w:p>
        </w:tc>
        <w:tc>
          <w:tcPr>
            <w:tcW w:w="88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418,529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301,692</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260,825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68,575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64,756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59,544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21,249</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23,006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20,958</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Excess tax benefits from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(18,175)</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Amortization of debt issuance costs and loss on extinguishment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9,354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5,974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15,566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Losses (gains) on dispositions and impairments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4,673</w:t>
            </w: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 net of allowance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(196,453)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(95,217)</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Income taxes receivable / payable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32,411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9,636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54,564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Other long-term assets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(12,394)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(10,146)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Accrued compensation and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21,535</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Accounts payable and other accrued expenses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107,515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47,316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14,846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Accrued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Income tax reserves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7,562</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Other long-term liabilities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24,260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25,505</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499,610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369,143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382,277</w:t>
            </w: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 of property, equipment, and software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(94,681)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(53,919)</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Payments for businesses acquired, net of proceeds from sales of business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(247,627)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Insurance proceeds received for damage to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w:t>
            </w: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(89,212)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(96,453)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(300,896)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issuance of common stock</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11,266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8,907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6,314</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option exercises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14,687</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Excess tax benefits from stock-based compensation</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18,175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(270,318)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(46,548)</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(114,234)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(103,411)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(92,925)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 equivalents paid to option holders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(2,254)</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Repayment of 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(170,512)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(317,149)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(968,325)</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debt issuance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102,071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467,678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1,019,383</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Payment on contingent liabilities from acquisition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(413,366)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(203,149)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(51,493)</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69,541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29,888</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286,958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217,417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187,529</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equivalents––end of year</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283,990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286,958</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217,417</w:t>
            </w:r>
          </w:p>
        </w:tc>
      </w:tr>
      <w:tr>
        <w:trPr>
          <w:trHeight w:val="73"/>
        </w:trPr>
        <w:tc>
          <w:tcPr>
            <w:tcW w:w="74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177"/>
        </w:trPr>
        <w:tc>
          <w:tcPr>
            <w:tcW w:w="74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74"/>
        </w:trPr>
        <w:tc>
          <w:tcPr>
            <w:tcW w:w="74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49,062</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Income taxes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52,512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128,416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89,556</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Share repurchases transacted but not settled and paid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6,315</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9,146</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9,907</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Contingent consideration arising from businesses acquired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3,576</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Noncash financing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3,033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877" w:right="239" w:bottom="262"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040" w:type="dxa"/>
            <w:vAlign w:val="bottom"/>
            <w:gridSpan w:val="2"/>
          </w:tcPr>
          <w:p>
            <w:pPr>
              <w:jc w:val="center"/>
              <w:ind w:left="545"/>
              <w:spacing w:after="0"/>
              <w:rPr>
                <w:sz w:val="20"/>
                <w:szCs w:val="20"/>
                <w:color w:val="auto"/>
              </w:rPr>
            </w:pPr>
            <w:r>
              <w:rPr>
                <w:rFonts w:ascii="Arial" w:cs="Arial" w:eastAsia="Arial" w:hAnsi="Arial"/>
                <w:sz w:val="13"/>
                <w:szCs w:val="13"/>
                <w:b w:val="1"/>
                <w:bCs w:val="1"/>
                <w:color w:val="auto"/>
                <w:w w:val="87"/>
              </w:rPr>
              <w:t>Class A</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7"/>
              </w:rPr>
              <w:t>Treasury</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780" w:type="dxa"/>
            <w:vAlign w:val="bottom"/>
            <w:gridSpan w:val="4"/>
          </w:tcPr>
          <w:p>
            <w:pPr>
              <w:jc w:val="center"/>
              <w:ind w:right="12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1900" w:type="dxa"/>
            <w:vAlign w:val="bottom"/>
            <w:gridSpan w:val="4"/>
          </w:tcPr>
          <w:p>
            <w:pPr>
              <w:jc w:val="center"/>
              <w:ind w:right="120"/>
              <w:spacing w:after="0" w:line="144" w:lineRule="exact"/>
              <w:rPr>
                <w:sz w:val="20"/>
                <w:szCs w:val="20"/>
                <w:color w:val="auto"/>
              </w:rPr>
            </w:pPr>
            <w:r>
              <w:rPr>
                <w:rFonts w:ascii="Arial" w:cs="Arial" w:eastAsia="Arial" w:hAnsi="Arial"/>
                <w:sz w:val="13"/>
                <w:szCs w:val="13"/>
                <w:b w:val="1"/>
                <w:bCs w:val="1"/>
                <w:color w:val="auto"/>
                <w:w w:val="84"/>
              </w:rPr>
              <w:t>Stock</w:t>
            </w:r>
          </w:p>
        </w:tc>
        <w:tc>
          <w:tcPr>
            <w:tcW w:w="82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660" w:type="dxa"/>
            <w:vAlign w:val="bottom"/>
          </w:tcPr>
          <w:p>
            <w:pPr>
              <w:jc w:val="right"/>
              <w:ind w:right="184"/>
              <w:spacing w:after="0" w:line="14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2"/>
        </w:trPr>
        <w:tc>
          <w:tcPr>
            <w:tcW w:w="4240" w:type="dxa"/>
            <w:vAlign w:val="bottom"/>
            <w:vMerge w:val="restart"/>
          </w:tcPr>
          <w:p>
            <w:pPr>
              <w:ind w:left="40"/>
              <w:spacing w:after="0" w:line="135" w:lineRule="exact"/>
              <w:rPr>
                <w:sz w:val="20"/>
                <w:szCs w:val="20"/>
                <w:color w:val="auto"/>
              </w:rPr>
            </w:pPr>
            <w:r>
              <w:rPr>
                <w:rFonts w:ascii="Arial" w:cs="Arial" w:eastAsia="Arial" w:hAnsi="Arial"/>
                <w:sz w:val="13"/>
                <w:szCs w:val="13"/>
                <w:b w:val="1"/>
                <w:bCs w:val="1"/>
                <w:color w:val="auto"/>
              </w:rPr>
              <w:t>(Amounts in thousands, except</w:t>
            </w: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
                <w:szCs w:val="2"/>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00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780" w:type="dxa"/>
            <w:vAlign w:val="bottom"/>
            <w:gridSpan w:val="2"/>
            <w:vMerge w:val="restart"/>
          </w:tcPr>
          <w:p>
            <w:pPr>
              <w:ind w:left="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83"/>
        </w:trPr>
        <w:tc>
          <w:tcPr>
            <w:tcW w:w="42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240" w:type="dxa"/>
            <w:vAlign w:val="bottom"/>
          </w:tcPr>
          <w:p>
            <w:pPr>
              <w:ind w:left="40"/>
              <w:spacing w:after="0"/>
              <w:rPr>
                <w:sz w:val="20"/>
                <w:szCs w:val="20"/>
                <w:color w:val="auto"/>
              </w:rPr>
            </w:pPr>
            <w:r>
              <w:rPr>
                <w:rFonts w:ascii="Arial" w:cs="Arial" w:eastAsia="Arial" w:hAnsi="Arial"/>
                <w:sz w:val="13"/>
                <w:szCs w:val="13"/>
                <w:b w:val="1"/>
                <w:bCs w:val="1"/>
                <w:color w:val="auto"/>
              </w:rPr>
              <w:t>share data)</w:t>
            </w:r>
          </w:p>
        </w:tc>
        <w:tc>
          <w:tcPr>
            <w:tcW w:w="104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660" w:type="dxa"/>
            <w:vAlign w:val="bottom"/>
          </w:tcPr>
          <w:p>
            <w:pPr>
              <w:jc w:val="right"/>
              <w:ind w:right="124"/>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5"/>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March 31, 2016</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153,391,058</w:t>
            </w:r>
          </w:p>
        </w:tc>
        <w:tc>
          <w:tcPr>
            <w:tcW w:w="1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w w:val="95"/>
              </w:rPr>
              <w:t>$ 1,534</w:t>
            </w: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(5,398,596)</w:t>
            </w: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1"/>
              </w:rPr>
              <w:t>$ (135,445)</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95"/>
              </w:rPr>
              <w:t>$243,475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9"/>
              </w:rPr>
              <w:t>318,537</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(19,613)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w w:val="99"/>
              </w:rPr>
              <w:t>408,488</w:t>
            </w:r>
          </w:p>
        </w:tc>
        <w:tc>
          <w:tcPr>
            <w:tcW w:w="0" w:type="dxa"/>
            <w:vAlign w:val="bottom"/>
          </w:tcPr>
          <w:p>
            <w:pPr>
              <w:spacing w:after="0"/>
              <w:rPr>
                <w:sz w:val="1"/>
                <w:szCs w:val="1"/>
                <w:color w:val="auto"/>
              </w:rPr>
            </w:pPr>
          </w:p>
        </w:tc>
      </w:tr>
      <w:tr>
        <w:trPr>
          <w:trHeight w:val="67"/>
        </w:trPr>
        <w:tc>
          <w:tcPr>
            <w:tcW w:w="4240" w:type="dxa"/>
            <w:vAlign w:val="bottom"/>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6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6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4240" w:type="dxa"/>
            <w:vAlign w:val="bottom"/>
          </w:tcPr>
          <w:p>
            <w:pPr>
              <w:ind w:left="180"/>
              <w:spacing w:after="0"/>
              <w:rPr>
                <w:sz w:val="20"/>
                <w:szCs w:val="20"/>
                <w:color w:val="auto"/>
              </w:rPr>
            </w:pPr>
            <w:r>
              <w:rPr>
                <w:rFonts w:ascii="Arial" w:cs="Arial" w:eastAsia="Arial" w:hAnsi="Arial"/>
                <w:sz w:val="15"/>
                <w:szCs w:val="15"/>
                <w:color w:val="auto"/>
              </w:rPr>
              <w:t>Issuance of common stock</w:t>
            </w:r>
          </w:p>
        </w:tc>
        <w:tc>
          <w:tcPr>
            <w:tcW w:w="920" w:type="dxa"/>
            <w:vAlign w:val="bottom"/>
          </w:tcPr>
          <w:p>
            <w:pPr>
              <w:jc w:val="right"/>
              <w:spacing w:after="0"/>
              <w:rPr>
                <w:sz w:val="20"/>
                <w:szCs w:val="20"/>
                <w:color w:val="auto"/>
              </w:rPr>
            </w:pPr>
            <w:r>
              <w:rPr>
                <w:rFonts w:ascii="Arial" w:cs="Arial" w:eastAsia="Arial" w:hAnsi="Arial"/>
                <w:sz w:val="15"/>
                <w:szCs w:val="15"/>
                <w:color w:val="auto"/>
              </w:rPr>
              <w:t>578,932</w:t>
            </w:r>
          </w:p>
        </w:tc>
        <w:tc>
          <w:tcPr>
            <w:tcW w:w="120" w:type="dxa"/>
            <w:vAlign w:val="bottom"/>
          </w:tcPr>
          <w:p>
            <w:pPr>
              <w:spacing w:after="0"/>
              <w:rPr>
                <w:sz w:val="21"/>
                <w:szCs w:val="21"/>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6,308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6,314</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1,931,495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19</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14,668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14,687</w:t>
            </w:r>
          </w:p>
        </w:tc>
        <w:tc>
          <w:tcPr>
            <w:tcW w:w="0" w:type="dxa"/>
            <w:vAlign w:val="bottom"/>
          </w:tcPr>
          <w:p>
            <w:pPr>
              <w:spacing w:after="0"/>
              <w:rPr>
                <w:sz w:val="1"/>
                <w:szCs w:val="1"/>
                <w:color w:val="auto"/>
              </w:rPr>
            </w:pPr>
          </w:p>
        </w:tc>
      </w:tr>
      <w:tr>
        <w:trPr>
          <w:trHeight w:val="266"/>
        </w:trPr>
        <w:tc>
          <w:tcPr>
            <w:tcW w:w="4240" w:type="dxa"/>
            <w:vAlign w:val="bottom"/>
          </w:tcPr>
          <w:p>
            <w:pPr>
              <w:ind w:left="180"/>
              <w:spacing w:after="0"/>
              <w:rPr>
                <w:sz w:val="20"/>
                <w:szCs w:val="20"/>
                <w:color w:val="auto"/>
              </w:rPr>
            </w:pPr>
            <w:r>
              <w:rPr>
                <w:rFonts w:ascii="Arial" w:cs="Arial" w:eastAsia="Arial" w:hAnsi="Arial"/>
                <w:sz w:val="15"/>
                <w:szCs w:val="15"/>
                <w:color w:val="auto"/>
              </w:rPr>
              <w:t>Excess tax benefits from the exercise of stock options</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18,175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18,175</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(1,615,181)</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(56,455)</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(56,455)</w:t>
            </w:r>
          </w:p>
        </w:tc>
        <w:tc>
          <w:tcPr>
            <w:tcW w:w="0" w:type="dxa"/>
            <w:vAlign w:val="bottom"/>
          </w:tcPr>
          <w:p>
            <w:pPr>
              <w:spacing w:after="0"/>
              <w:rPr>
                <w:sz w:val="1"/>
                <w:szCs w:val="1"/>
                <w:color w:val="auto"/>
              </w:rPr>
            </w:pPr>
          </w:p>
        </w:tc>
      </w:tr>
      <w:tr>
        <w:trPr>
          <w:trHeight w:val="176"/>
        </w:trPr>
        <w:tc>
          <w:tcPr>
            <w:tcW w:w="4240" w:type="dxa"/>
            <w:vAlign w:val="bottom"/>
          </w:tcPr>
          <w:p>
            <w:pPr>
              <w:ind w:left="180"/>
              <w:spacing w:after="0"/>
              <w:rPr>
                <w:sz w:val="20"/>
                <w:szCs w:val="20"/>
                <w:color w:val="auto"/>
              </w:rPr>
            </w:pPr>
            <w:r>
              <w:rPr>
                <w:rFonts w:ascii="Arial" w:cs="Arial" w:eastAsia="Arial" w:hAnsi="Arial"/>
                <w:sz w:val="15"/>
                <w:szCs w:val="15"/>
                <w:color w:val="auto"/>
                <w:w w:val="99"/>
              </w:rPr>
              <w:t>Recognition of liability related to future stock option exercises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180"/>
              <w:spacing w:after="0"/>
              <w:rPr>
                <w:sz w:val="20"/>
                <w:szCs w:val="20"/>
                <w:color w:val="auto"/>
              </w:rPr>
            </w:pPr>
            <w:r>
              <w:rPr>
                <w:rFonts w:ascii="Arial" w:cs="Arial" w:eastAsia="Arial" w:hAnsi="Arial"/>
                <w:sz w:val="15"/>
                <w:szCs w:val="15"/>
                <w:color w:val="auto"/>
              </w:rPr>
              <w:t>(Note 19)</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(968)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(968)</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9"/>
              </w:rPr>
              <w:t>260,825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9"/>
              </w:rPr>
              <w:t>260,825</w:t>
            </w:r>
          </w:p>
        </w:tc>
        <w:tc>
          <w:tcPr>
            <w:tcW w:w="0" w:type="dxa"/>
            <w:vAlign w:val="bottom"/>
          </w:tcPr>
          <w:p>
            <w:pPr>
              <w:spacing w:after="0"/>
              <w:rPr>
                <w:sz w:val="1"/>
                <w:szCs w:val="1"/>
                <w:color w:val="auto"/>
              </w:rPr>
            </w:pPr>
          </w:p>
        </w:tc>
      </w:tr>
      <w:tr>
        <w:trPr>
          <w:trHeight w:val="176"/>
        </w:trPr>
        <w:tc>
          <w:tcPr>
            <w:tcW w:w="4240" w:type="dxa"/>
            <w:vAlign w:val="bottom"/>
          </w:tcPr>
          <w:p>
            <w:pPr>
              <w:ind w:left="180"/>
              <w:spacing w:after="0"/>
              <w:rPr>
                <w:sz w:val="20"/>
                <w:szCs w:val="20"/>
                <w:color w:val="auto"/>
              </w:rPr>
            </w:pPr>
            <w:r>
              <w:rPr>
                <w:rFonts w:ascii="Arial" w:cs="Arial" w:eastAsia="Arial" w:hAnsi="Arial"/>
                <w:sz w:val="15"/>
                <w:szCs w:val="15"/>
                <w:color w:val="auto"/>
                <w:w w:val="99"/>
              </w:rPr>
              <w:t>Cumulative-effect adjustment for adoption of Topic 606 (Note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180"/>
              <w:spacing w:after="0"/>
              <w:rPr>
                <w:sz w:val="20"/>
                <w:szCs w:val="20"/>
                <w:color w:val="auto"/>
              </w:rPr>
            </w:pPr>
            <w:r>
              <w:rPr>
                <w:rFonts w:ascii="Arial" w:cs="Arial" w:eastAsia="Arial" w:hAnsi="Arial"/>
                <w:sz w:val="15"/>
                <w:szCs w:val="15"/>
                <w:color w:val="auto"/>
              </w:rPr>
              <w:t>2)</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2,947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2,947</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comprehensive income, net of tax</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2,536</w:t>
            </w:r>
          </w:p>
        </w:tc>
        <w:tc>
          <w:tcPr>
            <w:tcW w:w="0" w:type="dxa"/>
            <w:vAlign w:val="bottom"/>
          </w:tcPr>
          <w:p>
            <w:pPr>
              <w:spacing w:after="0"/>
              <w:rPr>
                <w:sz w:val="1"/>
                <w:szCs w:val="1"/>
                <w:color w:val="auto"/>
              </w:rPr>
            </w:pPr>
          </w:p>
        </w:tc>
      </w:tr>
      <w:tr>
        <w:trPr>
          <w:trHeight w:val="266"/>
        </w:trPr>
        <w:tc>
          <w:tcPr>
            <w:tcW w:w="4240" w:type="dxa"/>
            <w:vAlign w:val="bottom"/>
          </w:tcPr>
          <w:p>
            <w:pPr>
              <w:ind w:left="180"/>
              <w:spacing w:after="0"/>
              <w:rPr>
                <w:sz w:val="20"/>
                <w:szCs w:val="20"/>
                <w:color w:val="auto"/>
              </w:rPr>
            </w:pPr>
            <w:r>
              <w:rPr>
                <w:rFonts w:ascii="Arial" w:cs="Arial" w:eastAsia="Arial" w:hAnsi="Arial"/>
                <w:sz w:val="15"/>
                <w:szCs w:val="15"/>
                <w:color w:val="auto"/>
              </w:rPr>
              <w:t>Dividends paid (Note 18)</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(92,925)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(92,925)</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Stock-based compensation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21,249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21,249</w:t>
            </w:r>
          </w:p>
        </w:tc>
        <w:tc>
          <w:tcPr>
            <w:tcW w:w="0" w:type="dxa"/>
            <w:vAlign w:val="bottom"/>
          </w:tcPr>
          <w:p>
            <w:pPr>
              <w:spacing w:after="0"/>
              <w:rPr>
                <w:sz w:val="1"/>
                <w:szCs w:val="1"/>
                <w:color w:val="auto"/>
              </w:rPr>
            </w:pPr>
          </w:p>
        </w:tc>
      </w:tr>
      <w:tr>
        <w:trPr>
          <w:trHeight w:val="246"/>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Balance at March 31, 2017</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155,901,485</w:t>
            </w:r>
          </w:p>
        </w:tc>
        <w:tc>
          <w:tcPr>
            <w:tcW w:w="12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$ 1,559</w:t>
            </w:r>
          </w:p>
        </w:tc>
        <w:tc>
          <w:tcPr>
            <w:tcW w:w="12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(7,013,777)</w:t>
            </w:r>
          </w:p>
        </w:tc>
        <w:tc>
          <w:tcPr>
            <w:tcW w:w="1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1"/>
              </w:rPr>
              <w:t>$ (191,900)</w:t>
            </w:r>
          </w:p>
        </w:tc>
        <w:tc>
          <w:tcPr>
            <w:tcW w:w="1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95"/>
              </w:rPr>
              <w:t>$302,907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9"/>
              </w:rPr>
              <w:t>489,384</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(17,077)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99"/>
              </w:rPr>
              <w:t>584,873</w:t>
            </w:r>
          </w:p>
        </w:tc>
        <w:tc>
          <w:tcPr>
            <w:tcW w:w="0" w:type="dxa"/>
            <w:vAlign w:val="bottom"/>
          </w:tcPr>
          <w:p>
            <w:pPr>
              <w:spacing w:after="0"/>
              <w:rPr>
                <w:sz w:val="1"/>
                <w:szCs w:val="1"/>
                <w:color w:val="auto"/>
              </w:rPr>
            </w:pPr>
          </w:p>
        </w:tc>
      </w:tr>
      <w:tr>
        <w:trPr>
          <w:trHeight w:val="25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866,099</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8,899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8,907</w:t>
            </w:r>
          </w:p>
        </w:tc>
        <w:tc>
          <w:tcPr>
            <w:tcW w:w="0" w:type="dxa"/>
            <w:vAlign w:val="bottom"/>
          </w:tcPr>
          <w:p>
            <w:pPr>
              <w:spacing w:after="0"/>
              <w:rPr>
                <w:sz w:val="1"/>
                <w:szCs w:val="1"/>
                <w:color w:val="auto"/>
              </w:rPr>
            </w:pPr>
          </w:p>
        </w:tc>
      </w:tr>
      <w:tr>
        <w:trPr>
          <w:trHeight w:val="266"/>
        </w:trPr>
        <w:tc>
          <w:tcPr>
            <w:tcW w:w="4240" w:type="dxa"/>
            <w:vAlign w:val="bottom"/>
          </w:tcPr>
          <w:p>
            <w:pPr>
              <w:ind w:left="180"/>
              <w:spacing w:after="0"/>
              <w:rPr>
                <w:sz w:val="20"/>
                <w:szCs w:val="20"/>
                <w:color w:val="auto"/>
              </w:rPr>
            </w:pPr>
            <w:r>
              <w:rPr>
                <w:rFonts w:ascii="Arial" w:cs="Arial" w:eastAsia="Arial" w:hAnsi="Arial"/>
                <w:sz w:val="15"/>
                <w:szCs w:val="15"/>
                <w:color w:val="auto"/>
              </w:rPr>
              <w:t>Stock options exercised</w:t>
            </w:r>
          </w:p>
        </w:tc>
        <w:tc>
          <w:tcPr>
            <w:tcW w:w="920" w:type="dxa"/>
            <w:vAlign w:val="bottom"/>
          </w:tcPr>
          <w:p>
            <w:pPr>
              <w:jc w:val="right"/>
              <w:spacing w:after="0"/>
              <w:rPr>
                <w:sz w:val="20"/>
                <w:szCs w:val="20"/>
                <w:color w:val="auto"/>
              </w:rPr>
            </w:pPr>
            <w:r>
              <w:rPr>
                <w:rFonts w:ascii="Arial" w:cs="Arial" w:eastAsia="Arial" w:hAnsi="Arial"/>
                <w:sz w:val="15"/>
                <w:szCs w:val="15"/>
                <w:color w:val="auto"/>
              </w:rPr>
              <w:t>1,261,089</w:t>
            </w:r>
          </w:p>
        </w:tc>
        <w:tc>
          <w:tcPr>
            <w:tcW w:w="120" w:type="dxa"/>
            <w:vAlign w:val="bottom"/>
          </w:tcPr>
          <w:p>
            <w:pPr>
              <w:spacing w:after="0"/>
              <w:rPr>
                <w:sz w:val="23"/>
                <w:szCs w:val="23"/>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12,082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12,095</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Excess tax benefits from the 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4240" w:type="dxa"/>
            <w:vAlign w:val="bottom"/>
          </w:tcPr>
          <w:p>
            <w:pPr>
              <w:ind w:left="180"/>
              <w:spacing w:after="0"/>
              <w:rPr>
                <w:sz w:val="20"/>
                <w:szCs w:val="20"/>
                <w:color w:val="auto"/>
              </w:rPr>
            </w:pPr>
            <w:r>
              <w:rPr>
                <w:rFonts w:ascii="Arial" w:cs="Arial" w:eastAsia="Arial" w:hAnsi="Arial"/>
                <w:sz w:val="15"/>
                <w:szCs w:val="15"/>
                <w:color w:val="auto"/>
              </w:rPr>
              <w:t>Repurchase of common stock</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(7,568,357)</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(269,557)</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w w:val="90"/>
              </w:rPr>
              <w:t>(269,557)</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9"/>
              </w:rPr>
              <w:t>Recognition of liability related to future stock option exercises</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 19)</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c>
          <w:tcPr>
            <w:tcW w:w="0" w:type="dxa"/>
            <w:vAlign w:val="bottom"/>
          </w:tcPr>
          <w:p>
            <w:pPr>
              <w:spacing w:after="0"/>
              <w:rPr>
                <w:sz w:val="1"/>
                <w:szCs w:val="1"/>
                <w:color w:val="auto"/>
              </w:rPr>
            </w:pPr>
          </w:p>
        </w:tc>
      </w:tr>
      <w:tr>
        <w:trPr>
          <w:trHeight w:val="266"/>
        </w:trPr>
        <w:tc>
          <w:tcPr>
            <w:tcW w:w="4240" w:type="dxa"/>
            <w:vAlign w:val="bottom"/>
          </w:tcPr>
          <w:p>
            <w:pPr>
              <w:ind w:left="180"/>
              <w:spacing w:after="0"/>
              <w:rPr>
                <w:sz w:val="20"/>
                <w:szCs w:val="20"/>
                <w:color w:val="auto"/>
              </w:rPr>
            </w:pPr>
            <w:r>
              <w:rPr>
                <w:rFonts w:ascii="Arial" w:cs="Arial" w:eastAsia="Arial" w:hAnsi="Arial"/>
                <w:sz w:val="15"/>
                <w:szCs w:val="15"/>
                <w:color w:val="auto"/>
              </w:rPr>
              <w:t>Net income</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301,692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w w:val="99"/>
              </w:rPr>
              <w:t>301,692</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Reclassification of AOCI due to the Act (Note 16)</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2,851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4240" w:type="dxa"/>
            <w:vAlign w:val="bottom"/>
          </w:tcPr>
          <w:p>
            <w:pPr>
              <w:ind w:left="180"/>
              <w:spacing w:after="0"/>
              <w:rPr>
                <w:sz w:val="20"/>
                <w:szCs w:val="20"/>
                <w:color w:val="auto"/>
              </w:rPr>
            </w:pPr>
            <w:r>
              <w:rPr>
                <w:rFonts w:ascii="Arial" w:cs="Arial" w:eastAsia="Arial" w:hAnsi="Arial"/>
                <w:sz w:val="15"/>
                <w:szCs w:val="15"/>
                <w:color w:val="auto"/>
              </w:rPr>
              <w:t>Other comprehensive income, net of tax</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4,822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4,822</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Dividends paid (Note 18)</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(103,411)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(103,411)</w:t>
            </w:r>
          </w:p>
        </w:tc>
        <w:tc>
          <w:tcPr>
            <w:tcW w:w="0" w:type="dxa"/>
            <w:vAlign w:val="bottom"/>
          </w:tcPr>
          <w:p>
            <w:pPr>
              <w:spacing w:after="0"/>
              <w:rPr>
                <w:sz w:val="1"/>
                <w:szCs w:val="1"/>
                <w:color w:val="auto"/>
              </w:rPr>
            </w:pPr>
          </w:p>
        </w:tc>
      </w:tr>
      <w:tr>
        <w:trPr>
          <w:trHeight w:val="266"/>
        </w:trPr>
        <w:tc>
          <w:tcPr>
            <w:tcW w:w="4240" w:type="dxa"/>
            <w:vAlign w:val="bottom"/>
          </w:tcPr>
          <w:p>
            <w:pPr>
              <w:ind w:left="180"/>
              <w:spacing w:after="0"/>
              <w:rPr>
                <w:sz w:val="20"/>
                <w:szCs w:val="20"/>
                <w:color w:val="auto"/>
              </w:rPr>
            </w:pPr>
            <w:r>
              <w:rPr>
                <w:rFonts w:ascii="Arial" w:cs="Arial" w:eastAsia="Arial" w:hAnsi="Arial"/>
                <w:sz w:val="15"/>
                <w:szCs w:val="15"/>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23,318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23,318</w:t>
            </w:r>
          </w:p>
        </w:tc>
        <w:tc>
          <w:tcPr>
            <w:tcW w:w="0" w:type="dxa"/>
            <w:vAlign w:val="bottom"/>
          </w:tcPr>
          <w:p>
            <w:pPr>
              <w:spacing w:after="0"/>
              <w:rPr>
                <w:sz w:val="1"/>
                <w:szCs w:val="1"/>
                <w:color w:val="auto"/>
              </w:rPr>
            </w:pPr>
          </w:p>
        </w:tc>
      </w:tr>
      <w:tr>
        <w:trPr>
          <w:trHeight w:val="254"/>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March 31, 2018</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158,028,673</w:t>
            </w:r>
          </w:p>
        </w:tc>
        <w:tc>
          <w:tcPr>
            <w:tcW w:w="1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$ 1,580</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(14,582,134)</w:t>
            </w: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 (461,457)</w:t>
            </w:r>
          </w:p>
        </w:tc>
        <w:tc>
          <w:tcPr>
            <w:tcW w:w="10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$346,958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9"/>
              </w:rPr>
              <w:t>690,516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(15,106)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9"/>
              </w:rPr>
              <w:t>562,491</w:t>
            </w:r>
          </w:p>
        </w:tc>
        <w:tc>
          <w:tcPr>
            <w:tcW w:w="0" w:type="dxa"/>
            <w:vAlign w:val="bottom"/>
          </w:tcPr>
          <w:p>
            <w:pPr>
              <w:spacing w:after="0"/>
              <w:rPr>
                <w:sz w:val="1"/>
                <w:szCs w:val="1"/>
                <w:color w:val="auto"/>
              </w:rPr>
            </w:pPr>
          </w:p>
        </w:tc>
      </w:tr>
      <w:tr>
        <w:trPr>
          <w:trHeight w:val="246"/>
        </w:trPr>
        <w:tc>
          <w:tcPr>
            <w:tcW w:w="4240" w:type="dxa"/>
            <w:vAlign w:val="bottom"/>
          </w:tcPr>
          <w:p>
            <w:pPr>
              <w:ind w:left="180"/>
              <w:spacing w:after="0"/>
              <w:rPr>
                <w:sz w:val="20"/>
                <w:szCs w:val="20"/>
                <w:color w:val="auto"/>
              </w:rPr>
            </w:pPr>
            <w:r>
              <w:rPr>
                <w:rFonts w:ascii="Arial" w:cs="Arial" w:eastAsia="Arial" w:hAnsi="Arial"/>
                <w:sz w:val="15"/>
                <w:szCs w:val="15"/>
                <w:color w:val="auto"/>
              </w:rPr>
              <w:t>Issuance of common stock</w:t>
            </w:r>
          </w:p>
        </w:tc>
        <w:tc>
          <w:tcPr>
            <w:tcW w:w="920" w:type="dxa"/>
            <w:vAlign w:val="bottom"/>
          </w:tcPr>
          <w:p>
            <w:pPr>
              <w:jc w:val="right"/>
              <w:spacing w:after="0"/>
              <w:rPr>
                <w:sz w:val="20"/>
                <w:szCs w:val="20"/>
                <w:color w:val="auto"/>
              </w:rPr>
            </w:pPr>
            <w:r>
              <w:rPr>
                <w:rFonts w:ascii="Arial" w:cs="Arial" w:eastAsia="Arial" w:hAnsi="Arial"/>
                <w:sz w:val="15"/>
                <w:szCs w:val="15"/>
                <w:color w:val="auto"/>
              </w:rPr>
              <w:t>876,187</w:t>
            </w:r>
          </w:p>
        </w:tc>
        <w:tc>
          <w:tcPr>
            <w:tcW w:w="120" w:type="dxa"/>
            <w:vAlign w:val="bottom"/>
          </w:tcPr>
          <w:p>
            <w:pPr>
              <w:spacing w:after="0"/>
              <w:rPr>
                <w:sz w:val="21"/>
                <w:szCs w:val="21"/>
                <w:color w:val="auto"/>
              </w:rPr>
            </w:pPr>
          </w:p>
        </w:tc>
        <w:tc>
          <w:tcPr>
            <w:tcW w:w="620" w:type="dxa"/>
            <w:vAlign w:val="bottom"/>
          </w:tcPr>
          <w:p>
            <w:pPr>
              <w:jc w:val="right"/>
              <w:ind w:right="44"/>
              <w:spacing w:after="0"/>
              <w:rPr>
                <w:sz w:val="20"/>
                <w:szCs w:val="20"/>
                <w:color w:val="auto"/>
              </w:rPr>
            </w:pPr>
            <w:r>
              <w:rPr>
                <w:rFonts w:ascii="Arial" w:cs="Arial" w:eastAsia="Arial" w:hAnsi="Arial"/>
                <w:sz w:val="15"/>
                <w:szCs w:val="15"/>
                <w:color w:val="auto"/>
              </w:rPr>
              <w:t>9</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11,257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1"/>
                <w:szCs w:val="21"/>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11,266</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Stock 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1,019,965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12,106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12,116</w:t>
            </w:r>
          </w:p>
        </w:tc>
        <w:tc>
          <w:tcPr>
            <w:tcW w:w="0" w:type="dxa"/>
            <w:vAlign w:val="bottom"/>
          </w:tcPr>
          <w:p>
            <w:pPr>
              <w:spacing w:after="0"/>
              <w:rPr>
                <w:sz w:val="1"/>
                <w:szCs w:val="1"/>
                <w:color w:val="auto"/>
              </w:rPr>
            </w:pPr>
          </w:p>
        </w:tc>
      </w:tr>
      <w:tr>
        <w:trPr>
          <w:trHeight w:val="266"/>
        </w:trPr>
        <w:tc>
          <w:tcPr>
            <w:tcW w:w="4240" w:type="dxa"/>
            <w:vAlign w:val="bottom"/>
          </w:tcPr>
          <w:p>
            <w:pPr>
              <w:ind w:left="180"/>
              <w:spacing w:after="0"/>
              <w:rPr>
                <w:sz w:val="20"/>
                <w:szCs w:val="20"/>
                <w:color w:val="auto"/>
              </w:rPr>
            </w:pPr>
            <w:r>
              <w:rPr>
                <w:rFonts w:ascii="Arial" w:cs="Arial" w:eastAsia="Arial" w:hAnsi="Arial"/>
                <w:sz w:val="15"/>
                <w:szCs w:val="15"/>
                <w:color w:val="auto"/>
              </w:rPr>
              <w:t>Excess tax benefits from the exercise of stock options</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(5,314,838)</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(249,993)</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(249,993)</w:t>
            </w:r>
          </w:p>
        </w:tc>
        <w:tc>
          <w:tcPr>
            <w:tcW w:w="0" w:type="dxa"/>
            <w:vAlign w:val="bottom"/>
          </w:tcPr>
          <w:p>
            <w:pPr>
              <w:spacing w:after="0"/>
              <w:rPr>
                <w:sz w:val="1"/>
                <w:szCs w:val="1"/>
                <w:color w:val="auto"/>
              </w:rPr>
            </w:pPr>
          </w:p>
        </w:tc>
      </w:tr>
      <w:tr>
        <w:trPr>
          <w:trHeight w:val="176"/>
        </w:trPr>
        <w:tc>
          <w:tcPr>
            <w:tcW w:w="4240" w:type="dxa"/>
            <w:vAlign w:val="bottom"/>
          </w:tcPr>
          <w:p>
            <w:pPr>
              <w:ind w:left="180"/>
              <w:spacing w:after="0"/>
              <w:rPr>
                <w:sz w:val="20"/>
                <w:szCs w:val="20"/>
                <w:color w:val="auto"/>
              </w:rPr>
            </w:pPr>
            <w:r>
              <w:rPr>
                <w:rFonts w:ascii="Arial" w:cs="Arial" w:eastAsia="Arial" w:hAnsi="Arial"/>
                <w:sz w:val="15"/>
                <w:szCs w:val="15"/>
                <w:color w:val="auto"/>
                <w:w w:val="99"/>
              </w:rPr>
              <w:t>Recognition of liability related to future stock option exercises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180"/>
              <w:spacing w:after="0"/>
              <w:rPr>
                <w:sz w:val="20"/>
                <w:szCs w:val="20"/>
                <w:color w:val="auto"/>
              </w:rPr>
            </w:pPr>
            <w:r>
              <w:rPr>
                <w:rFonts w:ascii="Arial" w:cs="Arial" w:eastAsia="Arial" w:hAnsi="Arial"/>
                <w:sz w:val="15"/>
                <w:szCs w:val="15"/>
                <w:color w:val="auto"/>
              </w:rPr>
              <w:t>(Note 19)</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9"/>
              </w:rPr>
              <w:t>418,529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9"/>
              </w:rPr>
              <w:t>418,529</w:t>
            </w:r>
          </w:p>
        </w:tc>
        <w:tc>
          <w:tcPr>
            <w:tcW w:w="0" w:type="dxa"/>
            <w:vAlign w:val="bottom"/>
          </w:tcPr>
          <w:p>
            <w:pPr>
              <w:spacing w:after="0"/>
              <w:rPr>
                <w:sz w:val="1"/>
                <w:szCs w:val="1"/>
                <w:color w:val="auto"/>
              </w:rPr>
            </w:pPr>
          </w:p>
        </w:tc>
      </w:tr>
      <w:tr>
        <w:trPr>
          <w:trHeight w:val="266"/>
        </w:trPr>
        <w:tc>
          <w:tcPr>
            <w:tcW w:w="4240" w:type="dxa"/>
            <w:vAlign w:val="bottom"/>
          </w:tcPr>
          <w:p>
            <w:pPr>
              <w:ind w:left="180"/>
              <w:spacing w:after="0"/>
              <w:rPr>
                <w:sz w:val="20"/>
                <w:szCs w:val="20"/>
                <w:color w:val="auto"/>
              </w:rPr>
            </w:pPr>
            <w:r>
              <w:rPr>
                <w:rFonts w:ascii="Arial" w:cs="Arial" w:eastAsia="Arial" w:hAnsi="Arial"/>
                <w:sz w:val="15"/>
                <w:szCs w:val="15"/>
                <w:color w:val="auto"/>
              </w:rPr>
              <w:t>Other comprehensive income, net of tax</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3,916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3,916</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Dividends paid (Note 18)</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(114,234)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(114,234)</w:t>
            </w:r>
          </w:p>
        </w:tc>
        <w:tc>
          <w:tcPr>
            <w:tcW w:w="0" w:type="dxa"/>
            <w:vAlign w:val="bottom"/>
          </w:tcPr>
          <w:p>
            <w:pPr>
              <w:spacing w:after="0"/>
              <w:rPr>
                <w:sz w:val="1"/>
                <w:szCs w:val="1"/>
                <w:color w:val="auto"/>
              </w:rPr>
            </w:pPr>
          </w:p>
        </w:tc>
      </w:tr>
      <w:tr>
        <w:trPr>
          <w:trHeight w:val="266"/>
        </w:trPr>
        <w:tc>
          <w:tcPr>
            <w:tcW w:w="4240" w:type="dxa"/>
            <w:vAlign w:val="bottom"/>
          </w:tcPr>
          <w:p>
            <w:pPr>
              <w:ind w:left="180"/>
              <w:spacing w:after="0"/>
              <w:rPr>
                <w:sz w:val="20"/>
                <w:szCs w:val="20"/>
                <w:color w:val="auto"/>
              </w:rPr>
            </w:pPr>
            <w:r>
              <w:rPr>
                <w:rFonts w:ascii="Arial" w:cs="Arial" w:eastAsia="Arial" w:hAnsi="Arial"/>
                <w:sz w:val="15"/>
                <w:szCs w:val="15"/>
                <w:color w:val="auto"/>
              </w:rPr>
              <w:t>Stock-based compensation expense</w:t>
            </w:r>
          </w:p>
        </w:tc>
        <w:tc>
          <w:tcPr>
            <w:tcW w:w="92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0</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5"/>
              <w:spacing w:after="0"/>
              <w:rPr>
                <w:sz w:val="20"/>
                <w:szCs w:val="20"/>
                <w:color w:val="auto"/>
              </w:rPr>
            </w:pPr>
            <w:r>
              <w:rPr>
                <w:rFonts w:ascii="Arial" w:cs="Arial" w:eastAsia="Arial" w:hAnsi="Arial"/>
                <w:sz w:val="15"/>
                <w:szCs w:val="15"/>
                <w:color w:val="auto"/>
              </w:rPr>
              <w:t>31,275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660" w:type="dxa"/>
            <w:vAlign w:val="bottom"/>
          </w:tcPr>
          <w:p>
            <w:pPr>
              <w:jc w:val="right"/>
              <w:ind w:right="24"/>
              <w:spacing w:after="0"/>
              <w:rPr>
                <w:sz w:val="20"/>
                <w:szCs w:val="20"/>
                <w:color w:val="auto"/>
              </w:rPr>
            </w:pPr>
            <w:r>
              <w:rPr>
                <w:rFonts w:ascii="Arial" w:cs="Arial" w:eastAsia="Arial" w:hAnsi="Arial"/>
                <w:sz w:val="15"/>
                <w:szCs w:val="15"/>
                <w:color w:val="auto"/>
              </w:rPr>
              <w:t>31,275</w:t>
            </w:r>
          </w:p>
        </w:tc>
        <w:tc>
          <w:tcPr>
            <w:tcW w:w="0" w:type="dxa"/>
            <w:vAlign w:val="bottom"/>
          </w:tcPr>
          <w:p>
            <w:pPr>
              <w:spacing w:after="0"/>
              <w:rPr>
                <w:sz w:val="1"/>
                <w:szCs w:val="1"/>
                <w:color w:val="auto"/>
              </w:rPr>
            </w:pPr>
          </w:p>
        </w:tc>
      </w:tr>
      <w:tr>
        <w:trPr>
          <w:trHeight w:val="237"/>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March 31,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159,924,825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$ 1,599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(19,896,972)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 (711,450)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95"/>
              </w:rPr>
              <w:t>$401,596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9"/>
              </w:rPr>
              <w:t>994,811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9"/>
              </w:rPr>
              <w:t>675,366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688" w:right="239" w:bottom="1440" w:gutter="0" w:footer="0" w:header="0"/>
        </w:sectPr>
      </w:pPr>
    </w:p>
    <w:bookmarkStart w:id="75" w:name="page76"/>
    <w:bookmarkEnd w:id="75"/>
    <w:p>
      <w:pPr>
        <w:jc w:val="center"/>
        <w:ind w:left="260" w:right="2160"/>
        <w:spacing w:after="0" w:line="263"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 March 31, 2019</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jc w:val="both"/>
        <w:ind w:right="100" w:firstLine="405"/>
        <w:spacing w:after="0" w:line="302" w:lineRule="auto"/>
        <w:rPr>
          <w:sz w:val="20"/>
          <w:szCs w:val="20"/>
          <w:color w:val="auto"/>
        </w:rPr>
      </w:pPr>
      <w:r>
        <w:rPr>
          <w:rFonts w:ascii="Arial" w:cs="Arial" w:eastAsia="Arial" w:hAnsi="Arial"/>
          <w:sz w:val="16"/>
          <w:szCs w:val="16"/>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expertise to U.S. and international governments, major corporations, and not-for-profit organizations. The Company reports operating results and financial data in one reportable segment. The Company is headquartered in McLean, Virginia, with approximately 26,100 employees as of March 31, 2019.</w:t>
      </w:r>
    </w:p>
    <w:p>
      <w:pPr>
        <w:spacing w:after="0" w:line="150" w:lineRule="exact"/>
        <w:rPr>
          <w:sz w:val="20"/>
          <w:szCs w:val="20"/>
          <w:color w:val="auto"/>
        </w:rPr>
      </w:pPr>
    </w:p>
    <w:p>
      <w:pPr>
        <w:ind w:left="220" w:right="6520" w:hanging="212"/>
        <w:spacing w:after="0" w:line="378" w:lineRule="auto"/>
        <w:tabs>
          <w:tab w:leader="none" w:pos="18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firstLine="405"/>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and have been prepared in accordance with accounting principles generally accepted in the United States, or U.S. GAAP, and the rules and regulations of the U.S. Securities and Exchange Commission, or SEC. All intercompany balances and transactions have been eliminated in consolidation.</w:t>
      </w:r>
    </w:p>
    <w:p>
      <w:pPr>
        <w:spacing w:after="0" w:line="73" w:lineRule="exact"/>
        <w:rPr>
          <w:sz w:val="20"/>
          <w:szCs w:val="20"/>
          <w:color w:val="auto"/>
        </w:rPr>
      </w:pPr>
    </w:p>
    <w:p>
      <w:pPr>
        <w:ind w:right="560" w:firstLine="405"/>
        <w:spacing w:after="0" w:line="264" w:lineRule="auto"/>
        <w:rPr>
          <w:sz w:val="20"/>
          <w:szCs w:val="20"/>
          <w:color w:val="auto"/>
        </w:rPr>
      </w:pPr>
      <w:r>
        <w:rPr>
          <w:rFonts w:ascii="Arial" w:cs="Arial" w:eastAsia="Arial" w:hAnsi="Arial"/>
          <w:sz w:val="18"/>
          <w:szCs w:val="18"/>
          <w:color w:val="auto"/>
        </w:rPr>
        <w:t>The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2019 and 2018 and the Company’s results of operations for fiscal 2019, fiscal 2018, and fiscal 2017.</w:t>
      </w:r>
    </w:p>
    <w:p>
      <w:pPr>
        <w:spacing w:after="0" w:line="127" w:lineRule="exact"/>
        <w:rPr>
          <w:sz w:val="20"/>
          <w:szCs w:val="20"/>
          <w:color w:val="auto"/>
        </w:rPr>
      </w:pPr>
    </w:p>
    <w:p>
      <w:pPr>
        <w:ind w:right="300" w:firstLine="405"/>
        <w:spacing w:after="0" w:line="257" w:lineRule="auto"/>
        <w:rPr>
          <w:sz w:val="20"/>
          <w:szCs w:val="20"/>
          <w:color w:val="auto"/>
        </w:rPr>
      </w:pPr>
      <w:r>
        <w:rPr>
          <w:rFonts w:ascii="Arial" w:cs="Arial" w:eastAsia="Arial" w:hAnsi="Arial"/>
          <w:sz w:val="18"/>
          <w:szCs w:val="18"/>
          <w:color w:val="auto"/>
        </w:rPr>
        <w:t>Certain amounts reported in the Company's prior year consolidated financial statements have been reclassified to conform to the current year presentation. Effective April 1, 2018, the Company adopted Accounting Standards Codification (ASC) No. 606, Revenue from Contracts with Customers (Topic 606), and Accounting Standard Updates (ASU) 2017-07, Improving the Presentation of Net Periodic Pension Cost and Net Periodic Postretirement Benefit Cost, on a full retrospective method for amounts and percentages presented and disclosures set forth in this Form 10-K for fiscal 2019, 2018, and 2017.</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Areas of the consolidated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including the accrual of indirect costs, bonus and other incentive compensation, stock-based compensation, reserves for tax benefits and valuation allowances on deferred tax assets, provisions for income taxes, postretirement obligations, certain deferred costs, collectability of receivables, and loss accruals for litigation. Actual results experienced by the Company may differ materially from management's estimates.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Company's revenues from contracts with customers (clients) are derived from offerings that include consulting, analytics, digital solutions, engineering,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 contracts, and fixed-price contracts.</w:t>
      </w:r>
    </w:p>
    <w:p>
      <w:pPr>
        <w:spacing w:after="0" w:line="7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considers a contract with a customer to exist under Topic 606, when there is approval and commitment from both the Company and the customer, the rights of the parties and payment terms are identified, the contract has commercial substance, and collectability of consideration is probable. The Company also will consider whether two or more contracts entered into with the same customer should be combined and accounted for as a single contract. Furthermore, in certain transactions with commercial clients and with the U.S. government, the Company may commence providing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688" w:right="259" w:bottom="1440" w:gutter="0" w:footer="0" w:header="0"/>
        </w:sectPr>
      </w:pPr>
    </w:p>
    <w:bookmarkStart w:id="76" w:name="page77"/>
    <w:bookmarkEnd w:id="76"/>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prior to receiving a formal approval from the customer. In these situations, the Company will consider the factors noted above, the risks associated with commencing the work and legal enforceability in determining whether a contract with the customer exists under Topic 606.</w:t>
      </w:r>
    </w:p>
    <w:p>
      <w:pPr>
        <w:spacing w:after="0" w:line="3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the Company’s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Company evaluates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The Company’s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70"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Contracts with the U.S. government are subject to the Federal Acquisition Regulation ("FAR") and are priced based on estimated or actual costs of providing the goods or services. The Company derives a majority of its revenue from contracts awarded through a competitive bidding process. Pricing for non-U.S. government agencies and commercial customers is based on discrete negotiations with each customer. Certain of the Company’s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The Company may perform work under a contract that has not been fully funded if the work has been authorized by the management and the customer to proceed. The Company evaluates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the Company allocates the transaction price of a contract between the performance obligations in the proportion to their respective stand-alone selling prices. The Company generally estimates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64"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Company recognizes revenue for each performance obligation identified within our customer contracts when, or as, the performance obligation is satisfied by transferring the promised goods or services. Revenue may either be recognized over time, or at a point in time. The Company generally recognizes revenue over time as our contracts typically involve a continuous transfer of control to the customer. A continuous transfer of control under contracts with the U.S. government and its agencies is evidenced by clauses which require the Company to be paid for costs incurred plus a reasonable margin in the event that the customer unilaterally terminates the contract for convenience. For contracts where the Company recognizes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The Company does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The Company includes generally both funded and unfunded portions of customer contracts in this estimation process.</w:t>
      </w:r>
    </w:p>
    <w:p>
      <w:pPr>
        <w:spacing w:after="0" w:line="6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the Company and the U.S. government and represent indirect contract costs required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execute and administer contract obligations. The impact of any agreed-upon changes, or changes in the estimated annual forward-pricing rates, will be recorded in the interim financial reporting period when such changes are identified. This change relates to the interim financial reporting period differences between the actual indirect cost incurred and allocated to customer contracts compared to the estimated amounts allocated to contracts using the estimated annual forward-pricing rates established with the U.S. government.</w:t>
      </w:r>
    </w:p>
    <w:p>
      <w:pPr>
        <w:spacing w:after="0" w:line="7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certain contracts, principally time-and-materials and cost-reimbursable-plus-fee contracts, revenue is recognized using the right-to-invoice practical expedient as the Company is contractually able to invoice the customer based on the control transferred. However, we did not elect to use the practical expedient which would allow the Company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8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the right-to-invoice practical expedient discussed above, the Company applied certain other practical expedients permitted by Topic 606, which include: a) using the portfolio approach where contracts with similar characteristics were assessed collectively to evaluate risk of being impacted by the adoption of Topic 606; b) applying the practical expedient allowing the Company to not restate completed contracts which began and ended in the same fiscal year prior to the date of the initial adoption; and c) electing to omit the disclosure related to remaining performance obligations for reporting periods presented before the date of the initial adoption.</w:t>
      </w:r>
    </w:p>
    <w:p>
      <w:pPr>
        <w:spacing w:after="0" w:line="80" w:lineRule="exact"/>
        <w:rPr>
          <w:sz w:val="20"/>
          <w:szCs w:val="20"/>
          <w:color w:val="auto"/>
        </w:rPr>
      </w:pPr>
    </w:p>
    <w:p>
      <w:pPr>
        <w:ind w:right="200" w:firstLine="405"/>
        <w:spacing w:after="0" w:line="270" w:lineRule="auto"/>
        <w:rPr>
          <w:sz w:val="20"/>
          <w:szCs w:val="20"/>
          <w:color w:val="auto"/>
        </w:rPr>
      </w:pPr>
      <w:r>
        <w:rPr>
          <w:rFonts w:ascii="Arial" w:cs="Arial" w:eastAsia="Arial" w:hAnsi="Arial"/>
          <w:sz w:val="17"/>
          <w:szCs w:val="17"/>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in the period when such changes are made on a cumulative catch-up basis. If the estimate of contract profitability indicates an anticipated loss on a contract, the Company recognizes the total loss at the time it is identified. For fiscal years ended March 31, 2019, 2018 and 2017, the aggregate impact of adjustments in contract estimates was not material.</w:t>
      </w:r>
    </w:p>
    <w:p>
      <w:pPr>
        <w:spacing w:after="0" w:line="7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Cash and cash equivalents include operating cash on hand and highly liquid investments having a weighted average maturity of 60 days or less and a weighted average life of 120 days or less. The Company’s cash equivalents consist primarily of government money market funds and money market deposit accounts. The Company maintains its cash and cash equivalents in bank accounts that, at times, exceed the federally insured FDIC limits. The Company has not experienced any losses in such accounts.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Accounts Receivable</w:t>
      </w:r>
    </w:p>
    <w:p>
      <w:pPr>
        <w:spacing w:after="0" w:line="11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The Company maintains allowances for doubtful accounts against certain billed and unbilled receivables based upon the latest information regarding whether specific charges are recoverable or invoices are ultimately collectible. Assessing the recoverability of charges and collectability of customer receivables requires management judgment. The Company determines its allowance for doubtful accounts by specifically analyzing individual accounts receivable, historical bad debts, customer credit-worthiness, current economic conditions, accounts receivable aging trends for billed receivables, availability of funding, compliance with contractual terms and conditions, client satisfaction with work performed, and other factors impacting unbilled receivables. Valuation reserves are periodically re-evaluated and adjusted as more information about the ultimate recoverability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1" w:right="239" w:bottom="1440" w:gutter="0" w:footer="0" w:header="0"/>
        </w:sectPr>
      </w:pPr>
    </w:p>
    <w:bookmarkStart w:id="78" w:name="page79"/>
    <w:bookmarkEnd w:id="78"/>
    <w:p>
      <w:pPr>
        <w:jc w:val="center"/>
        <w:ind w:left="300" w:right="212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collectability of accounts receivable becomes available. Upon determination that a receivable is uncollectible, the receivable balance and any associated reserve are written off.</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560" w:firstLine="432"/>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equivalents and accounts receivable. The Company’s cash equivalents are generally invested in U.S. government money market funds and money market deposit accounts. The Company believes that credit risk for accounts receivable is limited as the receivables are primarily with the U.S. government.</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Property and equipment are recorded at cost, and the balances are presented net of accumulated depreciation. Depreciation is calculated using the straight-line method over the estimated useful lives of the assets. Furniture and equipment is depreciated over five to ten years, and computer equipment is depreciated over four years. Leasehold improvements are amortized over the shorter of the useful life of the asset or the lease term. Maintenance and repairs are charged to expense as incurred.</w:t>
      </w:r>
    </w:p>
    <w:p>
      <w:pPr>
        <w:spacing w:after="0" w:line="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Rent expense is recorded on a straight-line basis over the life of the respective lease. The difference between the cash payment and rent expense is recorded as deferred rent in either accounts payable and other accrued expenses or other long-term liabilities in the consolidated balance sheets, depending on when the amounts will be recognized. The Company receives incentives for tenant improvements on certain of its leases. The cash expended on such improvements is recorded as property and equipment and amortized over the life of the associated asset, or lease term, whichever is shorter. Incentives for tenant improvements are recorded as deferred rent in either accounts payable and other accrued expenses or other long-term liabilities in the consolidated balance sheets depending on when the amounts will be recognized. Incentives for tenant improvements are amortized on a straight-line basis over the lease term</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accounting for the Company’s business combinations consists of allocating the purchase price to tangible and intangible assets acquired and liabilities assumed based on their estimated fair values, with the excess recorded as goodwill. The Company has up to one year from the acquisition date to use information as of each acquisition date to adjust the fair value of the acquired assets and liabilities which may result in material changes to their recorded values with an offsetting adjustment to goodwill.</w:t>
      </w:r>
    </w:p>
    <w:p>
      <w:pPr>
        <w:spacing w:after="0" w:line="79"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have a contingent consideration arrangement in connection with a business acquisition which requires a fair value measurement determined using probability-weighted cash flows. See Note 20 to our consolidated financial statements for further information about the valuation of the contingent consideration liability and the inputs used in the fair value measurement.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Intangible assets primarily consist of the Company's trade name, customer relationships, software and other amortizable intangible assets. The Company capitalizes the following costs associated with developing internal-use computer software pertaining to upgrades in our business and financial systems: (i) external direct costs of materials and services consumed in developing or obtaining internal-use computer software and (ii) certain payroll and payroll-related costs for Company employees who are directly associated with the development of internal-use software, to the extent of the time spent directly on the project. Customer relationships are generally amortized on an accelerated basis over the expected life based on projected future cash flows of approximately three to twelve years. Software purchased or developed for internal use is amortized over three to six years. The Company's trade name is not amortized, but is tested for impairment on at least an annual basis as of January 1 and more frequently if interim indicators of impairment exist. The trade name is considered to be impaired if the carrying value exceeds its estimated fair value. The Company used the relief from royalty method to estimate the fair value. The fair value of the asset is the present value of the license fees avoided by owning the asset, or the royalty savings. During the fiscal year ended March 31, 2017, the Company recorded impairment charges related to intangible assets acquired in an acquisition. During the fiscal years ended March 31, 2019 and March 31, 2018, the Company did not record any impairment of intangible assets.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60"/>
          </w:cols>
          <w:pgMar w:left="240" w:top="121" w:right="299" w:bottom="1440" w:gutter="0" w:footer="0" w:header="0"/>
        </w:sectPr>
      </w:pPr>
    </w:p>
    <w:bookmarkStart w:id="79" w:name="page80"/>
    <w:bookmarkEnd w:id="79"/>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As of January 1, 2019, the Company performed its annual impairment test of goodwill by comparing the fair value of the Company (based on market capitalization) to the carrying value of the Company's net equity, and concluded that the fair value of the reporting unit was significantly greater than the carrying amount. During the fiscal years ended March 31, 2019, 2018, and 2017, the Company did not record any impairment of goodwill.</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The Company reviews its long-lived assets, including property and equipment and amortizable intangible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2019, 2018, and 2017, the Company did not record any material impairment charges.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provides for income taxes as a “C” corporation on income earned from operations. The Company is subject to federal, state, and foreign taxation in various jurisdictions.</w:t>
      </w:r>
    </w:p>
    <w:p>
      <w:pPr>
        <w:spacing w:after="0" w:line="62"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consolidated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5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periodically assesses its tax positions for all periods open to examination by tax authorities based on the latest available information. Where it is not more likely than not that the Company’s tax position will be sustained, the Company records its best estimate of the resulting tax liability, penalties, and interest in the consolidated financial statements. These uncertain tax positions are recorded as a component of income tax expense. As uncertain tax positions in periods open to examination are closed out, or as new information becomes available, the resulting change is reflected in the recorded liability and income tax expense. Penalties and interest recognized related to the reserves for uncertain tax positions are recorded as a component of income tax expense.</w:t>
      </w:r>
    </w:p>
    <w:p>
      <w:pPr>
        <w:spacing w:after="0" w:line="8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See Note 14 to our consolidated financial statements for further information regarding the effects of U.S. tax law changes enacted during the third fiscal quarter of 2018 and financial reporting guidance issued by the SEC.</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Comprehensive income is the change in equity of a business enterprise during a period from transactions and other events and circumstances from non-owner sources, and is presented in the consolidated statements of comprehensive income. Accumulated other comprehensive loss as of March 31, 2019 and 2018 consisted of net unrealized losses on the Company’s defined and postretirement benefit plans and unrealized gains or losses on interest rate swaps designated as cash flow hedges.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Share-based payments to employees are recognized in the consolidated statements of operations based on their grant date fair values with the expense for time vested awards recognized on an accelerated basis over the vesting period. The expense for performance awards is recognized straight line over the vesting period. The Company uses the Black-Scholes option-pricing model to determine the fair value of its option awards at the time of grant.</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Benefit Plan and Other Postretirement Benefits</w:t>
      </w:r>
    </w:p>
    <w:p>
      <w:pPr>
        <w:spacing w:after="0" w:line="11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Company recognizes the underfunded status of defined benefit plans on the consolidated balance sheets within other long-term liabilities. Gains and losses, and prior service costs and credits that have not yet been recognized through net periodic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80" w:name="page81"/>
    <w:bookmarkEnd w:id="80"/>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benefit cost are recognized in accumulated other comprehensive income (loss), net of tax effects, and will be amortized as a component of net periodic cost in future periods. The measurement date, the date at which the benefit obligations are measured, is the Company’s fiscal year-end.</w:t>
      </w:r>
    </w:p>
    <w:p>
      <w:pPr>
        <w:spacing w:after="0" w:line="38"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also offers medical and dental benefits to inactive employees (and their eligible dependents) on long-term disability. The Company accrues the costs of the benefits at the date the inactive employee becomes disability eligible and elects to participate in the benefit. The accrued cost for such benefits is calculated using an actuarial estimate of the present value of all future benefit payments for obligations at the end of the fiscal year.</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Self-Funded Medical Plans</w:t>
      </w:r>
    </w:p>
    <w:p>
      <w:pPr>
        <w:spacing w:after="0" w:line="11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Company maintains self-funded medical insurance. Self-funded plans include Consumer Driven Health Plans with a Health Savings Account option and traditional choice plans. Further, self-funded plans also include prescription drug and dental benefits. The Company records an incurred but unreported claim liability in the accrued compensation and benefits line of the consolidated balance sheets for self-funded plans based on an actuarial valuation. The estimate of the incurred but unreported claim liability was provided by a third-party valuation firm, primarily based on claims and participant data for the medical, dental, and pharmacy related costs.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In determining fair value, we consider the principal or most advantageous market in which the asset or liability would transact, and if necessary, consider assumptions that market participants would use when pricing the asset or liability.</w:t>
      </w:r>
    </w:p>
    <w:p>
      <w:pPr>
        <w:spacing w:after="0" w:line="73"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The accounting guidance for fair value measurements establishes a three-level fair value hierarchy that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 Assets and liabilities are classified in their entirety within the fair value hierarchy based on the lowest level input that is significant to the fair value measurement. See Note 20 to our consolidated financial statements for additional information on the Company’s fair value measurements.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In March 2019, the SEC issued its Final Rule Release No. 33-10618, FAST Act Modernization and Simplification of Regulation S-K. The guidance in this Release revises certain disclosure requirements in SEC Regulation S-K, with the intent of improving the readability of filed documents and simplifying registrants' compliance efforts. The Company adopted certain aspects of this Release in the fourth quarter of fiscal 2019 which did not have a material impact on the consolidated financial statements. Other aspects not yet adopted are still being evaluated but are not expected to be material.</w:t>
      </w:r>
    </w:p>
    <w:p>
      <w:pPr>
        <w:spacing w:after="0" w:line="46"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 xml:space="preserve">The Company completed its assessment for the tax effects of the Tax Cuts and Jobs Act, or the 2017 Tax Act, under the guidance of Staff Accounting Bulletin No. 118, </w:t>
      </w:r>
      <w:r>
        <w:rPr>
          <w:rFonts w:ascii="Arial" w:cs="Arial" w:eastAsia="Arial" w:hAnsi="Arial"/>
          <w:sz w:val="17"/>
          <w:szCs w:val="17"/>
          <w:i w:val="1"/>
          <w:iCs w:val="1"/>
          <w:color w:val="auto"/>
        </w:rPr>
        <w:t>Income Tax Accounting Implications of the Tax Cuts and Jobs Act,</w:t>
      </w:r>
      <w:r>
        <w:rPr>
          <w:rFonts w:ascii="Arial" w:cs="Arial" w:eastAsia="Arial" w:hAnsi="Arial"/>
          <w:sz w:val="17"/>
          <w:szCs w:val="17"/>
          <w:color w:val="auto"/>
        </w:rPr>
        <w:t xml:space="preserve"> or SAB 118, during the third quarter of fiscal 2019. The Company recorded adjustments to previously recognized provisional estimates primarily related to the re-measurement effects on certain deferred tax balances. The completion of its assessment resulted in a reduction in the provision for income taxes during the third quarter of fiscal 2019. See Note 14 to the consolidated financial statements for further information regarding the impact of the 2017 Tax Act on fiscal 2019.</w:t>
      </w:r>
    </w:p>
    <w:p>
      <w:pPr>
        <w:spacing w:after="0" w:line="64"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 xml:space="preserve">In August 2018, the SEC adopted the final rule under SEC Release No. 33-10532, </w:t>
      </w: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amendments set forth certain presentation requirements, including that such analysis should present a reconciliation of the beginning balance to the ending balance of each period for which a statement of comprehensive income is required to be filed with all significant reconciling items described by appropriate captions with contributions from and distributions to owners shown separately. The amendments became effective on November 5, 2018 and did not have a material effect on the Company's consolidated financial statements for fiscal 2019. According to the SEC’s Questions and Answers of General Applicability Question 105.09 dated September 25, 2018 and updated October 4, 2018, the SEC would not object if the filer’s first presentation of the changes in stockholders’ equity is included in its Form 10-Q for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121" w:right="259" w:bottom="1440" w:gutter="0" w:footer="0" w:header="0"/>
        </w:sectPr>
      </w:pPr>
    </w:p>
    <w:bookmarkStart w:id="81" w:name="page82"/>
    <w:bookmarkEnd w:id="81"/>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quarter that begins after the effective date of the amendments. The Company will first present such changes beginning with the first quarter of fiscal 2020.</w:t>
      </w:r>
    </w:p>
    <w:p>
      <w:pPr>
        <w:spacing w:after="0" w:line="140"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 -Retirement Benefits -Defined Benefit Plans -General (Topic 715-20) -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-Changes to the Disclosure Requirement for Defined Benefit Plans. </w:t>
      </w:r>
      <w:r>
        <w:rPr>
          <w:rFonts w:ascii="Arial" w:cs="Arial" w:eastAsia="Arial" w:hAnsi="Arial"/>
          <w:sz w:val="18"/>
          <w:szCs w:val="18"/>
          <w:color w:val="auto"/>
        </w:rPr>
        <w:t>This guidance is designed to improve the effectiveness of disclosures by</w:t>
      </w:r>
      <w:r>
        <w:rPr>
          <w:rFonts w:ascii="Arial" w:cs="Arial" w:eastAsia="Arial" w:hAnsi="Arial"/>
          <w:sz w:val="18"/>
          <w:szCs w:val="18"/>
          <w:i w:val="1"/>
          <w:iCs w:val="1"/>
          <w:color w:val="auto"/>
        </w:rPr>
        <w:t xml:space="preserve"> </w:t>
      </w:r>
      <w:r>
        <w:rPr>
          <w:rFonts w:ascii="Arial" w:cs="Arial" w:eastAsia="Arial" w:hAnsi="Arial"/>
          <w:sz w:val="18"/>
          <w:szCs w:val="18"/>
          <w:color w:val="auto"/>
        </w:rPr>
        <w:t>removing and adding disclosures related to defined benefit plans. ASU 2018-14 is effective for reporting periods beginning after December 15, 2020 with early adoption permitted. In the fourth quarter of fiscal 2019 the Company early adopted this standard and adoption of this standard did not have a material impact on the consolidated financial statements.</w:t>
      </w:r>
    </w:p>
    <w:p>
      <w:pPr>
        <w:spacing w:after="0" w:line="8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xml:space="preserve"> This guidance eliminates the requirement to separately measure and report hedge ineffectiveness and generally requires, for qualifying hedges, the entire change in the fair value of a hedging instrument to be presented in the same income statement line as the hedged item. Additionally, the guidance also expands an entity's ability to apply hedge accounting for nonfinancial and financial risk components, simplifies the hedge documentation and hedge effectiveness assessment requirements, and modifies certain disclosure requirements. ASU 2017-12 is effective for reporting periods beginning after December 15, 2018, with early adoption permitted. In the fourth quarter of fiscal 2019 the Company early adopted this standard using the modified retrospective approach. The adoption of this standard did not have a material impact on the consolidated financial statements.</w:t>
      </w:r>
    </w:p>
    <w:p>
      <w:pPr>
        <w:spacing w:after="0" w:line="70" w:lineRule="exact"/>
        <w:rPr>
          <w:sz w:val="20"/>
          <w:szCs w:val="20"/>
          <w:color w:val="auto"/>
        </w:rPr>
      </w:pPr>
    </w:p>
    <w:p>
      <w:pPr>
        <w:jc w:val="both"/>
        <w:ind w:right="320" w:firstLine="405"/>
        <w:spacing w:after="0" w:line="302"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 Codification No.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(Topic 606). Topic 606, as amended, replaced existing revenue recognition standards by outlining a single set of comprehensive principles for</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recognizing revenue. The revenue standard also significantly expanded the disclosure requirements for revenue arrangements. Amendments to Topic 606 have generally focused on promoting a more consistent interpretation and application of the principles for recognizing revenue.</w:t>
      </w:r>
    </w:p>
    <w:p>
      <w:pPr>
        <w:spacing w:after="0" w:line="46"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Topic 606 was effective for the Company beginning on April 1, 2018 (i.e., beginning with the first quarter fiscal 2019 interim financial statements). The Company adopted the new revenue standard using the full retrospective transition method, which requires that it be applied to each prior reporting period presented and that the cumulative effect of applying the standard be recognized at the earliest period presented (i.e., April 1, 2016, the beginning of the first quarter of fiscal 2017). During fiscal 2018, the Company completed its assessment of the cumulative effect of adopting Topic 606 and assessed the impact to be immaterial as of the date of adoption. The cumulative impact on our retained earnings for the earliest period presented of April 1, 2016 was an increase of $2.9 million. Thereafter, the adoption of Topic 606 increased our fiscal 2017 retained earnings by $8.4 million and decreased our fiscal 2018 retained earnings by $3.4 million, resulting in a cumulative impact on our retained earnings of$7.9 million as of April 1, 2018. The impact of Topic 606 on fiscal 2017 and 2018 results may not be representative of the impact on subsequent years’ results.</w:t>
      </w:r>
    </w:p>
    <w:p>
      <w:pPr>
        <w:spacing w:after="0" w:line="71"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The Company also retrospectively adopted ASU 2017-07, which changed the presentation of net periodic benefit cost components on the condensed consolidated statement of operations. Under this guidance, the service cost component of net periodic benefit cost continues to be presented consistent with other employee compensation costs and within operating income, while the remaining components of net periodic benefit costs are excluded from operating income. As a result, net periodic benefit costs related to non-service components were reclassified to Other income (expense), net in the consolidated statement of operations for fiscal 2018 and 2017. See adoption impacts of ASU 2017-07 in the table below.</w:t>
      </w:r>
    </w:p>
    <w:p>
      <w:pPr>
        <w:spacing w:after="0" w:line="6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Company's previously issued consolidated financial statements have been adjusted for the retrospective adoption of both Topic 606 and ASU 2017-07, as summarized in the following table: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121" w:right="259" w:bottom="1440" w:gutter="0" w:footer="0" w:header="0"/>
        </w:sectPr>
      </w:pPr>
    </w:p>
    <w:bookmarkStart w:id="82" w:name="page83"/>
    <w:bookmarkEnd w:id="82"/>
    <w:p>
      <w:pPr>
        <w:jc w:val="center"/>
        <w:ind w:left="280" w:right="214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336"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Fiscal Year Ended March 31, 2018</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Fiscal Year Ended March 31, 2017</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Effect of Adoption</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Effect of Adoption</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As Reported</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41"/>
              <w:spacing w:after="0"/>
              <w:rPr>
                <w:sz w:val="20"/>
                <w:szCs w:val="20"/>
                <w:color w:val="auto"/>
              </w:rPr>
            </w:pPr>
            <w:r>
              <w:rPr>
                <w:rFonts w:ascii="Arial" w:cs="Arial" w:eastAsia="Arial" w:hAnsi="Arial"/>
                <w:sz w:val="14"/>
                <w:szCs w:val="14"/>
                <w:color w:val="auto"/>
                <w:w w:val="97"/>
              </w:rPr>
              <w:t>Topic 606</w:t>
            </w: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4"/>
                <w:szCs w:val="14"/>
                <w:color w:val="auto"/>
              </w:rPr>
              <w:t>ASU 2017-07</w:t>
            </w:r>
          </w:p>
        </w:tc>
        <w:tc>
          <w:tcPr>
            <w:tcW w:w="9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b w:val="1"/>
                <w:bCs w:val="1"/>
                <w:color w:val="auto"/>
                <w:w w:val="97"/>
              </w:rPr>
              <w:t>As Adjusted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As Reported</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1"/>
              <w:spacing w:after="0"/>
              <w:rPr>
                <w:sz w:val="20"/>
                <w:szCs w:val="20"/>
                <w:color w:val="auto"/>
              </w:rPr>
            </w:pPr>
            <w:r>
              <w:rPr>
                <w:rFonts w:ascii="Arial" w:cs="Arial" w:eastAsia="Arial" w:hAnsi="Arial"/>
                <w:sz w:val="14"/>
                <w:szCs w:val="14"/>
                <w:color w:val="auto"/>
                <w:w w:val="94"/>
              </w:rPr>
              <w:t>Topic 606</w:t>
            </w:r>
          </w:p>
        </w:tc>
        <w:tc>
          <w:tcPr>
            <w:tcW w:w="1080" w:type="dxa"/>
            <w:vAlign w:val="bottom"/>
            <w:shd w:val="clear" w:color="auto" w:fill="CCEEFF"/>
          </w:tcPr>
          <w:p>
            <w:pPr>
              <w:jc w:val="right"/>
              <w:ind w:right="100"/>
              <w:spacing w:after="0"/>
              <w:rPr>
                <w:sz w:val="20"/>
                <w:szCs w:val="20"/>
                <w:color w:val="auto"/>
              </w:rPr>
            </w:pPr>
            <w:r>
              <w:rPr>
                <w:rFonts w:ascii="Arial" w:cs="Arial" w:eastAsia="Arial" w:hAnsi="Arial"/>
                <w:sz w:val="14"/>
                <w:szCs w:val="14"/>
                <w:color w:val="auto"/>
              </w:rPr>
              <w:t>ASU 2017-07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2"/>
              </w:rPr>
              <w:t>6,171,853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(4,253)</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w w:val="92"/>
              </w:rPr>
              <w:t>6,167,600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2"/>
              </w:rPr>
              <w:t>5,804,284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5,207</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5,809,491</w:t>
            </w:r>
          </w:p>
        </w:tc>
        <w:tc>
          <w:tcPr>
            <w:tcW w:w="0" w:type="dxa"/>
            <w:vAlign w:val="bottom"/>
          </w:tcPr>
          <w:p>
            <w:pPr>
              <w:spacing w:after="0"/>
              <w:rPr>
                <w:sz w:val="1"/>
                <w:szCs w:val="1"/>
                <w:color w:val="auto"/>
              </w:rPr>
            </w:pPr>
          </w:p>
        </w:tc>
      </w:tr>
      <w:tr>
        <w:trPr>
          <w:trHeight w:val="33"/>
        </w:trPr>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9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Operating</w:t>
            </w: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520,085</w:t>
            </w: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(7,968)</w:t>
            </w:r>
          </w:p>
        </w:tc>
        <w:tc>
          <w:tcPr>
            <w:tcW w:w="10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7,606</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519,723</w:t>
            </w: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484,247</w:t>
            </w:r>
          </w:p>
        </w:tc>
        <w:tc>
          <w:tcPr>
            <w:tcW w:w="2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13,757</w:t>
            </w:r>
          </w:p>
        </w:tc>
        <w:tc>
          <w:tcPr>
            <w:tcW w:w="108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8,010</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506,014</w:t>
            </w:r>
          </w:p>
        </w:tc>
        <w:tc>
          <w:tcPr>
            <w:tcW w:w="0" w:type="dxa"/>
            <w:vAlign w:val="bottom"/>
          </w:tcPr>
          <w:p>
            <w:pPr>
              <w:spacing w:after="0"/>
              <w:rPr>
                <w:sz w:val="1"/>
                <w:szCs w:val="1"/>
                <w:color w:val="auto"/>
              </w:rPr>
            </w:pPr>
          </w:p>
        </w:tc>
      </w:tr>
      <w:tr>
        <w:trPr>
          <w:trHeight w:val="194"/>
        </w:trPr>
        <w:tc>
          <w:tcPr>
            <w:tcW w:w="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w:t>
            </w: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940" w:type="dxa"/>
            <w:vAlign w:val="bottom"/>
          </w:tcPr>
          <w:p>
            <w:pPr>
              <w:ind w:left="40"/>
              <w:spacing w:after="0" w:line="157" w:lineRule="exact"/>
              <w:rPr>
                <w:sz w:val="20"/>
                <w:szCs w:val="20"/>
                <w:color w:val="auto"/>
              </w:rPr>
            </w:pPr>
            <w:r>
              <w:rPr>
                <w:rFonts w:ascii="Arial" w:cs="Arial" w:eastAsia="Arial" w:hAnsi="Arial"/>
                <w:sz w:val="14"/>
                <w:szCs w:val="14"/>
                <w:color w:val="auto"/>
                <w:w w:val="98"/>
              </w:rPr>
              <w:t>Income before</w:t>
            </w:r>
          </w:p>
        </w:tc>
        <w:tc>
          <w:tcPr>
            <w:tcW w:w="1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438,004</w:t>
            </w:r>
          </w:p>
        </w:tc>
        <w:tc>
          <w:tcPr>
            <w:tcW w:w="260" w:type="dxa"/>
            <w:vAlign w:val="bottom"/>
          </w:tcPr>
          <w:p>
            <w:pPr>
              <w:spacing w:after="0"/>
              <w:rPr>
                <w:sz w:val="13"/>
                <w:szCs w:val="13"/>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(7,968)</w:t>
            </w:r>
          </w:p>
        </w:tc>
        <w:tc>
          <w:tcPr>
            <w:tcW w:w="104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430,036</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411,900</w:t>
            </w:r>
          </w:p>
        </w:tc>
        <w:tc>
          <w:tcPr>
            <w:tcW w:w="260" w:type="dxa"/>
            <w:vAlign w:val="bottom"/>
          </w:tcPr>
          <w:p>
            <w:pPr>
              <w:spacing w:after="0"/>
              <w:rPr>
                <w:sz w:val="13"/>
                <w:szCs w:val="13"/>
                <w:color w:val="auto"/>
              </w:rPr>
            </w:pP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13,757</w:t>
            </w:r>
          </w:p>
        </w:tc>
        <w:tc>
          <w:tcPr>
            <w:tcW w:w="108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425,657</w:t>
            </w:r>
          </w:p>
        </w:tc>
        <w:tc>
          <w:tcPr>
            <w:tcW w:w="0" w:type="dxa"/>
            <w:vAlign w:val="bottom"/>
          </w:tcPr>
          <w:p>
            <w:pPr>
              <w:spacing w:after="0"/>
              <w:rPr>
                <w:sz w:val="1"/>
                <w:szCs w:val="1"/>
                <w:color w:val="auto"/>
              </w:rPr>
            </w:pPr>
          </w:p>
        </w:tc>
      </w:tr>
      <w:tr>
        <w:trPr>
          <w:trHeight w:val="188"/>
        </w:trPr>
        <w:tc>
          <w:tcPr>
            <w:tcW w:w="940" w:type="dxa"/>
            <w:vAlign w:val="bottom"/>
          </w:tcPr>
          <w:p>
            <w:pPr>
              <w:ind w:left="4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305,111</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(3,419)</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301,692</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252,490</w:t>
            </w: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8,335</w:t>
            </w:r>
          </w:p>
        </w:tc>
        <w:tc>
          <w:tcPr>
            <w:tcW w:w="10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260,825</w:t>
            </w:r>
          </w:p>
        </w:tc>
        <w:tc>
          <w:tcPr>
            <w:tcW w:w="0" w:type="dxa"/>
            <w:vAlign w:val="bottom"/>
          </w:tcPr>
          <w:p>
            <w:pPr>
              <w:spacing w:after="0"/>
              <w:rPr>
                <w:sz w:val="1"/>
                <w:szCs w:val="1"/>
                <w:color w:val="auto"/>
              </w:rPr>
            </w:pPr>
          </w:p>
        </w:tc>
      </w:tr>
      <w:tr>
        <w:trPr>
          <w:trHeight w:val="197"/>
        </w:trPr>
        <w:tc>
          <w:tcPr>
            <w:tcW w:w="2920" w:type="dxa"/>
            <w:vAlign w:val="bottom"/>
            <w:gridSpan w:val="5"/>
          </w:tcPr>
          <w:p>
            <w:pPr>
              <w:ind w:left="40"/>
              <w:spacing w:after="0"/>
              <w:rPr>
                <w:sz w:val="20"/>
                <w:szCs w:val="20"/>
                <w:color w:val="auto"/>
              </w:rPr>
            </w:pPr>
            <w:r>
              <w:rPr>
                <w:rFonts w:ascii="Arial" w:cs="Arial" w:eastAsia="Arial" w:hAnsi="Arial"/>
                <w:sz w:val="14"/>
                <w:szCs w:val="14"/>
                <w:color w:val="auto"/>
              </w:rPr>
              <w:t>Earnings per common share (Note 4):</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(0.03)</w:t>
            </w:r>
          </w:p>
        </w:tc>
        <w:tc>
          <w:tcPr>
            <w:tcW w:w="10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0.05</w:t>
            </w:r>
          </w:p>
        </w:tc>
        <w:tc>
          <w:tcPr>
            <w:tcW w:w="10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37"/>
        </w:trPr>
        <w:tc>
          <w:tcPr>
            <w:tcW w:w="940" w:type="dxa"/>
            <w:vAlign w:val="bottom"/>
          </w:tcPr>
          <w:p>
            <w:pPr>
              <w:ind w:left="40"/>
              <w:spacing w:after="0"/>
              <w:rPr>
                <w:sz w:val="20"/>
                <w:szCs w:val="20"/>
                <w:color w:val="auto"/>
              </w:rPr>
            </w:pPr>
            <w:r>
              <w:rPr>
                <w:rFonts w:ascii="Arial" w:cs="Arial" w:eastAsia="Arial" w:hAnsi="Arial"/>
                <w:sz w:val="14"/>
                <w:szCs w:val="14"/>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(0.02)</w:t>
            </w:r>
          </w:p>
        </w:tc>
        <w:tc>
          <w:tcPr>
            <w:tcW w:w="10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0.05</w:t>
            </w: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That Is a Service Contract</w:t>
      </w:r>
      <w:r>
        <w:rPr>
          <w:rFonts w:ascii="Arial" w:cs="Arial" w:eastAsia="Arial" w:hAnsi="Arial"/>
          <w:sz w:val="16"/>
          <w:szCs w:val="16"/>
          <w:color w:val="auto"/>
        </w:rPr>
        <w:t>. This guidance requires a customer in a cloud computing arrangement that is a service contract to follow existing internal-use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guidance to determine which implementation costs to defer and recognize as an asset. ASU 2018-15 generally aligns the guidance on capitalizing implementation costs incurred in a cloud computing arrangement that is a service contract with that of implementation costs incurred to develop or obtain internal-use software, including hosting arrangements that include an internal-use software license. ASU 2018-15 is effective for interim reporting periods for fiscal years beginning after December 15, 2019. Early adoption is permitted. The standard may be adopted either retrospectively or prospectively. The Company is currently assessing the future impact of this update on its consolidated financial statements and related disclosures.</w:t>
      </w:r>
    </w:p>
    <w:p>
      <w:pPr>
        <w:spacing w:after="0" w:line="5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to increase transparency and comparability of accounting for lease transactions. The new leasing standard requires lessees to recognize lease assets and lease liabilities on their balance sheet for all leases with a lease term of greater than 12 months. Lessor accounting is largely unchanged. Topic 842 is effective for fiscal years beginning after December 15, 2018, with early adoption permitted. In July 2018, the FASB provided an alternative transition method of adoption through ASU No. 2018-11, Targeted Improvements, which permits the recognition of a cumulative-effect adjustment to retained earnings on the date of adoption. The Company will adopt the standard beginning in fiscal 2020 using the modified retrospective transition approach, specifically, using the alternative transition method provided by ASU 2018-11.</w:t>
      </w:r>
    </w:p>
    <w:p>
      <w:pPr>
        <w:spacing w:after="0" w:line="57"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A dedicated implementation team has substantially completed its evaluation of the impact of the new standard. The Company's assessment efforts to date have included reviewing the provisions of Topic 842, gathering information to evaluate its lease population and portfolio, evaluating the nature of real and personal property and other arrangements that may meet the definition of a lease, designing and implementing one-time implementation controls as well as new post-adoption lease processes and controls, implementing a new lease accounting software solution, and evaluating certain accounting policy elections. As a result of our evaluation, the Company identified changes to and modified certain of our accounting policies and practices. While some modifications were complex to design and test, the effect of such changes are not expected to be significant upon adoption of Topic 842. The Company will elect certain practical expedients provided under Topic 842, including the option not to apply lease recognition for short–term leases; an election to not separate lease from non-lease components; and a package of practical expedients such that, upon the initial adoption of Topic 842, the Company will not reassess whether expired or existing contracts contain leases, nor will the Company reassess the lease classification for expired or existing leases.</w:t>
      </w:r>
    </w:p>
    <w:p>
      <w:pPr>
        <w:spacing w:after="0" w:line="5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Company expects that upon adoption it will recognize a material right-of-use asset of approximately $270 million and a lease liability of approximately $330 million on the balance sheet, which is inclusive of required conforming balance sheet reclassifications. The Company does not expect the standard to have any other material impact on the consolidated financial statements or results of operations. Adoption of the standard is not expected to impact the Company’s ability to comply with the financial covenants as defined in the Credit Agreement discussed further in Note 12. The Company is continuing to refine its processes in order to meet the accounting and disclosure requirements upon adoption of Topic 842 in the first quarter of fiscal 2020.</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121" w:right="279" w:bottom="1440" w:gutter="0" w:footer="0" w:header="0"/>
        </w:sectPr>
      </w:pPr>
    </w:p>
    <w:bookmarkStart w:id="83" w:name="page84"/>
    <w:bookmarkEnd w:id="83"/>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Other recent accounting pronouncements issued during fiscal 2019 and through the filing date are not expected to have a material impact on the Company's present or historical consolidated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Company's revenues from contracts with customers (clients) are derived from offerings that include consulting, analytics, digital solutions, engineering,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 contracts, and fixed-price contracts.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Contract Type: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940" w:hanging="655"/>
        <w:spacing w:after="0" w:line="342" w:lineRule="auto"/>
        <w:tabs>
          <w:tab w:leader="none" w:pos="1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15" w:lineRule="exact"/>
        <w:rPr>
          <w:rFonts w:ascii="Arial" w:cs="Arial" w:eastAsia="Arial" w:hAnsi="Arial"/>
          <w:sz w:val="16"/>
          <w:szCs w:val="16"/>
          <w:color w:val="auto"/>
        </w:rPr>
      </w:pPr>
    </w:p>
    <w:p>
      <w:pPr>
        <w:ind w:left="1960" w:right="380" w:hanging="655"/>
        <w:spacing w:after="0" w:line="259" w:lineRule="auto"/>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78" w:lineRule="exact"/>
        <w:rPr>
          <w:rFonts w:ascii="Arial" w:cs="Arial" w:eastAsia="Arial" w:hAnsi="Arial"/>
          <w:sz w:val="18"/>
          <w:szCs w:val="18"/>
          <w:color w:val="auto"/>
        </w:rPr>
      </w:pPr>
    </w:p>
    <w:p>
      <w:pPr>
        <w:ind w:left="1960" w:right="220" w:hanging="655"/>
        <w:spacing w:after="0" w:line="264" w:lineRule="auto"/>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presents the total revenue for each type of contract:</w:t>
      </w:r>
    </w:p>
    <w:p>
      <w:pPr>
        <w:spacing w:after="0" w:line="163"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 March 31,</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64"/>
        </w:trPr>
        <w:tc>
          <w:tcPr>
            <w:tcW w:w="19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25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Cost-reimbursable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3,580,595</w:t>
            </w:r>
          </w:p>
        </w:tc>
        <w:tc>
          <w:tcPr>
            <w:tcW w:w="76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87"/>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3,155,049</w:t>
            </w:r>
          </w:p>
        </w:tc>
        <w:tc>
          <w:tcPr>
            <w:tcW w:w="7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51%</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2,882,178</w:t>
            </w:r>
          </w:p>
        </w:tc>
        <w:tc>
          <w:tcPr>
            <w:tcW w:w="7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50%</w:t>
            </w:r>
          </w:p>
        </w:tc>
      </w:tr>
      <w:tr>
        <w:trPr>
          <w:trHeight w:val="237"/>
        </w:trPr>
        <w:tc>
          <w:tcPr>
            <w:tcW w:w="1940" w:type="dxa"/>
            <w:vAlign w:val="bottom"/>
          </w:tcPr>
          <w:p>
            <w:pPr>
              <w:ind w:left="20"/>
              <w:spacing w:after="0"/>
              <w:rPr>
                <w:sz w:val="20"/>
                <w:szCs w:val="20"/>
                <w:color w:val="auto"/>
              </w:rPr>
            </w:pPr>
            <w:r>
              <w:rPr>
                <w:rFonts w:ascii="Arial" w:cs="Arial" w:eastAsia="Arial" w:hAnsi="Arial"/>
                <w:sz w:val="16"/>
                <w:szCs w:val="16"/>
                <w:color w:val="auto"/>
              </w:rPr>
              <w:t>Time-and-materials</w:t>
            </w:r>
          </w:p>
        </w:tc>
        <w:tc>
          <w:tcPr>
            <w:tcW w:w="280" w:type="dxa"/>
            <w:vAlign w:val="bottom"/>
          </w:tcPr>
          <w:p>
            <w:pPr>
              <w:spacing w:after="0"/>
              <w:rPr>
                <w:sz w:val="20"/>
                <w:szCs w:val="20"/>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1,576,673</w:t>
            </w:r>
          </w:p>
        </w:tc>
        <w:tc>
          <w:tcPr>
            <w:tcW w:w="760" w:type="dxa"/>
            <w:vAlign w:val="bottom"/>
          </w:tcPr>
          <w:p>
            <w:pPr>
              <w:jc w:val="center"/>
              <w:ind w:right="39"/>
              <w:spacing w:after="0"/>
              <w:rPr>
                <w:sz w:val="20"/>
                <w:szCs w:val="20"/>
                <w:color w:val="auto"/>
              </w:rPr>
            </w:pPr>
            <w:r>
              <w:rPr>
                <w:rFonts w:ascii="Arial" w:cs="Arial" w:eastAsia="Arial" w:hAnsi="Arial"/>
                <w:sz w:val="16"/>
                <w:szCs w:val="16"/>
                <w:color w:val="auto"/>
                <w:w w:val="87"/>
              </w:rPr>
              <w:t>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1,542,899</w:t>
            </w: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93"/>
              </w:rPr>
              <w:t>25%</w:t>
            </w:r>
          </w:p>
        </w:tc>
        <w:tc>
          <w:tcPr>
            <w:tcW w:w="40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1,500,851</w:t>
            </w: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93"/>
              </w:rPr>
              <w:t>26%</w:t>
            </w:r>
          </w:p>
        </w:tc>
      </w:tr>
      <w:tr>
        <w:trPr>
          <w:trHeight w:val="33"/>
        </w:trPr>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1,546,769</w:t>
            </w:r>
          </w:p>
        </w:tc>
        <w:tc>
          <w:tcPr>
            <w:tcW w:w="76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87"/>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1,469,652</w:t>
            </w:r>
          </w:p>
        </w:tc>
        <w:tc>
          <w:tcPr>
            <w:tcW w:w="7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24%</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1,426,462</w:t>
            </w:r>
          </w:p>
        </w:tc>
        <w:tc>
          <w:tcPr>
            <w:tcW w:w="7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24%</w:t>
            </w:r>
          </w:p>
        </w:tc>
      </w:tr>
      <w:tr>
        <w:trPr>
          <w:trHeight w:val="231"/>
        </w:trPr>
        <w:tc>
          <w:tcPr>
            <w:tcW w:w="19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6,704,037</w:t>
            </w:r>
          </w:p>
        </w:tc>
        <w:tc>
          <w:tcPr>
            <w:tcW w:w="7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color w:val="auto"/>
                <w:w w:val="87"/>
              </w:rPr>
              <w:t>100%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rPr>
              <w:t>6,167,600</w:t>
            </w:r>
          </w:p>
        </w:tc>
        <w:tc>
          <w:tcPr>
            <w:tcW w:w="76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color w:val="auto"/>
                <w:w w:val="92"/>
              </w:rPr>
              <w:t>100%</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5,809,491</w:t>
            </w:r>
          </w:p>
        </w:tc>
        <w:tc>
          <w:tcPr>
            <w:tcW w:w="76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color w:val="auto"/>
                <w:w w:val="92"/>
              </w:rPr>
              <w:t>100%</w:t>
            </w:r>
          </w:p>
        </w:tc>
      </w:tr>
    </w:tbl>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Revenue by Customer Type:</w:t>
      </w:r>
    </w:p>
    <w:p>
      <w:pPr>
        <w:spacing w:after="0" w:line="230"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1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 Ended March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19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government: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1980" w:type="dxa"/>
            <w:vAlign w:val="bottom"/>
          </w:tcPr>
          <w:p>
            <w:pPr>
              <w:ind w:left="20"/>
              <w:spacing w:after="0"/>
              <w:rPr>
                <w:sz w:val="20"/>
                <w:szCs w:val="20"/>
                <w:color w:val="auto"/>
              </w:rPr>
            </w:pPr>
            <w:r>
              <w:rPr>
                <w:rFonts w:ascii="Arial" w:cs="Arial" w:eastAsia="Arial" w:hAnsi="Arial"/>
                <w:sz w:val="16"/>
                <w:szCs w:val="16"/>
                <w:color w:val="auto"/>
              </w:rPr>
              <w:t>Defense Clients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3,114,571</w:t>
            </w: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93"/>
              </w:rPr>
              <w:t>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2,830,102</w:t>
            </w: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93"/>
              </w:rPr>
              <w:t>46%</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2,699,284</w:t>
            </w:r>
          </w:p>
        </w:tc>
        <w:tc>
          <w:tcPr>
            <w:tcW w:w="740" w:type="dxa"/>
            <w:vAlign w:val="bottom"/>
          </w:tcPr>
          <w:p>
            <w:pPr>
              <w:jc w:val="center"/>
              <w:ind w:right="39"/>
              <w:spacing w:after="0"/>
              <w:rPr>
                <w:sz w:val="20"/>
                <w:szCs w:val="20"/>
                <w:color w:val="auto"/>
              </w:rPr>
            </w:pPr>
            <w:r>
              <w:rPr>
                <w:rFonts w:ascii="Arial" w:cs="Arial" w:eastAsia="Arial" w:hAnsi="Arial"/>
                <w:sz w:val="16"/>
                <w:szCs w:val="16"/>
                <w:color w:val="auto"/>
                <w:w w:val="93"/>
              </w:rPr>
              <w:t>46%</w:t>
            </w:r>
          </w:p>
        </w:tc>
      </w:tr>
      <w:tr>
        <w:trPr>
          <w:trHeight w:val="33"/>
        </w:trPr>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Intelligence Clients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1,566,870</w:t>
            </w:r>
          </w:p>
        </w:tc>
        <w:tc>
          <w:tcPr>
            <w:tcW w:w="7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1,494,489</w:t>
            </w:r>
          </w:p>
        </w:tc>
        <w:tc>
          <w:tcPr>
            <w:tcW w:w="7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1,344,906</w:t>
            </w:r>
          </w:p>
        </w:tc>
        <w:tc>
          <w:tcPr>
            <w:tcW w:w="74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3"/>
              </w:rPr>
              <w:t>23%</w:t>
            </w:r>
          </w:p>
        </w:tc>
      </w:tr>
      <w:tr>
        <w:trPr>
          <w:trHeight w:val="237"/>
        </w:trPr>
        <w:tc>
          <w:tcPr>
            <w:tcW w:w="1980" w:type="dxa"/>
            <w:vAlign w:val="bottom"/>
          </w:tcPr>
          <w:p>
            <w:pPr>
              <w:ind w:left="20"/>
              <w:spacing w:after="0"/>
              <w:rPr>
                <w:sz w:val="20"/>
                <w:szCs w:val="20"/>
                <w:color w:val="auto"/>
              </w:rPr>
            </w:pPr>
            <w:r>
              <w:rPr>
                <w:rFonts w:ascii="Arial" w:cs="Arial" w:eastAsia="Arial" w:hAnsi="Arial"/>
                <w:sz w:val="16"/>
                <w:szCs w:val="16"/>
                <w:color w:val="auto"/>
              </w:rPr>
              <w:t>Civil Clients</w:t>
            </w:r>
          </w:p>
        </w:tc>
        <w:tc>
          <w:tcPr>
            <w:tcW w:w="280" w:type="dxa"/>
            <w:vAlign w:val="bottom"/>
          </w:tcPr>
          <w:p>
            <w:pPr>
              <w:spacing w:after="0"/>
              <w:rPr>
                <w:sz w:val="20"/>
                <w:szCs w:val="20"/>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1,760,996</w:t>
            </w: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93"/>
              </w:rPr>
              <w:t>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1,644,860</w:t>
            </w: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93"/>
              </w:rPr>
              <w:t>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1,611,309</w:t>
            </w:r>
          </w:p>
        </w:tc>
        <w:tc>
          <w:tcPr>
            <w:tcW w:w="740" w:type="dxa"/>
            <w:vAlign w:val="bottom"/>
          </w:tcPr>
          <w:p>
            <w:pPr>
              <w:jc w:val="center"/>
              <w:ind w:right="39"/>
              <w:spacing w:after="0"/>
              <w:rPr>
                <w:sz w:val="20"/>
                <w:szCs w:val="20"/>
                <w:color w:val="auto"/>
              </w:rPr>
            </w:pPr>
            <w:r>
              <w:rPr>
                <w:rFonts w:ascii="Arial" w:cs="Arial" w:eastAsia="Arial" w:hAnsi="Arial"/>
                <w:sz w:val="16"/>
                <w:szCs w:val="16"/>
                <w:color w:val="auto"/>
                <w:w w:val="93"/>
              </w:rPr>
              <w:t>28%</w:t>
            </w:r>
          </w:p>
        </w:tc>
      </w:tr>
      <w:tr>
        <w:trPr>
          <w:trHeight w:val="33"/>
        </w:trPr>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U.S. government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6,442,437</w:t>
            </w:r>
          </w:p>
        </w:tc>
        <w:tc>
          <w:tcPr>
            <w:tcW w:w="7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5,969,451</w:t>
            </w:r>
          </w:p>
        </w:tc>
        <w:tc>
          <w:tcPr>
            <w:tcW w:w="7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5,655,499</w:t>
            </w:r>
          </w:p>
        </w:tc>
        <w:tc>
          <w:tcPr>
            <w:tcW w:w="74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3"/>
              </w:rPr>
              <w:t>97%</w:t>
            </w:r>
          </w:p>
        </w:tc>
      </w:tr>
      <w:tr>
        <w:trPr>
          <w:trHeight w:val="237"/>
        </w:trPr>
        <w:tc>
          <w:tcPr>
            <w:tcW w:w="1980" w:type="dxa"/>
            <w:vAlign w:val="bottom"/>
          </w:tcPr>
          <w:p>
            <w:pPr>
              <w:ind w:left="20"/>
              <w:spacing w:after="0"/>
              <w:rPr>
                <w:sz w:val="20"/>
                <w:szCs w:val="20"/>
                <w:color w:val="auto"/>
              </w:rPr>
            </w:pPr>
            <w:r>
              <w:rPr>
                <w:rFonts w:ascii="Arial" w:cs="Arial" w:eastAsia="Arial" w:hAnsi="Arial"/>
                <w:sz w:val="16"/>
                <w:szCs w:val="16"/>
                <w:color w:val="auto"/>
              </w:rPr>
              <w:t>Global Commercial Clients</w:t>
            </w:r>
          </w:p>
        </w:tc>
        <w:tc>
          <w:tcPr>
            <w:tcW w:w="280" w:type="dxa"/>
            <w:vAlign w:val="bottom"/>
          </w:tcPr>
          <w:p>
            <w:pPr>
              <w:spacing w:after="0"/>
              <w:rPr>
                <w:sz w:val="20"/>
                <w:szCs w:val="20"/>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261,600</w:t>
            </w: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94"/>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21"/>
              <w:spacing w:after="0"/>
              <w:rPr>
                <w:sz w:val="20"/>
                <w:szCs w:val="20"/>
                <w:color w:val="auto"/>
              </w:rPr>
            </w:pPr>
            <w:r>
              <w:rPr>
                <w:rFonts w:ascii="Arial" w:cs="Arial" w:eastAsia="Arial" w:hAnsi="Arial"/>
                <w:sz w:val="16"/>
                <w:szCs w:val="16"/>
                <w:color w:val="auto"/>
              </w:rPr>
              <w:t>198,149</w:t>
            </w: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153,992</w:t>
            </w:r>
          </w:p>
        </w:tc>
        <w:tc>
          <w:tcPr>
            <w:tcW w:w="740" w:type="dxa"/>
            <w:vAlign w:val="bottom"/>
          </w:tcPr>
          <w:p>
            <w:pPr>
              <w:jc w:val="center"/>
              <w:ind w:right="39"/>
              <w:spacing w:after="0"/>
              <w:rPr>
                <w:sz w:val="20"/>
                <w:szCs w:val="20"/>
                <w:color w:val="auto"/>
              </w:rPr>
            </w:pPr>
            <w:r>
              <w:rPr>
                <w:rFonts w:ascii="Arial" w:cs="Arial" w:eastAsia="Arial" w:hAnsi="Arial"/>
                <w:sz w:val="16"/>
                <w:szCs w:val="16"/>
                <w:color w:val="auto"/>
                <w:w w:val="94"/>
              </w:rPr>
              <w:t>3%</w:t>
            </w:r>
          </w:p>
        </w:tc>
      </w:tr>
      <w:tr>
        <w:trPr>
          <w:trHeight w:val="33"/>
        </w:trPr>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6,704,037</w:t>
            </w:r>
          </w:p>
        </w:tc>
        <w:tc>
          <w:tcPr>
            <w:tcW w:w="76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6,167,600</w:t>
            </w:r>
          </w:p>
        </w:tc>
        <w:tc>
          <w:tcPr>
            <w:tcW w:w="76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5,809,491</w:t>
            </w:r>
          </w:p>
        </w:tc>
        <w:tc>
          <w:tcPr>
            <w:tcW w:w="7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2"/>
              </w:rPr>
              <w:t>100%</w:t>
            </w:r>
          </w:p>
        </w:tc>
      </w:tr>
      <w:tr>
        <w:trPr>
          <w:trHeight w:val="33"/>
        </w:trPr>
        <w:tc>
          <w:tcPr>
            <w:tcW w:w="1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84" w:name="page85"/>
    <w:bookmarkEnd w:id="84"/>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Whether the Company Acts as a Prime Contractor or a Sub-Contractor:</w:t>
      </w:r>
    </w:p>
    <w:p>
      <w:pPr>
        <w:spacing w:after="0" w:line="230" w:lineRule="exact"/>
        <w:rPr>
          <w:sz w:val="20"/>
          <w:szCs w:val="20"/>
          <w:color w:val="auto"/>
        </w:rPr>
      </w:pPr>
    </w:p>
    <w:tbl>
      <w:tblPr>
        <w:tblLayout w:type="fixed"/>
        <w:tblInd w:w="1520" w:type="dxa"/>
        <w:tblCellMar>
          <w:top w:w="0" w:type="dxa"/>
          <w:left w:w="0" w:type="dxa"/>
          <w:bottom w:w="0" w:type="dxa"/>
          <w:right w:w="0" w:type="dxa"/>
        </w:tblCellMar>
      </w:tblPr>
      <w:tr>
        <w:trPr>
          <w:trHeight w:val="192"/>
        </w:trPr>
        <w:tc>
          <w:tcPr>
            <w:tcW w:w="1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 Ended March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19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Contractor</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6,159,918</w:t>
            </w:r>
          </w:p>
        </w:tc>
        <w:tc>
          <w:tcPr>
            <w:tcW w:w="7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5,626,544</w:t>
            </w:r>
          </w:p>
        </w:tc>
        <w:tc>
          <w:tcPr>
            <w:tcW w:w="76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5,261,499</w:t>
            </w:r>
          </w:p>
        </w:tc>
        <w:tc>
          <w:tcPr>
            <w:tcW w:w="74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3"/>
              </w:rPr>
              <w:t>91%</w:t>
            </w:r>
          </w:p>
        </w:tc>
      </w:tr>
      <w:tr>
        <w:trPr>
          <w:trHeight w:val="237"/>
        </w:trPr>
        <w:tc>
          <w:tcPr>
            <w:tcW w:w="1980" w:type="dxa"/>
            <w:vAlign w:val="bottom"/>
          </w:tcPr>
          <w:p>
            <w:pPr>
              <w:ind w:left="20"/>
              <w:spacing w:after="0"/>
              <w:rPr>
                <w:sz w:val="20"/>
                <w:szCs w:val="20"/>
                <w:color w:val="auto"/>
              </w:rPr>
            </w:pPr>
            <w:r>
              <w:rPr>
                <w:rFonts w:ascii="Arial" w:cs="Arial" w:eastAsia="Arial" w:hAnsi="Arial"/>
                <w:sz w:val="16"/>
                <w:szCs w:val="16"/>
                <w:color w:val="auto"/>
              </w:rPr>
              <w:t>Sub-contractor</w:t>
            </w:r>
          </w:p>
        </w:tc>
        <w:tc>
          <w:tcPr>
            <w:tcW w:w="280" w:type="dxa"/>
            <w:vAlign w:val="bottom"/>
          </w:tcPr>
          <w:p>
            <w:pPr>
              <w:spacing w:after="0"/>
              <w:rPr>
                <w:sz w:val="20"/>
                <w:szCs w:val="20"/>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544,119</w:t>
            </w: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23"/>
              <w:spacing w:after="0"/>
              <w:rPr>
                <w:sz w:val="20"/>
                <w:szCs w:val="20"/>
                <w:color w:val="auto"/>
              </w:rPr>
            </w:pPr>
            <w:r>
              <w:rPr>
                <w:rFonts w:ascii="Arial" w:cs="Arial" w:eastAsia="Arial" w:hAnsi="Arial"/>
                <w:sz w:val="16"/>
                <w:szCs w:val="16"/>
                <w:color w:val="auto"/>
              </w:rPr>
              <w:t>541,056</w:t>
            </w:r>
          </w:p>
        </w:tc>
        <w:tc>
          <w:tcPr>
            <w:tcW w:w="760" w:type="dxa"/>
            <w:vAlign w:val="bottom"/>
          </w:tcPr>
          <w:p>
            <w:pPr>
              <w:jc w:val="center"/>
              <w:ind w:right="59"/>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547,992</w:t>
            </w:r>
          </w:p>
        </w:tc>
        <w:tc>
          <w:tcPr>
            <w:tcW w:w="740" w:type="dxa"/>
            <w:vAlign w:val="bottom"/>
          </w:tcPr>
          <w:p>
            <w:pPr>
              <w:jc w:val="center"/>
              <w:ind w:right="59"/>
              <w:spacing w:after="0"/>
              <w:rPr>
                <w:sz w:val="20"/>
                <w:szCs w:val="20"/>
                <w:color w:val="auto"/>
              </w:rPr>
            </w:pPr>
            <w:r>
              <w:rPr>
                <w:rFonts w:ascii="Arial" w:cs="Arial" w:eastAsia="Arial" w:hAnsi="Arial"/>
                <w:sz w:val="16"/>
                <w:szCs w:val="16"/>
                <w:color w:val="auto"/>
                <w:w w:val="86"/>
              </w:rPr>
              <w:t>9%</w:t>
            </w:r>
          </w:p>
        </w:tc>
      </w:tr>
      <w:tr>
        <w:trPr>
          <w:trHeight w:val="33"/>
        </w:trPr>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1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6,704,037</w:t>
            </w:r>
          </w:p>
        </w:tc>
        <w:tc>
          <w:tcPr>
            <w:tcW w:w="76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6,167,600</w:t>
            </w:r>
          </w:p>
        </w:tc>
        <w:tc>
          <w:tcPr>
            <w:tcW w:w="76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5,809,491</w:t>
            </w:r>
          </w:p>
        </w:tc>
        <w:tc>
          <w:tcPr>
            <w:tcW w:w="74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2"/>
              </w:rPr>
              <w:t>100%</w:t>
            </w:r>
          </w:p>
        </w:tc>
      </w:tr>
      <w:tr>
        <w:trPr>
          <w:trHeight w:val="33"/>
        </w:trPr>
        <w:tc>
          <w:tcPr>
            <w:tcW w:w="1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March 31, 2019, the Company had $5.8 billion of remaining performance obligations and we expect to recognize more than half of the remaining performance obligations as revenue over the next 12 months, and approximately three quarters over the next 24 months. The remainder is expected to be recognized thereafter.</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discussed in Note 2, 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results in net contract assets or liabilities being recognized at the end of each reporting period.</w:t>
      </w:r>
    </w:p>
    <w:p>
      <w:pPr>
        <w:spacing w:after="0" w:line="8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Contract assets primarily consist of unbilled receivables typically resulting from revenue recognized exceeding the amount billed to the customer and right to payment is not just subject to the passage of time. Contract liabilities primarily consist of advance payments, billings in excess of costs incurred and deferred revenue. Contract assets and liabilities are reported on a net contract basis at the end of each reporting period. The Company maintains an allowance for doubtful accounts to provide for an estimate of uncollected receivables. Refer to Note 7 for more information on receivables recognized from contracts accounted for under Topic 606.</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contract balances recognized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169545</wp:posOffset>
            </wp:positionV>
            <wp:extent cx="1663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69"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March 31,</w:t>
            </w:r>
          </w:p>
        </w:tc>
        <w:tc>
          <w:tcPr>
            <w:tcW w:w="24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31,</w:t>
            </w:r>
          </w:p>
        </w:tc>
      </w:tr>
      <w:tr>
        <w:trPr>
          <w:trHeight w:val="234"/>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846,372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738,646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61,391</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59,633</w:t>
            </w: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907,763</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798,279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2"/>
              </w:rPr>
              <w:t>Advance payments, billings in excess of costs incurred and 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27,522</w:t>
            </w:r>
          </w:p>
        </w:tc>
      </w:tr>
    </w:tbl>
    <w:p>
      <w:pPr>
        <w:spacing w:after="0" w:line="121"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Changes in contract assets and contract liabilities are primarily due to the timing difference between the Company’s performance of services and payments from customers. For fiscal 2019, 2018 and 2017, we recognized revenue of $25.3 million, $16.2 million and $10.5 million, respectively, related to our contract liabilities on April 1, 2018, 2017 and 2016,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121" w:right="259" w:bottom="1440" w:gutter="0" w:footer="0" w:header="0"/>
        </w:sectPr>
      </w:pPr>
    </w:p>
    <w:bookmarkStart w:id="85" w:name="page86"/>
    <w:bookmarkEnd w:id="85"/>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69"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paid in each quarter of fiscal 2019, 2018, and 2017.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Fiscal Year Ended March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2017</w:t>
            </w: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for basic computations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416,664</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299,824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258,495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Weighted-average Class A Common Stock outstanding</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141,910,799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145,964,574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148,218,968</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Total weighted-average common shares outstanding for basic computations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141,910,799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145,964,574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148,218,968</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Earnings for diluted computations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416,675</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299,837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258,514</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1,245,377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1,785,448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2,055,672</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w w:val="97"/>
              </w:rPr>
              <w:t>Average number of common shares outstanding for diluted computations</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143,156,176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147,750,022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150,274,640</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2.94</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1.74</w:t>
            </w:r>
          </w:p>
        </w:tc>
      </w:tr>
      <w:tr>
        <w:trPr>
          <w:trHeight w:val="67"/>
        </w:trPr>
        <w:tc>
          <w:tcPr>
            <w:tcW w:w="60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56"/>
        </w:trPr>
        <w:tc>
          <w:tcPr>
            <w:tcW w:w="60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8"/>
        <w:spacing w:after="0" w:line="293"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During fiscal 2019, 2018, and 2017 approximately 0.6 million, 0.8 million, and 1.3 million shares of participating securities were paid dividends totaling $0.6 million, $0.8 million, and $0.9 million, respectively. For fiscal 2019, there were undistributed earnings of $1.2 million allocated to the participating class of securities in both basic and diluted earnings per share. For fiscal 2018, there were undistributed earnings of $1.1 million allocated to the participating class of securities in both basic and diluted earnings per share. For fiscal 2017, there were undistributed earnings of $1.4 million allocated to the participating class of securities in both basic and diluted earnings per share. The allocated undistributed earnings and the dividends paid comprise the difference between net income presented on the consolidated statements of operations and earnings for basic and diluted computations for fiscal 2019, 2018, and 2017.</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The EPS calculation for fiscal 2019, 2018, and 2017 excludes 0.2 million, 0.3 million, and 0.05 million options, respectively, as their impact was anti-dilutive.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2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There were no material acquisitions or dispositions during fiscal 2019 and 2018 or through the period subsequent to the issuance of the current financial statements.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Fiscal 2017 Acquisition</w:t>
      </w:r>
    </w:p>
    <w:p>
      <w:pPr>
        <w:spacing w:after="0" w:line="117"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On January 24, 2017, the Company acquired eGov Holdings, Inc., which we refer to as Aquilent. As a result of the transaction, Aquilent became a wholly owned subsidiary of the Company. Aquilent is an architect of IT solutions for the U.S. Federal government. The acquisition further expands the Company's ability to blend its consulting heritage with advanced technical expertise.</w:t>
      </w:r>
    </w:p>
    <w:p>
      <w:pPr>
        <w:spacing w:after="0" w:line="73"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total purchase consideration paid at closing was $253.6 million. As part of the acquisition, the Company recorded the assets acquired and liabilities assumed at their acquisition date estimated fair value, with the difference between the fair value of the net assets acquired and the acquisition consideration reflected as goodwill. The following table represents the final allocation of fair value of assets acquired and liabilities assumed: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121" w:right="259" w:bottom="1440" w:gutter="0" w:footer="0" w:header="0"/>
        </w:sectPr>
      </w:pPr>
    </w:p>
    <w:bookmarkStart w:id="86" w:name="page87"/>
    <w:bookmarkEnd w:id="86"/>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680" w:type="dxa"/>
        <w:tblCellMar>
          <w:top w:w="0" w:type="dxa"/>
          <w:left w:w="0" w:type="dxa"/>
          <w:bottom w:w="0" w:type="dxa"/>
          <w:right w:w="0" w:type="dxa"/>
        </w:tblCellMar>
      </w:tblPr>
      <w:tr>
        <w:trPr>
          <w:trHeight w:val="270"/>
        </w:trPr>
        <w:tc>
          <w:tcPr>
            <w:tcW w:w="7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15,809</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Other tangible assets</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7"/>
        </w:trPr>
        <w:tc>
          <w:tcPr>
            <w:tcW w:w="7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Customer-relationship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69,000</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199,826</w:t>
            </w:r>
          </w:p>
        </w:tc>
      </w:tr>
      <w:tr>
        <w:trPr>
          <w:trHeight w:val="27"/>
        </w:trPr>
        <w:tc>
          <w:tcPr>
            <w:tcW w:w="7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r>
      <w:tr>
        <w:trPr>
          <w:trHeight w:val="243"/>
        </w:trPr>
        <w:tc>
          <w:tcPr>
            <w:tcW w:w="7840" w:type="dxa"/>
            <w:vAlign w:val="bottom"/>
          </w:tcPr>
          <w:p>
            <w:pPr>
              <w:ind w:left="40"/>
              <w:spacing w:after="0"/>
              <w:rPr>
                <w:sz w:val="20"/>
                <w:szCs w:val="20"/>
                <w:color w:val="auto"/>
              </w:rPr>
            </w:pPr>
            <w:r>
              <w:rPr>
                <w:rFonts w:ascii="Arial" w:cs="Arial" w:eastAsia="Arial" w:hAnsi="Arial"/>
                <w:sz w:val="18"/>
                <w:szCs w:val="18"/>
                <w:color w:val="auto"/>
              </w:rPr>
              <w:t>Tax liability</w:t>
            </w:r>
          </w:p>
        </w:tc>
        <w:tc>
          <w:tcPr>
            <w:tcW w:w="8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(13,554)</w:t>
            </w:r>
          </w:p>
        </w:tc>
      </w:tr>
      <w:tr>
        <w:trPr>
          <w:trHeight w:val="27"/>
        </w:trPr>
        <w:tc>
          <w:tcPr>
            <w:tcW w:w="7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uncertainty</w:t>
            </w:r>
          </w:p>
        </w:tc>
        <w:tc>
          <w:tcPr>
            <w:tcW w:w="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(10,221)</w:t>
            </w:r>
          </w:p>
        </w:tc>
      </w:tr>
      <w:tr>
        <w:trPr>
          <w:trHeight w:val="237"/>
        </w:trPr>
        <w:tc>
          <w:tcPr>
            <w:tcW w:w="7840" w:type="dxa"/>
            <w:vAlign w:val="bottom"/>
          </w:tcPr>
          <w:p>
            <w:pPr>
              <w:ind w:left="120"/>
              <w:spacing w:after="0"/>
              <w:rPr>
                <w:sz w:val="20"/>
                <w:szCs w:val="20"/>
                <w:color w:val="auto"/>
              </w:rPr>
            </w:pPr>
            <w:r>
              <w:rPr>
                <w:rFonts w:ascii="Arial" w:cs="Arial" w:eastAsia="Arial" w:hAnsi="Arial"/>
                <w:sz w:val="18"/>
                <w:szCs w:val="18"/>
                <w:color w:val="auto"/>
              </w:rPr>
              <w:t>Total purchase consideration transfer at closing</w:t>
            </w: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253,554</w:t>
            </w:r>
          </w:p>
        </w:tc>
      </w:tr>
    </w:tbl>
    <w:p>
      <w:pPr>
        <w:spacing w:after="0" w:line="13"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identifiable customer-relationship intangible assets of $69.0 million was valued using the excess earnings method discounted cash flow approach, incorporating Level 3 inputs as described under the fair value hierarchy of ASC 820 and it is being amortized over 12 years. An acquisition date tax of $13.6 million was relieved and paid during the first quarter of fiscal 2018. The Company continues to carry a related reserve of $10.2 million for income tax uncertainties created with the acquisition resulting from uncertainty in the sustainability of Aquilent's prior tax-return positions under examination with the relevant tax authorities. The goodwill of $199.8 million was primarily attributed to the specialized workforce and the expected synergies between the Company and Aquilent. The majority of the goodwill is expected to be deductible for tax purposes. Pro forma results of operations for this acquisition are not presented because it is not material to the Company's consolidated results.</w:t>
      </w:r>
    </w:p>
    <w:p>
      <w:pPr>
        <w:spacing w:after="0" w:line="201" w:lineRule="exact"/>
        <w:rPr>
          <w:sz w:val="20"/>
          <w:szCs w:val="20"/>
          <w:color w:val="auto"/>
        </w:rPr>
      </w:pPr>
    </w:p>
    <w:p>
      <w:pPr>
        <w:ind w:left="260" w:right="7860" w:hanging="252"/>
        <w:spacing w:after="0" w:line="346" w:lineRule="auto"/>
        <w:tabs>
          <w:tab w:leader="none" w:pos="197"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As of March 31, 2019 and 2018, goodwill was $1,581.2 million and $1,581.1 million, respectively.</w:t>
      </w:r>
    </w:p>
    <w:p>
      <w:pPr>
        <w:spacing w:after="0" w:line="90"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Company performed an annual impairment test of goodwill as of January 1, 2019 and 2018, and we did not identify any impairment.</w:t>
      </w:r>
    </w:p>
    <w:p>
      <w:pPr>
        <w:spacing w:after="0" w:line="90"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w:t>
      </w:r>
    </w:p>
    <w:p>
      <w:pPr>
        <w:spacing w:after="0" w:line="90"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2019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March 31, 2018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31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remaining period</w:t>
            </w: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of</w:t>
            </w: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78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78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3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310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years)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Amortizable intangible assets: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20"/>
        </w:trPr>
        <w:tc>
          <w:tcPr>
            <w:tcW w:w="3100" w:type="dxa"/>
            <w:vAlign w:val="bottom"/>
          </w:tcPr>
          <w:p>
            <w:pPr>
              <w:ind w:left="280"/>
              <w:spacing w:after="0"/>
              <w:rPr>
                <w:sz w:val="20"/>
                <w:szCs w:val="20"/>
                <w:color w:val="auto"/>
              </w:rPr>
            </w:pPr>
            <w:r>
              <w:rPr>
                <w:rFonts w:ascii="Arial" w:cs="Arial" w:eastAsia="Arial" w:hAnsi="Arial"/>
                <w:sz w:val="16"/>
                <w:szCs w:val="16"/>
                <w:color w:val="auto"/>
              </w:rPr>
              <w:t>Customer relationships and other</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3100" w:type="dxa"/>
            <w:vAlign w:val="bottom"/>
          </w:tcPr>
          <w:p>
            <w:pPr>
              <w:ind w:left="280"/>
              <w:spacing w:after="0"/>
              <w:rPr>
                <w:sz w:val="20"/>
                <w:szCs w:val="20"/>
                <w:color w:val="auto"/>
              </w:rPr>
            </w:pPr>
            <w:r>
              <w:rPr>
                <w:rFonts w:ascii="Arial" w:cs="Arial" w:eastAsia="Arial" w:hAnsi="Arial"/>
                <w:sz w:val="16"/>
                <w:szCs w:val="16"/>
                <w:color w:val="auto"/>
              </w:rPr>
              <w:t>amortizable intangible assets</w:t>
            </w: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8.8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115,814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60,762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55,052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115,808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45,036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70,772</w:t>
            </w:r>
          </w:p>
        </w:tc>
      </w:tr>
      <w:tr>
        <w:trPr>
          <w:trHeight w:val="33"/>
        </w:trPr>
        <w:tc>
          <w:tcPr>
            <w:tcW w:w="3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88,338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41,799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17,532</w:t>
            </w: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Total amortizable intangible assets</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7.5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204,152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107,301</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96,851</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174,859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86,555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88,304</w:t>
            </w:r>
          </w:p>
        </w:tc>
      </w:tr>
      <w:tr>
        <w:trPr>
          <w:trHeight w:val="33"/>
        </w:trPr>
        <w:tc>
          <w:tcPr>
            <w:tcW w:w="3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Unamortizable intangible assets: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280"/>
              <w:spacing w:after="0"/>
              <w:rPr>
                <w:sz w:val="20"/>
                <w:szCs w:val="20"/>
                <w:color w:val="auto"/>
              </w:rPr>
            </w:pPr>
            <w:r>
              <w:rPr>
                <w:rFonts w:ascii="Arial" w:cs="Arial" w:eastAsia="Arial" w:hAnsi="Arial"/>
                <w:sz w:val="16"/>
                <w:szCs w:val="16"/>
                <w:color w:val="auto"/>
              </w:rPr>
              <w:t>Trade name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190,200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190,200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190,200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190,200</w:t>
            </w:r>
          </w:p>
        </w:tc>
      </w:tr>
      <w:tr>
        <w:trPr>
          <w:trHeight w:val="33"/>
        </w:trPr>
        <w:tc>
          <w:tcPr>
            <w:tcW w:w="3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394,352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107,301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287,051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365,059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86,555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278,504</w:t>
            </w:r>
          </w:p>
        </w:tc>
      </w:tr>
      <w:tr>
        <w:trPr>
          <w:trHeight w:val="20"/>
        </w:trPr>
        <w:tc>
          <w:tcPr>
            <w:tcW w:w="3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Intangible assets, net include software purchased and developed that was reclassified from property plant and equipment as of March 31, 2019 and 2018, respectively. Intangible assets are generally amortized on an accelerated basis over periods ranging from 3 years to 12 years.</w:t>
      </w:r>
    </w:p>
    <w:p>
      <w:pPr>
        <w:spacing w:after="0" w:line="120"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Company performed an annual impairment test of the trade name as of January 1, 2019 and 2018, and did not identify any impairment. However, the Company recognized an impairment charge of $3.8 million in fiscal 2017 for acquired technology, customer relationships and other intangible assets associated with a historical business acquisition. During fiscal 2018, gross carrying value and accumulated amortization were reduced related to fully-amortized intangible assets.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1" w:right="239" w:bottom="1440" w:gutter="0" w:footer="0" w:header="0"/>
        </w:sectPr>
      </w:pPr>
    </w:p>
    <w:bookmarkStart w:id="87" w:name="page88"/>
    <w:bookmarkEnd w:id="87"/>
    <w:p>
      <w:pPr>
        <w:jc w:val="center"/>
        <w:ind w:left="360" w:right="20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expense for fiscal 2019, 2018, and 2017 was $20.9 million, $20.7 million, and $17.9 million, respectively.</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summarizes the estimated annual amortization expense for future periods, which does not reflect amortization expense for certain intangible assets that are not yet placed in service, as indicated below:</w:t>
      </w:r>
    </w:p>
    <w:p>
      <w:pPr>
        <w:spacing w:after="0" w:line="279"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9040" w:type="dxa"/>
            <w:vAlign w:val="bottom"/>
          </w:tcPr>
          <w:p>
            <w:pPr>
              <w:ind w:left="20"/>
              <w:spacing w:after="0"/>
              <w:rPr>
                <w:sz w:val="20"/>
                <w:szCs w:val="20"/>
                <w:color w:val="auto"/>
              </w:rPr>
            </w:pPr>
            <w:r>
              <w:rPr>
                <w:rFonts w:ascii="Arial" w:cs="Arial" w:eastAsia="Arial" w:hAnsi="Arial"/>
                <w:sz w:val="16"/>
                <w:szCs w:val="16"/>
                <w:b w:val="1"/>
                <w:bCs w:val="1"/>
                <w:color w:val="auto"/>
              </w:rPr>
              <w:t>For the Fiscal Year Ended March 31,</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18,863</w:t>
            </w:r>
          </w:p>
        </w:tc>
      </w:tr>
      <w:tr>
        <w:trPr>
          <w:trHeight w:val="224"/>
        </w:trPr>
        <w:tc>
          <w:tcPr>
            <w:tcW w:w="9040" w:type="dxa"/>
            <w:vAlign w:val="bottom"/>
          </w:tcPr>
          <w:p>
            <w:pPr>
              <w:ind w:left="20"/>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15,421</w:t>
            </w: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11,433</w:t>
            </w:r>
          </w:p>
        </w:tc>
      </w:tr>
      <w:tr>
        <w:trPr>
          <w:trHeight w:val="224"/>
        </w:trPr>
        <w:tc>
          <w:tcPr>
            <w:tcW w:w="9040" w:type="dxa"/>
            <w:vAlign w:val="bottom"/>
          </w:tcPr>
          <w:p>
            <w:pPr>
              <w:ind w:left="2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9,667</w:t>
            </w:r>
          </w:p>
        </w:tc>
      </w:tr>
      <w:tr>
        <w:trPr>
          <w:trHeight w:val="33"/>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6,401</w:t>
            </w:r>
          </w:p>
        </w:tc>
      </w:tr>
      <w:tr>
        <w:trPr>
          <w:trHeight w:val="224"/>
        </w:trPr>
        <w:tc>
          <w:tcPr>
            <w:tcW w:w="90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12,532</w:t>
            </w:r>
          </w:p>
        </w:tc>
      </w:tr>
      <w:tr>
        <w:trPr>
          <w:trHeight w:val="33"/>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estimated amortization expense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74,317</w:t>
            </w:r>
          </w:p>
        </w:tc>
      </w:tr>
      <w:tr>
        <w:trPr>
          <w:trHeight w:val="20"/>
        </w:trPr>
        <w:tc>
          <w:tcPr>
            <w:tcW w:w="9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20" w:right="6180" w:hanging="412"/>
        <w:spacing w:after="0" w:line="445" w:lineRule="auto"/>
        <w:tabs>
          <w:tab w:leader="none" w:pos="195"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OF ALLOWANCE </w:t>
      </w:r>
      <w:r>
        <w:rPr>
          <w:rFonts w:ascii="Arial" w:cs="Arial" w:eastAsia="Arial" w:hAnsi="Arial"/>
          <w:sz w:val="17"/>
          <w:szCs w:val="17"/>
          <w:color w:val="auto"/>
        </w:rPr>
        <w:t>Accounts receivable, net of allowance consisted of the following:</w:t>
      </w:r>
    </w:p>
    <w:p>
      <w:pPr>
        <w:spacing w:after="0" w:line="149" w:lineRule="exact"/>
        <w:rPr>
          <w:sz w:val="20"/>
          <w:szCs w:val="20"/>
          <w:color w:val="auto"/>
        </w:rPr>
      </w:pPr>
    </w:p>
    <w:tbl>
      <w:tblPr>
        <w:tblLayout w:type="fixed"/>
        <w:tblInd w:w="90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494,671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395,136</w:t>
            </w: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846,372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738,646</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 of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1,330,364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1,133,705</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59,633</w:t>
            </w:r>
          </w:p>
        </w:tc>
      </w:tr>
      <w:tr>
        <w:trPr>
          <w:trHeight w:val="237"/>
        </w:trPr>
        <w:tc>
          <w:tcPr>
            <w:tcW w:w="66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1,391,755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1,193,338</w:t>
            </w:r>
          </w:p>
        </w:tc>
      </w:tr>
      <w:tr>
        <w:trPr>
          <w:trHeight w:val="27"/>
        </w:trPr>
        <w:tc>
          <w:tcPr>
            <w:tcW w:w="6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Unbilled amounts represent revenues for which billings have not been presented to customers at year 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in the accompanying consolidated balance sheets. The Company recognized a provision for doubtful accounts (including certain unbilled reserves) of $11.9 million, $3.2 million, and $0.6 million for fiscal 2019, 2018, and 2017,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property and equipment, net were as follows:</w:t>
      </w:r>
    </w:p>
    <w:p>
      <w:pPr>
        <w:spacing w:after="0" w:line="311"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264"/>
        </w:trPr>
        <w:tc>
          <w:tcPr>
            <w:tcW w:w="7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174,298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164,061</w:t>
            </w: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96,028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79,629</w:t>
            </w:r>
          </w:p>
        </w:tc>
      </w:tr>
      <w:tr>
        <w:trPr>
          <w:trHeight w:val="27"/>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225,310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202,133</w:t>
            </w:r>
          </w:p>
        </w:tc>
      </w:tr>
      <w:tr>
        <w:trPr>
          <w:trHeight w:val="237"/>
        </w:trPr>
        <w:tc>
          <w:tcPr>
            <w:tcW w:w="724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495,636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445,823</w:t>
            </w:r>
          </w:p>
        </w:tc>
      </w:tr>
      <w:tr>
        <w:trPr>
          <w:trHeight w:val="27"/>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(323,183)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(293,459)</w:t>
            </w:r>
          </w:p>
        </w:tc>
      </w:tr>
      <w:tr>
        <w:trPr>
          <w:trHeight w:val="237"/>
        </w:trPr>
        <w:tc>
          <w:tcPr>
            <w:tcW w:w="7240" w:type="dxa"/>
            <w:vAlign w:val="bottom"/>
          </w:tcPr>
          <w:p>
            <w:pPr>
              <w:ind w:left="11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172,453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152,364</w:t>
            </w:r>
          </w:p>
        </w:tc>
      </w:tr>
      <w:tr>
        <w:trPr>
          <w:trHeight w:val="27"/>
        </w:trPr>
        <w:tc>
          <w:tcPr>
            <w:tcW w:w="7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Depreciation and amortization expense relating to property and equipment for fiscal 2019, 2018, and 2017 was $47.8 million, $44.3 million, and $42.3 million, respectively. During fiscal 2019 and 2018, the Company reduced the gross cost and</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00"/>
          </w:cols>
          <w:pgMar w:left="240" w:top="121" w:right="359" w:bottom="1440" w:gutter="0" w:footer="0" w:header="0"/>
        </w:sectPr>
      </w:pPr>
    </w:p>
    <w:bookmarkStart w:id="88" w:name="page89"/>
    <w:bookmarkEnd w:id="88"/>
    <w:p>
      <w:pPr>
        <w:jc w:val="center"/>
        <w:ind w:left="380" w:right="204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accumulated depreciation and amortization by $11.4 million and $15.5 million, respectively, for zero net book value assets deemed no longer in service.</w:t>
      </w:r>
    </w:p>
    <w:p>
      <w:pPr>
        <w:spacing w:after="0" w:line="352" w:lineRule="exact"/>
        <w:rPr>
          <w:sz w:val="20"/>
          <w:szCs w:val="20"/>
          <w:color w:val="auto"/>
        </w:rPr>
      </w:pPr>
    </w:p>
    <w:p>
      <w:pPr>
        <w:ind w:left="440" w:right="5560" w:hanging="432"/>
        <w:spacing w:after="0" w:line="445" w:lineRule="auto"/>
        <w:tabs>
          <w:tab w:leader="none" w:pos="188"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p>
      <w:pPr>
        <w:spacing w:after="0" w:line="149"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67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417,648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339,993</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247,300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217,566</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664,948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557,559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22 for further discussion of this reserve.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338" w:lineRule="exact"/>
        <w:rPr>
          <w:sz w:val="20"/>
          <w:szCs w:val="20"/>
          <w:color w:val="auto"/>
        </w:rPr>
      </w:pPr>
    </w:p>
    <w:tbl>
      <w:tblPr>
        <w:tblLayout w:type="fixed"/>
        <w:tblInd w:w="90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117,604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87,817</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37,678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35,743</w:t>
            </w: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141,953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131,519</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28,318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27,671</w:t>
            </w:r>
          </w:p>
        </w:tc>
      </w:tr>
      <w:tr>
        <w:trPr>
          <w:trHeight w:val="27"/>
        </w:trPr>
        <w:tc>
          <w:tcPr>
            <w:tcW w:w="6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325,553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282,750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DEFERRED PAYMENT OBLIGATION</w:t>
      </w:r>
    </w:p>
    <w:p>
      <w:pPr>
        <w:spacing w:after="0" w:line="12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Pursuant to an Agreement and Plan of Merger, or the Merger Agreement, dated as of May 15, 2008, and subsequently amended, The Carlyle Group indirectly acquired all of the issued and outstanding stock of the Company. In connection with this transaction, on July 31, 2008 the Company established a Deferred Payment Obligation, or DPO, of $158.0 million, payable 8.5 years after the Closing Date, or until settlement of all outstanding claims, less any settled claims. Pursuant to the Merger Agreement, $78.0 million of the $158.0 million DPO was required to be paid in full to the selling shareholders. On December 11, 2009, in connection with a recapitalization transaction, $100.4 million was paid to the selling shareholders, of which $78.0 million was the repayment of that portion of the DPO, with approximately $22.4 million representing accrued interest.</w:t>
      </w:r>
    </w:p>
    <w:p>
      <w:pPr>
        <w:spacing w:after="0" w:line="7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remaining $80.0 million is available to indemnify the Company for certain pre-acquisition tax contingencies, related interest and penalties, and other matters pursuant to the Merger Agreement. Any amounts remaining after the settlement of all claims will be paid out to the selling shareholders. Remaining potential claims outstanding that may be indemnified pursuant to the Merger Agreement relate to former officers and stockholders’ suits that are still in litigation (See Note 22 to our consolidated financial statements).</w:t>
      </w:r>
    </w:p>
    <w:p>
      <w:pPr>
        <w:spacing w:after="0" w:line="7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During fiscal 2019, the Company accrued interest at a rate of 5% per six-month period on the unpaid DPO balance, net of any settled claims or payments, which was $80.0 million as of March 31, 2019 and 2018. Accordingly, $81.3 million was recorded within other current liabilities as of March 31, 2019 and 2018, representing the residual balances estimated to be paid to the selling shareholders subject to any remaining potential claims based on consideration of accrued interest and other matters.</w:t>
      </w: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80"/>
          </w:cols>
          <w:pgMar w:left="240" w:top="121" w:right="379" w:bottom="1440" w:gutter="0" w:footer="0" w:header="0"/>
        </w:sectPr>
      </w:pPr>
    </w:p>
    <w:bookmarkStart w:id="89" w:name="page90"/>
    <w:bookmarkEnd w:id="89"/>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reconciliation of the principal balance of the DPO to the amount recorded in the consolidated balance sheets for the periods presented are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payment obligation:</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80,000</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104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1,311</w:t>
            </w:r>
          </w:p>
        </w:tc>
      </w:tr>
      <w:tr>
        <w:trPr>
          <w:trHeight w:val="27"/>
        </w:trPr>
        <w:tc>
          <w:tcPr>
            <w:tcW w:w="7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Amount recorded in the consolidated balance sheet</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81,304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81,311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paid $8.0 million in each of fiscal 2019 and 2018 of accrued interest to the selling shareholders.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March 31, 2018</w:t>
            </w:r>
          </w:p>
        </w:tc>
      </w:tr>
      <w:tr>
        <w:trPr>
          <w:trHeight w:val="152"/>
        </w:trPr>
        <w:tc>
          <w:tcPr>
            <w:tcW w:w="550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9"/>
              </w:rPr>
              <w:t>Outstanding</w:t>
            </w:r>
          </w:p>
        </w:tc>
      </w:tr>
      <w:tr>
        <w:trPr>
          <w:trHeight w:val="192"/>
        </w:trPr>
        <w:tc>
          <w:tcPr>
            <w:tcW w:w="55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Balance</w:t>
            </w: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1,037,713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1,094,275</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391,050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395,000</w:t>
            </w: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Less: Unamortized debt issuance costs and discount on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(19,002)</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(20,696)</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1,759,761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1,818,579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Less: Current portion of long-term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(57,924)</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(63,100)</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Long-term debt, net of current portion</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1,701,837</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1,755,479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Loans and Revolving Credit Facility</w:t>
      </w:r>
    </w:p>
    <w:p>
      <w:pPr>
        <w:spacing w:after="0" w:line="117" w:lineRule="exact"/>
        <w:rPr>
          <w:sz w:val="20"/>
          <w:szCs w:val="20"/>
          <w:color w:val="auto"/>
        </w:rPr>
      </w:pPr>
    </w:p>
    <w:p>
      <w:pPr>
        <w:ind w:right="40" w:firstLine="405"/>
        <w:spacing w:after="0" w:line="283" w:lineRule="auto"/>
        <w:rPr>
          <w:sz w:val="20"/>
          <w:szCs w:val="20"/>
          <w:color w:val="auto"/>
        </w:rPr>
      </w:pPr>
      <w:r>
        <w:rPr>
          <w:rFonts w:ascii="Arial" w:cs="Arial" w:eastAsia="Arial" w:hAnsi="Arial"/>
          <w:sz w:val="16"/>
          <w:szCs w:val="16"/>
          <w:color w:val="auto"/>
        </w:rPr>
        <w:t>On July 23, 2018 (the "Amendment Effective Date"), Booz Allen Hamilton Inc.("Booz Allen Hamilton") and Booz Allen Hamilton Investor Corporation ("Investor"), and certain wholly-owned subsidiaries of Booz Allen Hamilton, entered into the Sixth Amendment (the "Sixth Amendment") to the Credit Agreement (as amended, the "Credit Agreement"), dated as of July 31, 2012 among Booz Allen Hamilton, Investor, certain wholly owned subsidiaries of Booz Allen Hamilton and Bank of America, N.A., as Administrative Agent, Collateral Agent and Issuing Lender and the other lenders and financial institutions from time to time party thereto (as previously amended by the First Amendment to Credit Agreement, dated as of August 16, 2013, the Second Amendment to Credit Agreement, date as of May 7, 2014, the Third Amendment to the Credit Agreement, dated as of July 13, 2016, the Fourth Amendment to the Credit Agreement, dated as of February 6, 2017 and the Fifth Amendment to the Credit Agreement, dated as of March 7, 2018). The Sixth Amendment provides for a new delayed draw (the "Delayed Draw Facility") on the tranche A term loan ("Term Loan A") facility in the amount of up to $400.0 million and extended the maturity of the Term Loan A and the revolving credit facility (the "Revolving Credit Facility") to July 2023. Additionally, the Sixth Amendment reduced the interest rate spread applicable to Term Loan A and the Revolving Credit Facility from a range of 1.50% to 2.25% to a range of</w:t>
      </w:r>
    </w:p>
    <w:p>
      <w:pPr>
        <w:spacing w:after="0" w:line="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1.25% to 2.00% based on consolidated net leverage. The interest rate applicable to the Term Loan B ("Term Loan B" and, together with Term Loan A, the "Term Loans") remained unchanged.</w:t>
      </w:r>
    </w:p>
    <w:p>
      <w:pPr>
        <w:spacing w:after="0" w:line="76"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Prior to the Sixth Amendment, approximately $1,079.5 million was outstanding under Term Loan A. Pursuant to the Sixth Amendment, certain lenders converted their existing Term Loan A loans into a new tranche of Term Loan A loans in an aggregate amount, along with Term Loan A loans advanced by certain new lenders, of approximately $1,479.5 million, $400.0 million of which will be available as the Delayed Draw Facility. The Delayed Draw Facility is accessible for nine months from the Amendment Effective Date (the "Delayed Draw Availability Period"). The Company is able to draw on the facility up to two times during the Delayed Draw Availability Period in an amount per draw (x) of not less than $100.0 million per draw or (y) equal to the amount of unused commitments in respect of the Delayed Draw Facility remaining at the time of such borrowing. The proceeds from the new lenders were used to prepay in full all of the existing Term Loan A tranche. The proceeds of the Delayed Draw Facility will be used for general corporate purposes and other purposes not prohibited by the Credit Agreement.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121" w:right="259" w:bottom="1440" w:gutter="0" w:footer="0" w:header="0"/>
        </w:sectPr>
      </w:pPr>
    </w:p>
    <w:bookmarkStart w:id="90" w:name="page91"/>
    <w:bookmarkEnd w:id="90"/>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Prior to the Sixth Amendment, $500.0 million was available under the revolving credit facility. Pursuant to the Sixth Amendment, certain lenders under the Existing Credit Agreement converted their Existing Revolving Commitments into a new tranche of revolving commitments (the "New Revolving Commitments" and the revolving credit loans made thereunder, the "New Revolving Loans") in an aggregate amount, along with New Revolving Commitments of certain new lenders, of $500.0 million.</w:t>
      </w:r>
    </w:p>
    <w:p>
      <w:pPr>
        <w:spacing w:after="0" w:line="79"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As of March 31, 2019, the Credit Agreement provided the Company with a $1,037.7 million Term Loan A, a $400 million Delayed Draw Facility, and a $391.1 million Term Loan B and a $500.0 million revolving credit facility (the “Revolving Credit Facility”) with a sub-limit for letters of credit of $100.0 million. As of March 31, 2019, the maturity date of Term Loan A and the termination date for the Revolving Credit Facility was July 23, 2023 and the maturity date of Term Loan B was June 30, 2023.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Revolving Credit Facility may be expanded (or a new term loan facility or revolving credit facility added to the existing facilities) by up to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61" w:lineRule="exact"/>
        <w:rPr>
          <w:sz w:val="20"/>
          <w:szCs w:val="20"/>
          <w:color w:val="auto"/>
        </w:rPr>
      </w:pPr>
    </w:p>
    <w:p>
      <w:pPr>
        <w:ind w:right="24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at LIBOR (adjusted for maximum reserves, and subject to a floor of zero) for the applicable interest period or a base rate (equal to the highest of (x) the administrative agent’s prime corporate rate,</w:t>
      </w:r>
    </w:p>
    <w:p>
      <w:pPr>
        <w:ind w:firstLine="8"/>
        <w:spacing w:after="0" w:line="287" w:lineRule="auto"/>
        <w:tabs>
          <w:tab w:leader="none" w:pos="255"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2.00% for LIBOR loans and 1.00% for base rate loans. Unused commitments under the Revolving Credit Facility were, from the effective date of the Sixth Amendment until the delivery of financial statements for the first full fiscal quarter ending after the Sixth Amendment effective date pursuant to the Credit Agreement, subject to a quarterly fee of 0.25% and are, following such delivery of financial statements, subject to a quarterly fee ranging from 0.20% to 0.35% based on Booz Allen Hamilton’s consolidated total net leverage ratio. Until the Delayed Draw Facility was drawn down on April 23, 2019, commitments under the Delayed Draw Facility were subject to a quarterly fee ranging from 0.20% to 0.35% based on Booz Allen Hamilton's consolidated total net leverage ratio.</w:t>
      </w:r>
    </w:p>
    <w:p>
      <w:pPr>
        <w:spacing w:after="0" w:line="5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fiscal 2019 and 2018, Booz Allen Hamilton accessed a total of $110.0 million and $125.0 million, respectively, of its $500.0 million Revolving Credit Facility. As of March 31, 2019 and 2018, there was no outstanding balance on the Revolving Credit Facility.</w:t>
      </w:r>
    </w:p>
    <w:p>
      <w:pPr>
        <w:spacing w:after="0" w:line="73"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ind w:right="120" w:firstLine="8"/>
        <w:spacing w:after="0" w:line="269" w:lineRule="auto"/>
        <w:tabs>
          <w:tab w:leader="none" w:pos="30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91" w:name="page92"/>
    <w:bookmarkEnd w:id="91"/>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Consolidated Net Total Leverage and Consolidated Net Interest Coverage Ratios. As of March 31, 2019 and 2018, Booz Allen Hamilton was in compliance with all financial covenants associated with its debt and debt-like instruments.</w:t>
      </w:r>
    </w:p>
    <w:p>
      <w:pPr>
        <w:spacing w:after="0" w:line="6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During fiscal 2019, interest payments of $41.9 million and $16.8 million were made for Term Loan A and Term Loan B, respectively. During fiscal 2018, interest payments of $38.1 million and $14.9 million were made for Term Loan A and Term Loan B,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April 25, 2017, Booz Allen Hamilton issued $350 million aggregate principal amount of its 5.125% Senior Notes (the "Senior Notes"),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guarantee the Senior Notes on a senior unsecured basis.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 During fiscal 2019 and 2018, interest payments of $17.9 million and $9.3 million were made for the Senior Notes.</w:t>
      </w:r>
    </w:p>
    <w:p>
      <w:pPr>
        <w:spacing w:after="0" w:line="7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Borrowings under the Term Loans, and if used, the Revolving Credit Facility, incur interest at a variable rate. In accordance with Booz Allen Hamilton's risk management strategy, Booz Allen Hamilton executed a series of interest rate swaps. As of March 31, 2019, Booz Allen Hamilton had interest rate swaps with an aggregate notional amount of $600 million. These instruments hedge the variability of cash outflows for interest payments on the floating potion of the term loan debt. The Company's objectives in using cash flow hedges are to reduce volatility due to interest rate movements and to add stability to interest expense (See Note 13 in our consolidated financial statements).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required future debt principal repayments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Payments Due By March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23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2024</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$1,037,713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$53,974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89"/>
              </w:rPr>
              <w:t>$53,974</w:t>
            </w:r>
          </w:p>
        </w:tc>
        <w:tc>
          <w:tcPr>
            <w:tcW w:w="1480" w:type="dxa"/>
            <w:vAlign w:val="bottom"/>
            <w:tcBorders>
              <w:bottom w:val="single" w:sz="8" w:color="CCEEFF"/>
            </w:tcBorders>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89"/>
              </w:rPr>
              <w:t>$53,974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89"/>
              </w:rPr>
              <w:t>$53,974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$821,817</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391,050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3,950</w:t>
            </w:r>
          </w:p>
        </w:tc>
        <w:tc>
          <w:tcPr>
            <w:tcW w:w="120" w:type="dxa"/>
            <w:vAlign w:val="bottom"/>
          </w:tcPr>
          <w:p>
            <w:pPr>
              <w:spacing w:after="0"/>
              <w:rPr>
                <w:sz w:val="21"/>
                <w:szCs w:val="21"/>
                <w:color w:val="auto"/>
              </w:rPr>
            </w:pPr>
          </w:p>
        </w:tc>
        <w:tc>
          <w:tcPr>
            <w:tcW w:w="880" w:type="dxa"/>
            <w:vAlign w:val="bottom"/>
          </w:tcPr>
          <w:p>
            <w:pPr>
              <w:jc w:val="center"/>
              <w:ind w:left="293"/>
              <w:spacing w:after="0"/>
              <w:rPr>
                <w:sz w:val="20"/>
                <w:szCs w:val="20"/>
                <w:color w:val="auto"/>
              </w:rPr>
            </w:pPr>
            <w:r>
              <w:rPr>
                <w:rFonts w:ascii="Arial" w:cs="Arial" w:eastAsia="Arial" w:hAnsi="Arial"/>
                <w:sz w:val="18"/>
                <w:szCs w:val="18"/>
                <w:color w:val="auto"/>
                <w:w w:val="93"/>
              </w:rPr>
              <w:t>3,950</w:t>
            </w:r>
          </w:p>
        </w:tc>
        <w:tc>
          <w:tcPr>
            <w:tcW w:w="140" w:type="dxa"/>
            <w:vAlign w:val="bottom"/>
          </w:tcPr>
          <w:p>
            <w:pPr>
              <w:spacing w:after="0"/>
              <w:rPr>
                <w:sz w:val="21"/>
                <w:szCs w:val="21"/>
                <w:color w:val="auto"/>
              </w:rPr>
            </w:pPr>
          </w:p>
        </w:tc>
        <w:tc>
          <w:tcPr>
            <w:tcW w:w="1480" w:type="dxa"/>
            <w:vAlign w:val="bottom"/>
            <w:gridSpan w:val="3"/>
          </w:tcPr>
          <w:p>
            <w:pPr>
              <w:jc w:val="center"/>
              <w:ind w:left="273"/>
              <w:spacing w:after="0"/>
              <w:rPr>
                <w:sz w:val="20"/>
                <w:szCs w:val="20"/>
                <w:color w:val="auto"/>
              </w:rPr>
            </w:pPr>
            <w:r>
              <w:rPr>
                <w:rFonts w:ascii="Arial" w:cs="Arial" w:eastAsia="Arial" w:hAnsi="Arial"/>
                <w:sz w:val="18"/>
                <w:szCs w:val="18"/>
                <w:color w:val="auto"/>
                <w:w w:val="88"/>
              </w:rPr>
              <w:t>3,950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center"/>
              <w:ind w:right="173"/>
              <w:spacing w:after="0"/>
              <w:rPr>
                <w:sz w:val="20"/>
                <w:szCs w:val="20"/>
                <w:color w:val="auto"/>
              </w:rPr>
            </w:pPr>
            <w:r>
              <w:rPr>
                <w:rFonts w:ascii="Arial" w:cs="Arial" w:eastAsia="Arial" w:hAnsi="Arial"/>
                <w:sz w:val="18"/>
                <w:szCs w:val="18"/>
                <w:color w:val="auto"/>
                <w:w w:val="93"/>
              </w:rPr>
              <w:t>3,950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89"/>
              </w:rPr>
              <w:t>375,250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350,000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4"/>
            <w:shd w:val="clear" w:color="auto" w:fill="CCEEFF"/>
          </w:tcPr>
          <w:p>
            <w:pPr>
              <w:jc w:val="center"/>
              <w:ind w:left="192"/>
              <w:spacing w:after="0"/>
              <w:rPr>
                <w:sz w:val="20"/>
                <w:szCs w:val="20"/>
                <w:color w:val="auto"/>
              </w:rPr>
            </w:pPr>
            <w:r>
              <w:rPr>
                <w:rFonts w:ascii="Arial" w:cs="Arial" w:eastAsia="Arial" w:hAnsi="Arial"/>
                <w:sz w:val="18"/>
                <w:szCs w:val="18"/>
                <w:color w:val="auto"/>
                <w:w w:val="89"/>
              </w:rPr>
              <w:t>350,000</w:t>
            </w:r>
          </w:p>
        </w:tc>
      </w:tr>
      <w:tr>
        <w:trPr>
          <w:trHeight w:val="237"/>
        </w:trPr>
        <w:tc>
          <w:tcPr>
            <w:tcW w:w="20" w:type="dxa"/>
            <w:vAlign w:val="bottom"/>
          </w:tcPr>
          <w:p>
            <w:pPr>
              <w:spacing w:after="0"/>
              <w:rPr>
                <w:sz w:val="20"/>
                <w:szCs w:val="20"/>
                <w:color w:val="auto"/>
              </w:rPr>
            </w:pPr>
          </w:p>
        </w:tc>
        <w:tc>
          <w:tcPr>
            <w:tcW w:w="2300" w:type="dxa"/>
            <w:vAlign w:val="bottom"/>
          </w:tcPr>
          <w:p>
            <w:pPr>
              <w:ind w:left="38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$1,778,763</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$57,924</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center"/>
              <w:ind w:left="153"/>
              <w:spacing w:after="0"/>
              <w:rPr>
                <w:sz w:val="20"/>
                <w:szCs w:val="20"/>
                <w:color w:val="auto"/>
              </w:rPr>
            </w:pPr>
            <w:r>
              <w:rPr>
                <w:rFonts w:ascii="Arial" w:cs="Arial" w:eastAsia="Arial" w:hAnsi="Arial"/>
                <w:sz w:val="18"/>
                <w:szCs w:val="18"/>
                <w:color w:val="auto"/>
                <w:w w:val="89"/>
              </w:rPr>
              <w:t>$57,924</w:t>
            </w:r>
          </w:p>
        </w:tc>
        <w:tc>
          <w:tcPr>
            <w:tcW w:w="1480" w:type="dxa"/>
            <w:vAlign w:val="bottom"/>
            <w:tcBorders>
              <w:top w:val="single" w:sz="8" w:color="auto"/>
            </w:tcBorders>
            <w:gridSpan w:val="3"/>
          </w:tcPr>
          <w:p>
            <w:pPr>
              <w:jc w:val="center"/>
              <w:ind w:left="253"/>
              <w:spacing w:after="0"/>
              <w:rPr>
                <w:sz w:val="20"/>
                <w:szCs w:val="20"/>
                <w:color w:val="auto"/>
              </w:rPr>
            </w:pPr>
            <w:r>
              <w:rPr>
                <w:rFonts w:ascii="Arial" w:cs="Arial" w:eastAsia="Arial" w:hAnsi="Arial"/>
                <w:sz w:val="18"/>
                <w:szCs w:val="18"/>
                <w:color w:val="auto"/>
                <w:w w:val="89"/>
              </w:rPr>
              <w:t>$57,924</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center"/>
              <w:ind w:right="173"/>
              <w:spacing w:after="0"/>
              <w:rPr>
                <w:sz w:val="20"/>
                <w:szCs w:val="20"/>
                <w:color w:val="auto"/>
              </w:rPr>
            </w:pPr>
            <w:r>
              <w:rPr>
                <w:rFonts w:ascii="Arial" w:cs="Arial" w:eastAsia="Arial" w:hAnsi="Arial"/>
                <w:sz w:val="18"/>
                <w:szCs w:val="18"/>
                <w:color w:val="auto"/>
                <w:w w:val="89"/>
              </w:rPr>
              <w:t>$57,924</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0"/>
              </w:rPr>
              <w:t>$1,197,067</w:t>
            </w: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$350,000</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5960" w:type="dxa"/>
            <w:vAlign w:val="bottom"/>
            <w:gridSpan w:val="7"/>
          </w:tcPr>
          <w:p>
            <w:pPr>
              <w:ind w:left="420"/>
              <w:spacing w:after="0"/>
              <w:rPr>
                <w:sz w:val="20"/>
                <w:szCs w:val="20"/>
                <w:color w:val="auto"/>
              </w:rPr>
            </w:pPr>
            <w:r>
              <w:rPr>
                <w:rFonts w:ascii="Arial" w:cs="Arial" w:eastAsia="Arial" w:hAnsi="Arial"/>
                <w:sz w:val="18"/>
                <w:szCs w:val="18"/>
                <w:color w:val="auto"/>
              </w:rPr>
              <w:t>Interest on debt and debt-like instruments consisted of the following:</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tcPr>
          <w:p>
            <w:pPr>
              <w:jc w:val="center"/>
              <w:ind w:right="550"/>
              <w:spacing w:after="0"/>
              <w:rPr>
                <w:sz w:val="20"/>
                <w:szCs w:val="20"/>
                <w:color w:val="auto"/>
              </w:rPr>
            </w:pPr>
            <w:r>
              <w:rPr>
                <w:rFonts w:ascii="Arial" w:cs="Arial" w:eastAsia="Arial" w:hAnsi="Arial"/>
                <w:sz w:val="14"/>
                <w:szCs w:val="14"/>
                <w:b w:val="1"/>
                <w:bCs w:val="1"/>
                <w:color w:val="auto"/>
                <w:w w:val="95"/>
              </w:rPr>
              <w:t>Fiscal Year Ended March 31,</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23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w w:val="83"/>
              </w:rPr>
              <w:t>2017</w:t>
            </w:r>
          </w:p>
        </w:tc>
        <w:tc>
          <w:tcPr>
            <w:tcW w:w="54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Term Loan A Interest Expense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42,043</w:t>
            </w:r>
          </w:p>
        </w:tc>
        <w:tc>
          <w:tcPr>
            <w:tcW w:w="36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37,575</w:t>
            </w:r>
          </w:p>
        </w:tc>
        <w:tc>
          <w:tcPr>
            <w:tcW w:w="860" w:type="dxa"/>
            <w:vAlign w:val="bottom"/>
            <w:tcBorders>
              <w:bottom w:val="single" w:sz="8" w:color="CCEEFF"/>
            </w:tcBorders>
            <w:gridSpan w:val="3"/>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28,646</w:t>
            </w:r>
          </w:p>
        </w:tc>
        <w:tc>
          <w:tcPr>
            <w:tcW w:w="5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w w:val="92"/>
              </w:rPr>
              <w:t>Term Loan B Interest Expense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8"/>
                <w:szCs w:val="18"/>
                <w:color w:val="auto"/>
              </w:rPr>
              <w:t>16,765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14,138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gridSpan w:val="3"/>
          </w:tcPr>
          <w:p>
            <w:pPr>
              <w:jc w:val="right"/>
              <w:ind w:right="34"/>
              <w:spacing w:after="0"/>
              <w:rPr>
                <w:sz w:val="20"/>
                <w:szCs w:val="20"/>
                <w:color w:val="auto"/>
              </w:rPr>
            </w:pPr>
            <w:r>
              <w:rPr>
                <w:rFonts w:ascii="Arial" w:cs="Arial" w:eastAsia="Arial" w:hAnsi="Arial"/>
                <w:sz w:val="18"/>
                <w:szCs w:val="18"/>
                <w:color w:val="auto"/>
              </w:rPr>
              <w:t>18,874</w:t>
            </w:r>
          </w:p>
        </w:tc>
        <w:tc>
          <w:tcPr>
            <w:tcW w:w="5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6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on Revolving Credit Facility</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751</w:t>
            </w:r>
          </w:p>
        </w:tc>
        <w:tc>
          <w:tcPr>
            <w:tcW w:w="5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w w:val="92"/>
              </w:rPr>
              <w:t>Senior Notes Interest Expense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8"/>
                <w:szCs w:val="18"/>
                <w:color w:val="auto"/>
              </w:rPr>
              <w:t>17,938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16,742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6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Deferred Payment Obligation Interest (1)</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7,993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7,993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7,985</w:t>
            </w:r>
          </w:p>
        </w:tc>
        <w:tc>
          <w:tcPr>
            <w:tcW w:w="54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5960" w:type="dxa"/>
            <w:vAlign w:val="bottom"/>
            <w:gridSpan w:val="7"/>
          </w:tcPr>
          <w:p>
            <w:pPr>
              <w:ind w:left="20"/>
              <w:spacing w:after="0"/>
              <w:rPr>
                <w:sz w:val="20"/>
                <w:szCs w:val="20"/>
                <w:color w:val="auto"/>
              </w:rPr>
            </w:pPr>
            <w:r>
              <w:rPr>
                <w:rFonts w:ascii="Arial" w:cs="Arial" w:eastAsia="Arial" w:hAnsi="Arial"/>
                <w:sz w:val="18"/>
                <w:szCs w:val="18"/>
                <w:color w:val="auto"/>
                <w:w w:val="96"/>
              </w:rPr>
              <w:t>Amortization of Debt Issuance Costs (DIC) and Original Issue Discount (OID)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8"/>
                <w:szCs w:val="18"/>
                <w:color w:val="auto"/>
              </w:rPr>
              <w:t>5,052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5,361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gridSpan w:val="3"/>
          </w:tcPr>
          <w:p>
            <w:pPr>
              <w:jc w:val="right"/>
              <w:ind w:right="34"/>
              <w:spacing w:after="0"/>
              <w:rPr>
                <w:sz w:val="20"/>
                <w:szCs w:val="20"/>
                <w:color w:val="auto"/>
              </w:rPr>
            </w:pPr>
            <w:r>
              <w:rPr>
                <w:rFonts w:ascii="Arial" w:cs="Arial" w:eastAsia="Arial" w:hAnsi="Arial"/>
                <w:sz w:val="18"/>
                <w:szCs w:val="18"/>
                <w:color w:val="auto"/>
              </w:rPr>
              <w:t>5,683</w:t>
            </w:r>
          </w:p>
        </w:tc>
        <w:tc>
          <w:tcPr>
            <w:tcW w:w="5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359</w:t>
            </w:r>
          </w:p>
        </w:tc>
        <w:tc>
          <w:tcPr>
            <w:tcW w:w="54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8"/>
                <w:szCs w:val="18"/>
                <w:color w:val="auto"/>
              </w:rPr>
              <w:t>89,517</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82,269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gridSpan w:val="3"/>
          </w:tcPr>
          <w:p>
            <w:pPr>
              <w:jc w:val="right"/>
              <w:ind w:right="34"/>
              <w:spacing w:after="0"/>
              <w:rPr>
                <w:sz w:val="20"/>
                <w:szCs w:val="20"/>
                <w:color w:val="auto"/>
              </w:rPr>
            </w:pPr>
            <w:r>
              <w:rPr>
                <w:rFonts w:ascii="Arial" w:cs="Arial" w:eastAsia="Arial" w:hAnsi="Arial"/>
                <w:sz w:val="18"/>
                <w:szCs w:val="18"/>
                <w:color w:val="auto"/>
              </w:rPr>
              <w:t>62,298</w:t>
            </w:r>
          </w:p>
        </w:tc>
        <w:tc>
          <w:tcPr>
            <w:tcW w:w="5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Interest payments on the deferred payment obligation are made twice a year in January and July. See Note 11 to our consolidated financial statements.</w:t>
      </w:r>
    </w:p>
    <w:p>
      <w:pPr>
        <w:spacing w:after="0" w:line="140" w:lineRule="exact"/>
        <w:rPr>
          <w:rFonts w:ascii="Arial" w:cs="Arial" w:eastAsia="Arial" w:hAnsi="Arial"/>
          <w:sz w:val="16"/>
          <w:szCs w:val="16"/>
          <w:color w:val="auto"/>
        </w:rPr>
      </w:pPr>
    </w:p>
    <w:p>
      <w:pPr>
        <w:ind w:right="80" w:firstLine="8"/>
        <w:spacing w:after="0" w:line="277"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DIC and OID on the Company's term loans are recorded as a reduction of long-term debt in the consolidated balance sheet and are amortized ratably over the life of the related debt using the effective rate method. DIC on the Company's Revolving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121" w:right="259" w:bottom="1440" w:gutter="0" w:footer="0" w:header="0"/>
        </w:sectPr>
      </w:pPr>
    </w:p>
    <w:bookmarkStart w:id="92" w:name="page93"/>
    <w:bookmarkEnd w:id="92"/>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 is recorded as a long-term asset on the consolidated balance sheet and amortized ratably over the term of the Revolving Credit Facility.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DERIVATIVES</w:t>
      </w:r>
    </w:p>
    <w:p>
      <w:pPr>
        <w:spacing w:after="0" w:line="12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to interest expense. During the third quarter of fiscal 2019, the Company entered into three forward starting floating-to-fixed interest rate swap agreements with three financial institutions with a start date of April 30, 2019, with an aggregate notional amount of $150 million. The aggregate notional amount of all interest rate swap agreements increased to $600 million as of March 31, 2019. The swaps have staggered maturities, ranging from June 30, 2021 to June 30, 2023. These swaps mature within the last tranche of the Company's floating rate debt (July 23, 2023).</w:t>
      </w:r>
    </w:p>
    <w:p>
      <w:pPr>
        <w:spacing w:after="0" w:line="7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7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Derivative instruments are recorded in the consolidated balance sheet on a gross basis at estimated fair value. As of March 31, 2019, $1.8 million, $0.6 million, $0.9 million, and $4.3 million were classified as other current assets, other long-term assets, other current liabilities, and other long-term liabilities, respectively, on the consolidated balance sheet. As of March 31, 2018, $0.7 million and $7.2 million were classified as other current assets and other long-term assets, respectively, on the consolidated balance sheet.</w:t>
      </w:r>
    </w:p>
    <w:p>
      <w:pPr>
        <w:spacing w:after="0" w:line="79"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For interest rate swaps designated as cash flow hedges, the changes in the fair value of derivatives is recorded in Accumulated Other Comprehensive Income, or AOCI, net of taxes, and is subsequently reclassified into interest expense in the period that the hedged forecasted interest payments are made on the Company's variable-rate debt. The effect of derivative instruments on the accompanying consolidated financial statements for fiscal years ended March 31, 2019 and 2018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Derivatives in Cash Flow</w:t>
            </w:r>
          </w:p>
        </w:tc>
        <w:tc>
          <w:tcPr>
            <w:tcW w:w="2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Amount of Gain or (Loss) Recognized in</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or Loss</w:t>
            </w:r>
          </w:p>
        </w:tc>
        <w:tc>
          <w:tcPr>
            <w:tcW w:w="2640" w:type="dxa"/>
            <w:vAlign w:val="bottom"/>
            <w:gridSpan w:val="4"/>
          </w:tcPr>
          <w:p>
            <w:pPr>
              <w:jc w:val="center"/>
              <w:ind w:right="68"/>
              <w:spacing w:after="0"/>
              <w:rPr>
                <w:sz w:val="20"/>
                <w:szCs w:val="20"/>
                <w:color w:val="auto"/>
              </w:rPr>
            </w:pPr>
            <w:r>
              <w:rPr>
                <w:rFonts w:ascii="Arial" w:cs="Arial" w:eastAsia="Arial" w:hAnsi="Arial"/>
                <w:sz w:val="14"/>
                <w:szCs w:val="14"/>
                <w:b w:val="1"/>
                <w:bCs w:val="1"/>
                <w:color w:val="auto"/>
                <w:w w:val="91"/>
              </w:rPr>
              <w:t>Amount of Gain or (Loss) Reclassified</w:t>
            </w:r>
          </w:p>
        </w:tc>
        <w:tc>
          <w:tcPr>
            <w:tcW w:w="2320" w:type="dxa"/>
            <w:vAlign w:val="bottom"/>
            <w:gridSpan w:val="2"/>
          </w:tcPr>
          <w:p>
            <w:pPr>
              <w:ind w:left="60"/>
              <w:spacing w:after="0"/>
              <w:rPr>
                <w:sz w:val="20"/>
                <w:szCs w:val="20"/>
                <w:color w:val="auto"/>
              </w:rPr>
            </w:pPr>
            <w:r>
              <w:rPr>
                <w:rFonts w:ascii="Arial" w:cs="Arial" w:eastAsia="Arial" w:hAnsi="Arial"/>
                <w:sz w:val="14"/>
                <w:szCs w:val="14"/>
                <w:b w:val="1"/>
                <w:bCs w:val="1"/>
                <w:color w:val="auto"/>
                <w:w w:val="99"/>
              </w:rPr>
              <w:t>Interest Expense on Consolidated</w:t>
            </w:r>
          </w:p>
        </w:tc>
        <w:tc>
          <w:tcPr>
            <w:tcW w:w="0" w:type="dxa"/>
            <w:vAlign w:val="bottom"/>
          </w:tcPr>
          <w:p>
            <w:pPr>
              <w:spacing w:after="0"/>
              <w:rPr>
                <w:sz w:val="1"/>
                <w:szCs w:val="1"/>
                <w:color w:val="auto"/>
              </w:rPr>
            </w:pPr>
          </w:p>
        </w:tc>
      </w:tr>
      <w:tr>
        <w:trPr>
          <w:trHeight w:val="144"/>
        </w:trPr>
        <w:tc>
          <w:tcPr>
            <w:tcW w:w="1960" w:type="dxa"/>
            <w:vAlign w:val="bottom"/>
          </w:tcPr>
          <w:p>
            <w:pPr>
              <w:ind w:left="40"/>
              <w:spacing w:after="0" w:line="145" w:lineRule="exact"/>
              <w:rPr>
                <w:sz w:val="20"/>
                <w:szCs w:val="20"/>
                <w:color w:val="auto"/>
              </w:rPr>
            </w:pPr>
            <w:r>
              <w:rPr>
                <w:rFonts w:ascii="Arial" w:cs="Arial" w:eastAsia="Arial" w:hAnsi="Arial"/>
                <w:sz w:val="14"/>
                <w:szCs w:val="14"/>
                <w:b w:val="1"/>
                <w:bCs w:val="1"/>
                <w:color w:val="auto"/>
              </w:rPr>
              <w:t>Hedging Relationships</w:t>
            </w:r>
          </w:p>
        </w:tc>
        <w:tc>
          <w:tcPr>
            <w:tcW w:w="300" w:type="dxa"/>
            <w:vAlign w:val="bottom"/>
          </w:tcPr>
          <w:p>
            <w:pPr>
              <w:spacing w:after="0"/>
              <w:rPr>
                <w:sz w:val="12"/>
                <w:szCs w:val="12"/>
                <w:color w:val="auto"/>
              </w:rPr>
            </w:pPr>
          </w:p>
        </w:tc>
        <w:tc>
          <w:tcPr>
            <w:tcW w:w="2260" w:type="dxa"/>
            <w:vAlign w:val="bottom"/>
            <w:gridSpan w:val="2"/>
          </w:tcPr>
          <w:p>
            <w:pPr>
              <w:jc w:val="center"/>
              <w:ind w:right="228"/>
              <w:spacing w:after="0" w:line="145" w:lineRule="exact"/>
              <w:rPr>
                <w:sz w:val="20"/>
                <w:szCs w:val="20"/>
                <w:color w:val="auto"/>
              </w:rPr>
            </w:pPr>
            <w:r>
              <w:rPr>
                <w:rFonts w:ascii="Arial" w:cs="Arial" w:eastAsia="Arial" w:hAnsi="Arial"/>
                <w:sz w:val="14"/>
                <w:szCs w:val="14"/>
                <w:b w:val="1"/>
                <w:bCs w:val="1"/>
                <w:color w:val="auto"/>
                <w:w w:val="97"/>
              </w:rPr>
              <w:t>AOCI on Derivative</w:t>
            </w:r>
          </w:p>
        </w:tc>
        <w:tc>
          <w:tcPr>
            <w:tcW w:w="1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360" w:type="dxa"/>
            <w:vAlign w:val="bottom"/>
            <w:gridSpan w:val="3"/>
          </w:tcPr>
          <w:p>
            <w:pPr>
              <w:jc w:val="center"/>
              <w:ind w:right="368"/>
              <w:spacing w:after="0" w:line="145" w:lineRule="exact"/>
              <w:rPr>
                <w:sz w:val="20"/>
                <w:szCs w:val="20"/>
                <w:color w:val="auto"/>
              </w:rPr>
            </w:pPr>
            <w:r>
              <w:rPr>
                <w:rFonts w:ascii="Arial" w:cs="Arial" w:eastAsia="Arial" w:hAnsi="Arial"/>
                <w:sz w:val="14"/>
                <w:szCs w:val="14"/>
                <w:b w:val="1"/>
                <w:bCs w:val="1"/>
                <w:color w:val="auto"/>
                <w:w w:val="97"/>
              </w:rPr>
              <w:t>from AOCI into Income</w:t>
            </w:r>
          </w:p>
        </w:tc>
        <w:tc>
          <w:tcPr>
            <w:tcW w:w="2320" w:type="dxa"/>
            <w:vAlign w:val="bottom"/>
            <w:gridSpan w:val="2"/>
          </w:tcPr>
          <w:p>
            <w:pPr>
              <w:ind w:left="320"/>
              <w:spacing w:after="0" w:line="145" w:lineRule="exact"/>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54"/>
        </w:trPr>
        <w:tc>
          <w:tcPr>
            <w:tcW w:w="19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9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Recognized in Income on</w:t>
            </w: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80" w:type="dxa"/>
            <w:vAlign w:val="bottom"/>
            <w:vMerge w:val="restart"/>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9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9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5"/>
                <w:szCs w:val="5"/>
                <w:color w:val="auto"/>
              </w:rPr>
            </w:pPr>
          </w:p>
        </w:tc>
        <w:tc>
          <w:tcPr>
            <w:tcW w:w="112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3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2019</w:t>
            </w:r>
          </w:p>
        </w:tc>
        <w:tc>
          <w:tcPr>
            <w:tcW w:w="9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1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Derivative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Interest rate swaps $</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(9,772)  $</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7,926</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Interest expense</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1,026</w:t>
            </w: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(89,517) $</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(82,269)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0" w:firstLine="405"/>
        <w:spacing w:after="0" w:line="308" w:lineRule="auto"/>
        <w:rPr>
          <w:sz w:val="20"/>
          <w:szCs w:val="20"/>
          <w:color w:val="auto"/>
        </w:rPr>
      </w:pPr>
      <w:r>
        <w:rPr>
          <w:rFonts w:ascii="Arial" w:cs="Arial" w:eastAsia="Arial" w:hAnsi="Arial"/>
          <w:sz w:val="17"/>
          <w:szCs w:val="17"/>
          <w:color w:val="auto"/>
        </w:rPr>
        <w:t>Over the next 12 months, the Company estimates that $0.9 million will be reclassified as a decrease to interest expense. Cash flows associated with periodic settlements of interest rate swaps will be classified as operating activities in the consolidated statement of cash flows.</w:t>
      </w:r>
    </w:p>
    <w:p>
      <w:pPr>
        <w:spacing w:after="0" w:line="38" w:lineRule="exact"/>
        <w:rPr>
          <w:sz w:val="20"/>
          <w:szCs w:val="20"/>
          <w:color w:val="auto"/>
        </w:rPr>
      </w:pPr>
    </w:p>
    <w:p>
      <w:pPr>
        <w:jc w:val="both"/>
        <w:ind w:right="300" w:firstLine="405"/>
        <w:spacing w:after="0" w:line="286" w:lineRule="auto"/>
        <w:rPr>
          <w:sz w:val="20"/>
          <w:szCs w:val="20"/>
          <w:color w:val="auto"/>
        </w:rPr>
      </w:pPr>
      <w:r>
        <w:rPr>
          <w:rFonts w:ascii="Arial" w:cs="Arial" w:eastAsia="Arial" w:hAnsi="Arial"/>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1" w:right="239" w:bottom="1440" w:gutter="0" w:footer="0" w:header="0"/>
        </w:sectPr>
      </w:pPr>
    </w:p>
    <w:bookmarkStart w:id="93" w:name="page94"/>
    <w:bookmarkEnd w:id="93"/>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December 22, 2017, Public Law No. 115-97, commonly referred to as the 2017 Tax Act, was enacted into law. The 2017 Tax Act included a number of changes to existing U.S. tax laws that impacted the Company, most notably a reduction of the U.S. corporate income tax rate from 35% to 21% effective January 1, 2018. In addition, as a result of the tax rate change, the Company remeasured certain deferred tax assets and liabilities based on the rates at which they are expected to reverse in the future, which is generally 21%.</w:t>
      </w:r>
    </w:p>
    <w:p>
      <w:pPr>
        <w:spacing w:after="0" w:line="79"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the third quarter of fiscal 2019 the Company completed its assessment for the income tax effects of the 2017 Tax Act, including true-up to all provisional amounts previously recorded, within the allowed one-year measurement period provided for under SAB118. Pursuant to SAB118, the Company finalized adjustments to provisional estimates as a reduction in the provision for income taxes of approximately $27.9 million that was primarily due to the measurement-period adjustment associated with an unbilled receivables methodology change effective as of March 31, 2018, which was approved by the IRS in the third quarter of fiscal 2019. All other adjustments to the provisional estimates that the Company recorded through the interim periods of fiscal 2019, such as the acceleration of depreciation and the limitation on the deductibility of certain executive compensation, were not material.</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income tax expense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Fiscal Year Ended March 31,</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2017</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34,019</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89,300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115,727</w:t>
            </w:r>
          </w:p>
        </w:tc>
      </w:tr>
      <w:tr>
        <w:trPr>
          <w:trHeight w:val="27"/>
        </w:trPr>
        <w:tc>
          <w:tcPr>
            <w:tcW w:w="5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24,273</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Foreign</w:t>
            </w:r>
          </w:p>
        </w:tc>
        <w:tc>
          <w:tcPr>
            <w:tcW w:w="11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13,617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10,014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3,874</w:t>
            </w:r>
          </w:p>
        </w:tc>
      </w:tr>
      <w:tr>
        <w:trPr>
          <w:trHeight w:val="27"/>
        </w:trPr>
        <w:tc>
          <w:tcPr>
            <w:tcW w:w="5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119,388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143,874</w:t>
            </w:r>
          </w:p>
        </w:tc>
      </w:tr>
      <w:tr>
        <w:trPr>
          <w:trHeight w:val="223"/>
        </w:trPr>
        <w:tc>
          <w:tcPr>
            <w:tcW w:w="5820" w:type="dxa"/>
            <w:vAlign w:val="bottom"/>
          </w:tcPr>
          <w:p>
            <w:pPr>
              <w:ind w:left="40"/>
              <w:spacing w:after="0"/>
              <w:rPr>
                <w:sz w:val="20"/>
                <w:szCs w:val="20"/>
                <w:color w:val="auto"/>
              </w:rPr>
            </w:pPr>
            <w:r>
              <w:rPr>
                <w:rFonts w:ascii="Arial" w:cs="Arial" w:eastAsia="Arial" w:hAnsi="Arial"/>
                <w:sz w:val="18"/>
                <w:szCs w:val="18"/>
                <w:color w:val="auto"/>
              </w:rPr>
              <w:t>Deferred</w:t>
            </w:r>
          </w:p>
        </w:tc>
        <w:tc>
          <w:tcPr>
            <w:tcW w:w="1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41"/>
        </w:trPr>
        <w:tc>
          <w:tcPr>
            <w:tcW w:w="5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Federal</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22,939</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(1,981)</w:t>
            </w:r>
          </w:p>
        </w:tc>
      </w:tr>
      <w:tr>
        <w:trPr>
          <w:trHeight w:val="27"/>
        </w:trPr>
        <w:tc>
          <w:tcPr>
            <w:tcW w:w="5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23,006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8,956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20,958</w:t>
            </w:r>
          </w:p>
        </w:tc>
      </w:tr>
      <w:tr>
        <w:trPr>
          <w:trHeight w:val="27"/>
        </w:trPr>
        <w:tc>
          <w:tcPr>
            <w:tcW w:w="5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96,874</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128,344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164,832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 reconciliation of the provision for income tax to the amount computed by applying the statutory federal income tax rate to income from continuing operations before income taxes for each of the three years ended March 31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Fiscal 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50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r>
      <w:tr>
        <w:trPr>
          <w:trHeight w:val="270"/>
        </w:trPr>
        <w:tc>
          <w:tcPr>
            <w:tcW w:w="5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9"/>
              </w:rPr>
              <w:t xml:space="preserve">Income tax expense computed at U.S. federal statutory rate </w:t>
            </w:r>
            <w:r>
              <w:rPr>
                <w:rFonts w:ascii="Arial" w:cs="Arial" w:eastAsia="Arial" w:hAnsi="Arial"/>
                <w:sz w:val="25"/>
                <w:szCs w:val="25"/>
                <w:color w:val="auto"/>
                <w:w w:val="99"/>
                <w:vertAlign w:val="superscript"/>
              </w:rPr>
              <w:t>(1)</w:t>
            </w:r>
          </w:p>
        </w:tc>
        <w:tc>
          <w:tcPr>
            <w:tcW w:w="2060" w:type="dxa"/>
            <w:vAlign w:val="bottom"/>
            <w:gridSpan w:val="2"/>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108,235</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135,667</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148,980</w:t>
            </w:r>
          </w:p>
        </w:tc>
      </w:tr>
      <w:tr>
        <w:trPr>
          <w:trHeight w:val="297"/>
        </w:trPr>
        <w:tc>
          <w:tcPr>
            <w:tcW w:w="5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(reductions) resulting from:</w:t>
            </w: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Changes in uncertain tax positions</w:t>
            </w: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State and local income taxes, net of federal tax</w:t>
            </w: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13,882</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Foreign income taxes, net of federal tax</w:t>
            </w: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10,758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2,518</w:t>
            </w:r>
          </w:p>
        </w:tc>
      </w:tr>
      <w:tr>
        <w:trPr>
          <w:trHeight w:val="27"/>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Meals and entertainment</w:t>
            </w: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Re-measurement of deferred taxes related to the Act</w:t>
            </w: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(27,908)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(9,107)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(10,777)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Federal tax credits</w:t>
            </w: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(4,402)</w:t>
            </w:r>
          </w:p>
        </w:tc>
      </w:tr>
      <w:tr>
        <w:trPr>
          <w:trHeight w:val="27"/>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Executive compensation -162(M)</w:t>
            </w:r>
          </w:p>
        </w:tc>
        <w:tc>
          <w:tcPr>
            <w:tcW w:w="10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r>
      <w:tr>
        <w:trPr>
          <w:trHeight w:val="243"/>
        </w:trPr>
        <w:tc>
          <w:tcPr>
            <w:tcW w:w="5020" w:type="dxa"/>
            <w:vAlign w:val="bottom"/>
          </w:tcPr>
          <w:p>
            <w:pPr>
              <w:ind w:left="720"/>
              <w:spacing w:after="0"/>
              <w:rPr>
                <w:sz w:val="20"/>
                <w:szCs w:val="20"/>
                <w:color w:val="auto"/>
              </w:rPr>
            </w:pPr>
            <w:r>
              <w:rPr>
                <w:rFonts w:ascii="Arial" w:cs="Arial" w:eastAsia="Arial" w:hAnsi="Arial"/>
                <w:sz w:val="18"/>
                <w:szCs w:val="18"/>
                <w:color w:val="auto"/>
              </w:rPr>
              <w:t>IRS audit settlement</w:t>
            </w: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2,324</w:t>
            </w:r>
          </w:p>
        </w:tc>
      </w:tr>
      <w:tr>
        <w:trPr>
          <w:trHeight w:val="237"/>
        </w:trPr>
        <w:tc>
          <w:tcPr>
            <w:tcW w:w="5020" w:type="dxa"/>
            <w:vAlign w:val="bottom"/>
          </w:tcPr>
          <w:p>
            <w:pPr>
              <w:ind w:left="1140"/>
              <w:spacing w:after="0"/>
              <w:rPr>
                <w:sz w:val="20"/>
                <w:szCs w:val="20"/>
                <w:color w:val="auto"/>
              </w:rPr>
            </w:pPr>
            <w:r>
              <w:rPr>
                <w:rFonts w:ascii="Arial" w:cs="Arial" w:eastAsia="Arial" w:hAnsi="Arial"/>
                <w:sz w:val="18"/>
                <w:szCs w:val="18"/>
                <w:color w:val="auto"/>
              </w:rPr>
              <w:t>Income tax expense from operations</w:t>
            </w:r>
          </w:p>
        </w:tc>
        <w:tc>
          <w:tcPr>
            <w:tcW w:w="1040" w:type="dxa"/>
            <w:vAlign w:val="bottom"/>
          </w:tcPr>
          <w:p>
            <w:pPr>
              <w:spacing w:after="0"/>
              <w:rPr>
                <w:sz w:val="20"/>
                <w:szCs w:val="20"/>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96,874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128,344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164,832</w:t>
            </w:r>
          </w:p>
        </w:tc>
      </w:tr>
      <w:tr>
        <w:trPr>
          <w:trHeight w:val="27"/>
        </w:trPr>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0"/>
        </w:trPr>
        <w:tc>
          <w:tcPr>
            <w:tcW w:w="5020" w:type="dxa"/>
            <w:vAlign w:val="bottom"/>
          </w:tcPr>
          <w:p>
            <w:pPr>
              <w:spacing w:after="0"/>
              <w:rPr>
                <w:sz w:val="24"/>
                <w:szCs w:val="24"/>
                <w:color w:val="auto"/>
              </w:rPr>
            </w:pPr>
          </w:p>
        </w:tc>
        <w:tc>
          <w:tcPr>
            <w:tcW w:w="2060" w:type="dxa"/>
            <w:vAlign w:val="bottom"/>
            <w:gridSpan w:val="2"/>
          </w:tcPr>
          <w:p>
            <w:pPr>
              <w:jc w:val="right"/>
              <w:ind w:right="1119"/>
              <w:spacing w:after="0"/>
              <w:rPr>
                <w:sz w:val="20"/>
                <w:szCs w:val="20"/>
                <w:color w:val="auto"/>
              </w:rPr>
            </w:pPr>
            <w:r>
              <w:rPr>
                <w:rFonts w:ascii="Arial" w:cs="Arial" w:eastAsia="Arial" w:hAnsi="Arial"/>
                <w:sz w:val="18"/>
                <w:szCs w:val="18"/>
                <w:color w:val="auto"/>
              </w:rPr>
              <w:t>F-26</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94" w:name="page95"/>
    <w:bookmarkEnd w:id="94"/>
    <w:p>
      <w:pPr>
        <w:jc w:val="center"/>
        <w:ind w:left="300" w:right="212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420" w:right="2880" w:hanging="412"/>
        <w:spacing w:after="0" w:line="483" w:lineRule="auto"/>
        <w:tabs>
          <w:tab w:leader="none" w:pos="27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U.S. federal statutory income tax rates for fiscal 2019, 2018 and 2017 are 21%, 31.5% and 35%, respectively. The significant components of the Company’s deferred income tax assets and liabilities were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2018</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59,569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53,322</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28,326</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7,785</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benefits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34,449</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3,362</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rent and tenant allowance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24,565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20,931</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Extended disability benefits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3,041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5,963</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State tax credits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13,420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9,822</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gross deferred income tax assets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181,448</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165,144</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Less: Valuation allowance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237"/>
        </w:trPr>
        <w:tc>
          <w:tcPr>
            <w:tcW w:w="7200" w:type="dxa"/>
            <w:vAlign w:val="bottom"/>
          </w:tcPr>
          <w:p>
            <w:pPr>
              <w:ind w:left="1460"/>
              <w:spacing w:after="0"/>
              <w:rPr>
                <w:sz w:val="20"/>
                <w:szCs w:val="20"/>
                <w:color w:val="auto"/>
              </w:rPr>
            </w:pPr>
            <w:r>
              <w:rPr>
                <w:rFonts w:ascii="Arial" w:cs="Arial" w:eastAsia="Arial" w:hAnsi="Arial"/>
                <w:sz w:val="18"/>
                <w:szCs w:val="18"/>
                <w:color w:val="auto"/>
              </w:rPr>
              <w:t>Total net deferred income tax assets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178,595</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163,771</w:t>
            </w:r>
          </w:p>
        </w:tc>
      </w:tr>
      <w:tr>
        <w:trPr>
          <w:trHeight w:val="27"/>
        </w:trPr>
        <w:tc>
          <w:tcPr>
            <w:tcW w:w="7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Unbilled receivables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(138,944)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(108,287)</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(60,694)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(57,020)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(3,264)</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4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(2,076)</w:t>
            </w:r>
          </w:p>
        </w:tc>
      </w:tr>
      <w:tr>
        <w:trPr>
          <w:trHeight w:val="27"/>
        </w:trPr>
        <w:tc>
          <w:tcPr>
            <w:tcW w:w="7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Internally developed software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deferred income tax liabilities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(211,833)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(171,045)</w:t>
            </w:r>
          </w:p>
        </w:tc>
      </w:tr>
      <w:tr>
        <w:trPr>
          <w:trHeight w:val="27"/>
        </w:trPr>
        <w:tc>
          <w:tcPr>
            <w:tcW w:w="7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deferred income tax asset (liability)</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(7,274)</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financial reporting earnings, future reversals of existing taxable temporary differences, projected future taxable income, as well as any tax planning strategies.</w:t>
      </w:r>
    </w:p>
    <w:p>
      <w:pPr>
        <w:spacing w:after="0" w:line="6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March 31, 2019, the Company has available federal, state, and foreign net operating loss ("NOL carryforwards") of $2.3 million, $0.4 million and $1.9 million, respectively, that may be applied against future taxable income. The net operating losses are primarily attributable to an acquisition and will begin to expire in fiscal 2037. A valuation allowance of $2.9 million related to net operating losses, has been recorded due to the uncertainty regarding the realization of the asset.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maintains reserves for uncertain tax positions related to unrecognized income tax benefits. These reserves involve considerable judgment and estimation and are evaluated by management based on the best information available including changes in tax laws and other information. As of March 31, 2019, 2018, and 2017, the Company has recorded $11.5 million, $11.8 million, and $11.6 million, respectively, of reserves for uncertain tax positions which includes potential tax benefits of $11.1 million, $11.6 million, and $1.4 million, respectively, that, when recognized, impact the effective tax rate.</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121" w:right="299" w:bottom="1440" w:gutter="0" w:footer="0" w:header="0"/>
        </w:sectPr>
      </w:pPr>
    </w:p>
    <w:bookmarkStart w:id="95" w:name="page96"/>
    <w:bookmarkEnd w:id="95"/>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amount of potential tax benefits for the periods presented is as follows:</w:t>
      </w:r>
    </w:p>
    <w:p>
      <w:pPr>
        <w:spacing w:after="0" w:line="338" w:lineRule="exact"/>
        <w:rPr>
          <w:sz w:val="20"/>
          <w:szCs w:val="20"/>
          <w:color w:val="auto"/>
        </w:rPr>
      </w:pPr>
    </w:p>
    <w:tbl>
      <w:tblPr>
        <w:tblLayout w:type="fixed"/>
        <w:tblInd w:w="70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3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11,608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1,449</w:t>
            </w: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Increases in prior year position</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127</w:t>
            </w:r>
          </w:p>
        </w:tc>
      </w:tr>
      <w:tr>
        <w:trPr>
          <w:trHeight w:val="27"/>
        </w:trPr>
        <w:tc>
          <w:tcPr>
            <w:tcW w:w="5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Increases in current year position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10,278</w:t>
            </w:r>
          </w:p>
        </w:tc>
      </w:tr>
      <w:tr>
        <w:trPr>
          <w:trHeight w:val="243"/>
        </w:trPr>
        <w:tc>
          <w:tcPr>
            <w:tcW w:w="5300" w:type="dxa"/>
            <w:vAlign w:val="bottom"/>
          </w:tcPr>
          <w:p>
            <w:pPr>
              <w:ind w:left="360"/>
              <w:spacing w:after="0"/>
              <w:rPr>
                <w:sz w:val="20"/>
                <w:szCs w:val="20"/>
                <w:color w:val="auto"/>
              </w:rPr>
            </w:pPr>
            <w:r>
              <w:rPr>
                <w:rFonts w:ascii="Arial" w:cs="Arial" w:eastAsia="Arial" w:hAnsi="Arial"/>
                <w:sz w:val="18"/>
                <w:szCs w:val="18"/>
                <w:color w:val="auto"/>
              </w:rPr>
              <w:t>Settlements with taxing authorities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Lapse of statute of limitations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37"/>
        </w:trPr>
        <w:tc>
          <w:tcPr>
            <w:tcW w:w="5300" w:type="dxa"/>
            <w:vAlign w:val="bottom"/>
          </w:tcPr>
          <w:p>
            <w:pPr>
              <w:ind w:left="700"/>
              <w:spacing w:after="0"/>
              <w:rPr>
                <w:sz w:val="20"/>
                <w:szCs w:val="20"/>
                <w:color w:val="auto"/>
              </w:rPr>
            </w:pPr>
            <w:r>
              <w:rPr>
                <w:rFonts w:ascii="Arial" w:cs="Arial" w:eastAsia="Arial" w:hAnsi="Arial"/>
                <w:sz w:val="18"/>
                <w:szCs w:val="18"/>
                <w:color w:val="auto"/>
              </w:rPr>
              <w:t>End of year</w:t>
            </w:r>
          </w:p>
        </w:tc>
        <w:tc>
          <w:tcPr>
            <w:tcW w:w="90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11,083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11,608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11,588</w:t>
            </w:r>
          </w:p>
        </w:tc>
      </w:tr>
      <w:tr>
        <w:trPr>
          <w:trHeight w:val="27"/>
        </w:trPr>
        <w:tc>
          <w:tcPr>
            <w:tcW w:w="5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Company recognized (released) accrued interest and penalties of $0.2 million, $0.1 million and $(9) thousand for fiscal 2019, 2018, and 2017, respectively, related to the reserves for uncertain tax positions in the income tax provision. Included in the total reserve for uncertain tax positions are accrued penalties and interest of approximately $0.4 million, $0.2 million and $0.1 million at March 31, 2019, 2018, and 2017, respectively.</w:t>
      </w:r>
    </w:p>
    <w:p>
      <w:pPr>
        <w:spacing w:after="0" w:line="57"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The Company is subject to taxation in the United States and various state and foreign jurisdictions. As of March 31, 2019, the Company's federal income tax returns and refund claims examination for fiscal years 2013 through 2015 has been completed by the IRS, resulting in an acceptance of the fully claimed amount of $10.9 million. The remaining jurisdictions' returns open for examination are not considered to be material.</w:t>
      </w:r>
    </w:p>
    <w:p>
      <w:pPr>
        <w:spacing w:after="0" w:line="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$11.4 million, net of associated tax benefits as of March 31, 2019. The Company has taken similar tax positions with respect to subsequent fiscal years, totaling in aggregate $27.4 million. As of March 31, 2019, the Company does not maintain reserves for any uncertain tax positions related to the contested tax benefits or the similar tax positions taken in the subsequent fiscal years. Given the Company's position on the recoverable nature of the state tax expense, it does not believe the resolution of these matters will have a material adverse effect on its results of operations, cash flows or financial condition.</w:t>
      </w:r>
    </w:p>
    <w:p>
      <w:pPr>
        <w:spacing w:after="0" w:line="269" w:lineRule="exact"/>
        <w:rPr>
          <w:sz w:val="20"/>
          <w:szCs w:val="20"/>
          <w:color w:val="auto"/>
        </w:rPr>
      </w:pPr>
    </w:p>
    <w:p>
      <w:pPr>
        <w:ind w:left="340" w:right="8640" w:hanging="332"/>
        <w:spacing w:after="0" w:line="378" w:lineRule="auto"/>
        <w:tabs>
          <w:tab w:leader="none" w:pos="286"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right="160" w:firstLine="405"/>
        <w:spacing w:after="0" w:line="255" w:lineRule="auto"/>
        <w:rPr>
          <w:sz w:val="20"/>
          <w:szCs w:val="20"/>
          <w:color w:val="auto"/>
        </w:rPr>
      </w:pPr>
      <w:r>
        <w:rPr>
          <w:rFonts w:ascii="Arial" w:cs="Arial" w:eastAsia="Arial" w:hAnsi="Arial"/>
          <w:sz w:val="18"/>
          <w:szCs w:val="18"/>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for fiscal 2019, 2018, and 2017 was $136.3 million, $126.9 million, and $116.6 million, respectively, and the Company-paid contributions were $130.9 million, $123.9 million, and $114.8 million, respectively.</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and other expenses. The Retired Officers' Bonus Plan is not salary related, but rather is based primarily on years of service. During fiscal 2017, the Company adopted a new plan which will provide for a one-time, lump sum retirement payment of one month’s salary when a vice-president retires from the Company, effective April 1, 2017. This is referred to as the Retired Vice-President Bonus Plan.</w:t>
      </w:r>
    </w:p>
    <w:p>
      <w:pPr>
        <w:spacing w:after="0" w:line="70"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5"/>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4,851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4,782</w:t>
            </w:r>
          </w:p>
        </w:tc>
      </w:tr>
      <w:tr>
        <w:trPr>
          <w:trHeight w:val="27"/>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9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3,052</w:t>
            </w:r>
          </w:p>
        </w:tc>
      </w:tr>
      <w:tr>
        <w:trPr>
          <w:trHeight w:val="237"/>
        </w:trPr>
        <w:tc>
          <w:tcPr>
            <w:tcW w:w="676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13,190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12,685</w:t>
            </w:r>
          </w:p>
        </w:tc>
      </w:tr>
      <w:tr>
        <w:trPr>
          <w:trHeight w:val="27"/>
        </w:trPr>
        <w:tc>
          <w:tcPr>
            <w:tcW w:w="6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income (expense), net in the accompanying consolidated statements of operations.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weighted-average discount rate used to determine the year-end benefit obligations was as follows:</w:t>
      </w:r>
    </w:p>
    <w:p>
      <w:pPr>
        <w:spacing w:after="0" w:line="230"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 Medical Plan</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Retired Officers’ Bonus Plan</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4.10%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Retired Vice Presidents' Bonus Plan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7"/>
        </w:trPr>
        <w:tc>
          <w:tcPr>
            <w:tcW w:w="6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Assumed healthcare cost trend rates for the Officer Medical Plan at March 31, 2019 and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Pre-65 initial rate</w:t>
            </w: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 cost trend rate assumed for next year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5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2027</w:t>
            </w:r>
          </w:p>
        </w:tc>
      </w:tr>
      <w:tr>
        <w:trPr>
          <w:trHeight w:val="399"/>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Post-65 initial rate</w:t>
            </w: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 cost trend rate assumed for next year</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5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8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that the rate reaches the ultimate trend rate</w:t>
            </w:r>
          </w:p>
        </w:tc>
        <w:tc>
          <w:tcPr>
            <w:tcW w:w="15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2027</w:t>
            </w:r>
          </w:p>
        </w:tc>
      </w:tr>
      <w:tr>
        <w:trPr>
          <w:trHeight w:val="27"/>
        </w:trPr>
        <w:tc>
          <w:tcPr>
            <w:tcW w:w="8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Total defined benefit plan expense, consisting of service, interest, and net actuarial gain associated with the Retired Officers' Bonus Plan was $0.7 million for fiscal 2019, 2018, and 2017. Benefits paid associated with the Retired Officers’ Bonus Plan were $0.8 million, $1.5 million, and $0.9 million for fiscal 2019, 2018, and 2017, respectively. The end-of-period benefit obligation of $3.7 million and $3.8 million as of March 31, 2019 and 2018, respectively, is included in postretirement obligations within other long-term liabilities in the accompanying consolidated balance sheets.</w:t>
      </w:r>
    </w:p>
    <w:p>
      <w:pPr>
        <w:spacing w:after="0" w:line="63"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Total defined benefit plan expense, consisting of service, interest, prior service cost, and net actuarial gain associated with the Retired Vice-President Bonus Plan was $0.2 million for fiscal 2019 and 2018. There was no defined benefit plan expense associated with the Retired Vice-President Bonus Plan for fiscal 2017. There were no benefits paid associated with the Retired Vice-President Bonus Plan for fiscal 2019, 2018, and 2017, respectively. The end-of-period benefit obligation associated with the Retired Vice-President Bonus Plan was $0.9 million as of March 31, 2019 and 2018, which are recorded as postretirement obligations within other long-term liabilities in the accompanying consolidated balance sheets.</w:t>
      </w:r>
    </w:p>
    <w:p>
      <w:pPr>
        <w:spacing w:after="0" w:line="64"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Other comprehensive loss for fiscal 2019 includes unrecognized gross actuarial gain and prior service cost of $13.9 million, reduced by taxes of $3.6 million, that has not yet been recognized in net periodic pension cost for fiscal 2019 for the Retired Officers’ Bonus Plan, the Officer Medical Plan, and the Retired Vice-President Bonus Plan. Other comprehensive loss for fiscal 2018 includes unrecognized gross actuarial gain and prior service cost of $2.7 million, reduced by taxes of $1.0 million, that has not yet been recognized in net periodic pension cost for fiscal 2018 for the Retired Officers’ Bonus Plan, the Officer Medical Plan, and the Retired Vice-President Bonus 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1" w:right="239" w:bottom="1440" w:gutter="0" w:footer="0" w:header="0"/>
        </w:sectPr>
      </w:pPr>
    </w:p>
    <w:bookmarkStart w:id="97" w:name="page98"/>
    <w:bookmarkEnd w:id="97"/>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the benefit obligation, plan assets, and funded status of the Officer Medical Plan were as follows: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Fiscal Year Ended March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the year</w:t>
            </w: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126,886</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118,089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114,008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10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4,851</w:t>
            </w:r>
          </w:p>
        </w:tc>
      </w:tr>
      <w:tr>
        <w:trPr>
          <w:trHeight w:val="27"/>
        </w:trPr>
        <w:tc>
          <w:tcPr>
            <w:tcW w:w="6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actuarial (gain) loss</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(13,885)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(2,219)</w:t>
            </w:r>
          </w:p>
        </w:tc>
      </w:tr>
      <w:tr>
        <w:trPr>
          <w:trHeight w:val="27"/>
        </w:trPr>
        <w:tc>
          <w:tcPr>
            <w:tcW w:w="6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37"/>
        </w:trPr>
        <w:tc>
          <w:tcPr>
            <w:tcW w:w="6060" w:type="dxa"/>
            <w:vAlign w:val="bottom"/>
          </w:tcPr>
          <w:p>
            <w:pPr>
              <w:ind w:left="700"/>
              <w:spacing w:after="0"/>
              <w:rPr>
                <w:sz w:val="20"/>
                <w:szCs w:val="20"/>
                <w:color w:val="auto"/>
              </w:rPr>
            </w:pPr>
            <w:r>
              <w:rPr>
                <w:rFonts w:ascii="Arial" w:cs="Arial" w:eastAsia="Arial" w:hAnsi="Arial"/>
                <w:sz w:val="18"/>
                <w:szCs w:val="18"/>
                <w:color w:val="auto"/>
              </w:rPr>
              <w:t>Benefit obligation, end of the year</w:t>
            </w:r>
          </w:p>
        </w:tc>
        <w:tc>
          <w:tcPr>
            <w:tcW w:w="100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120,341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126,886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118,089</w:t>
            </w:r>
          </w:p>
        </w:tc>
      </w:tr>
      <w:tr>
        <w:trPr>
          <w:trHeight w:val="27"/>
        </w:trPr>
        <w:tc>
          <w:tcPr>
            <w:tcW w:w="6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The net benefit obligation gain in fiscal 2019 was due mainly to the favorable medical cost experience in the past year as well as updates to demographic assumptions. The net benefit obligation loss in fiscal 2018 was due largely to a decrease in the discount rate and an updated outlook of higher future medical inflation offset by favorable medical cost experience in the past year. The net benefit obligation gain in fiscal 2017 was due to an increase in the discount rate as well as an update to mortality improvement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Fiscal 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Changes in plan assets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beginning of the year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Employer contributions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3,419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3,333</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Fair value of plan assets, end of the year</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As of March 31, 2019 and 2018, the unfunded status of the Officer Medical Plan was $120.2 million and $126.9 million, respectively, which is included in other long-term liabilities in the accompanying consolidated balance sheets.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Funded Status for Defined Benefit Plans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Generally, annual contributions are made at such times and in amounts as required by law and may, from time to time, exceed minimum funding requirements. The Retired Officers’ Bonus Plan and the Retired Vice-President Bonus Plan are unfunded plans and contributions are made as benefits are paid. As of March 31, 2019 and 2018, there were no plan assets for either the Retired Officers’ Bonus Plan or the Retired Vice-President Bonus Plan and therefore, the accumulated liability of $4.6 million and $4.7 million, respectively, is unfunded. The liability will be distributed in a lump-sum payment as each officer or vice-president retires.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121" w:right="2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9120" w:type="dxa"/>
            <w:vAlign w:val="bottom"/>
          </w:tcPr>
          <w:p>
            <w:pPr>
              <w:jc w:val="center"/>
              <w:ind w:left="1370"/>
              <w:spacing w:after="0"/>
              <w:rPr>
                <w:sz w:val="20"/>
                <w:szCs w:val="20"/>
                <w:color w:val="auto"/>
              </w:rPr>
            </w:pPr>
            <w:r>
              <w:rPr>
                <w:rFonts w:ascii="Arial" w:cs="Arial" w:eastAsia="Arial" w:hAnsi="Arial"/>
                <w:sz w:val="18"/>
                <w:szCs w:val="18"/>
                <w:b w:val="1"/>
                <w:bCs w:val="1"/>
                <w:color w:val="auto"/>
              </w:rPr>
              <w:t>BOOZ ALLEN HAMILTON HOLDING CORPORATION</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9120" w:type="dxa"/>
            <w:vAlign w:val="bottom"/>
          </w:tcPr>
          <w:p>
            <w:pPr>
              <w:jc w:val="center"/>
              <w:ind w:left="1390"/>
              <w:spacing w:after="0"/>
              <w:rPr>
                <w:sz w:val="20"/>
                <w:szCs w:val="20"/>
                <w:color w:val="auto"/>
              </w:rPr>
            </w:pPr>
            <w:r>
              <w:rPr>
                <w:rFonts w:ascii="Arial" w:cs="Arial" w:eastAsia="Arial" w:hAnsi="Arial"/>
                <w:sz w:val="18"/>
                <w:szCs w:val="18"/>
                <w:b w:val="1"/>
                <w:bCs w:val="1"/>
                <w:color w:val="auto"/>
              </w:rPr>
              <w:t>NOTES TO CONSOLIDATED FINANCIAL STATEMENTS</w:t>
            </w: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9120" w:type="dxa"/>
            <w:vAlign w:val="bottom"/>
          </w:tcPr>
          <w:p>
            <w:pPr>
              <w:jc w:val="center"/>
              <w:ind w:left="1370"/>
              <w:spacing w:after="0"/>
              <w:rPr>
                <w:sz w:val="20"/>
                <w:szCs w:val="20"/>
                <w:color w:val="auto"/>
              </w:rPr>
            </w:pPr>
            <w:r>
              <w:rPr>
                <w:rFonts w:ascii="Arial" w:cs="Arial" w:eastAsia="Arial" w:hAnsi="Arial"/>
                <w:sz w:val="18"/>
                <w:szCs w:val="18"/>
                <w:b w:val="1"/>
                <w:bCs w:val="1"/>
                <w:color w:val="auto"/>
                <w:w w:val="88"/>
              </w:rPr>
              <w:t>(Amounts in tables in thousands, except share and per share data or unless otherwise noted)</w:t>
            </w:r>
          </w:p>
        </w:tc>
        <w:tc>
          <w:tcPr>
            <w:tcW w:w="8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67"/>
        </w:trPr>
        <w:tc>
          <w:tcPr>
            <w:tcW w:w="420" w:type="dxa"/>
            <w:vAlign w:val="bottom"/>
          </w:tcPr>
          <w:p>
            <w:pPr>
              <w:spacing w:after="0"/>
              <w:rPr>
                <w:sz w:val="24"/>
                <w:szCs w:val="24"/>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The expected future medical benefit payments and related contributions are as follows:</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23"/>
        </w:trPr>
        <w:tc>
          <w:tcPr>
            <w:tcW w:w="954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6"/>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2020</w:t>
            </w:r>
          </w:p>
        </w:tc>
        <w:tc>
          <w:tcPr>
            <w:tcW w:w="9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3,688</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2021</w:t>
            </w:r>
          </w:p>
        </w:tc>
        <w:tc>
          <w:tcPr>
            <w:tcW w:w="912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4,013</w:t>
            </w:r>
          </w:p>
        </w:tc>
      </w:tr>
      <w:tr>
        <w:trPr>
          <w:trHeight w:val="27"/>
        </w:trPr>
        <w:tc>
          <w:tcPr>
            <w:tcW w:w="4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2022</w:t>
            </w:r>
          </w:p>
        </w:tc>
        <w:tc>
          <w:tcPr>
            <w:tcW w:w="9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4,403</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2023</w:t>
            </w:r>
          </w:p>
        </w:tc>
        <w:tc>
          <w:tcPr>
            <w:tcW w:w="912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5,231</w:t>
            </w:r>
          </w:p>
        </w:tc>
      </w:tr>
      <w:tr>
        <w:trPr>
          <w:trHeight w:val="27"/>
        </w:trPr>
        <w:tc>
          <w:tcPr>
            <w:tcW w:w="4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2024</w:t>
            </w:r>
          </w:p>
        </w:tc>
        <w:tc>
          <w:tcPr>
            <w:tcW w:w="9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5,743</w:t>
            </w:r>
          </w:p>
        </w:tc>
      </w:tr>
      <w:tr>
        <w:trPr>
          <w:trHeight w:val="243"/>
        </w:trPr>
        <w:tc>
          <w:tcPr>
            <w:tcW w:w="420" w:type="dxa"/>
            <w:vAlign w:val="bottom"/>
          </w:tcPr>
          <w:p>
            <w:pPr>
              <w:ind w:left="40"/>
              <w:spacing w:after="0"/>
              <w:rPr>
                <w:sz w:val="20"/>
                <w:szCs w:val="20"/>
                <w:color w:val="auto"/>
              </w:rPr>
            </w:pPr>
            <w:r>
              <w:rPr>
                <w:rFonts w:ascii="Arial" w:cs="Arial" w:eastAsia="Arial" w:hAnsi="Arial"/>
                <w:sz w:val="18"/>
                <w:szCs w:val="18"/>
                <w:color w:val="auto"/>
                <w:w w:val="89"/>
              </w:rPr>
              <w:t>2025</w:t>
            </w:r>
          </w:p>
        </w:tc>
        <w:tc>
          <w:tcPr>
            <w:tcW w:w="9120" w:type="dxa"/>
            <w:vAlign w:val="bottom"/>
          </w:tcPr>
          <w:p>
            <w:pPr>
              <w:ind w:left="20"/>
              <w:spacing w:after="0"/>
              <w:rPr>
                <w:sz w:val="20"/>
                <w:szCs w:val="20"/>
                <w:color w:val="auto"/>
              </w:rPr>
            </w:pPr>
            <w:r>
              <w:rPr>
                <w:rFonts w:ascii="Arial" w:cs="Arial" w:eastAsia="Arial" w:hAnsi="Arial"/>
                <w:sz w:val="18"/>
                <w:szCs w:val="18"/>
                <w:color w:val="auto"/>
              </w:rPr>
              <w:t>- 2029</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34,061</w:t>
            </w:r>
          </w:p>
        </w:tc>
      </w:tr>
    </w:tbl>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Long-term Disability Benefits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The accrued cost for these benefits was $11.6 million and $22.8 million at March 31, 2019 and 2018, respectively, and are presented in other long-term liabilities in the accompanying consolidated balance sheets.</w:t>
      </w:r>
    </w:p>
    <w:p>
      <w:pPr>
        <w:spacing w:after="0" w:line="80"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During the third quarter of fiscal 2019, the long-term disability plan was amended to make Medicare the first payer of eligible medical benefits, with any excess benefits becoming the obligation of the Company. The amendment caused a re-measurement of the plan liability during the period resulting in a reduction of $11.2 million recorded in general and administrative expenses.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established a non-qualified deferred compensation plan (the "Plan") for certain executives and other highly compensated employees that was effective in fiscal 2018. Pursuant to the Plan, participants are eligible to defer up to 100% of their incentive cash compensation on a tax deferred basis in excess of the IRS limits imposed on 401(k) plans. The assets of the plan are held in a consolidated trust and are subject to the claims of the Company's general creditors under federal and state laws in the event of insolvency. Consequently, the trust qualifies as a Rabbi trust for income tax purposes.</w:t>
      </w:r>
    </w:p>
    <w:p>
      <w:pPr>
        <w:spacing w:after="0" w:line="4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March 31, 2019, $3.2 million of plan investments and obligations were recorded in other long term assets and in other long term liabilities, respectively, in the condensed consolidated balance sheets, representing the fair value related to the deferred compensation plan. Adjustments to the fair value of the plan investments and obligations are recorded in operating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LOSS</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plans and interest rate swaps designated as cash flow hedges. The following table shows the changes in accumulated other comprehensive income (loss), net of tax:</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gridSpan w:val="4"/>
          </w:tcPr>
          <w:p>
            <w:pPr>
              <w:jc w:val="right"/>
              <w:spacing w:after="0"/>
              <w:rPr>
                <w:sz w:val="20"/>
                <w:szCs w:val="20"/>
                <w:color w:val="auto"/>
              </w:rPr>
            </w:pPr>
            <w:r>
              <w:rPr>
                <w:rFonts w:ascii="Arial" w:cs="Arial" w:eastAsia="Arial" w:hAnsi="Arial"/>
                <w:sz w:val="18"/>
                <w:szCs w:val="18"/>
                <w:b w:val="1"/>
                <w:bCs w:val="1"/>
                <w:color w:val="auto"/>
              </w:rPr>
              <w:t>Fiscal Year Ended March 31, 2019</w:t>
            </w:r>
          </w:p>
        </w:tc>
        <w:tc>
          <w:tcPr>
            <w:tcW w:w="104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65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Derivatives designated as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plans</w:t>
            </w:r>
          </w:p>
        </w:tc>
        <w:tc>
          <w:tcPr>
            <w:tcW w:w="260" w:type="dxa"/>
            <w:vAlign w:val="bottom"/>
          </w:tcPr>
          <w:p>
            <w:pPr>
              <w:spacing w:after="0"/>
              <w:rPr>
                <w:sz w:val="20"/>
                <w:szCs w:val="20"/>
                <w:color w:val="auto"/>
              </w:rPr>
            </w:pPr>
          </w:p>
        </w:tc>
        <w:tc>
          <w:tcPr>
            <w:tcW w:w="18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cash flow hedges</w:t>
            </w:r>
          </w:p>
        </w:tc>
        <w:tc>
          <w:tcPr>
            <w:tcW w:w="4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8"/>
              </w:rPr>
              <w:t>Totals</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 xml:space="preserve">Other comprehensive income (loss) before reclassifications </w:t>
            </w:r>
            <w:r>
              <w:rPr>
                <w:rFonts w:ascii="Arial" w:cs="Arial" w:eastAsia="Arial" w:hAnsi="Arial"/>
                <w:sz w:val="14"/>
                <w:szCs w:val="14"/>
                <w:color w:val="auto"/>
              </w:rPr>
              <w:t>(1)</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10,262</w:t>
            </w:r>
          </w:p>
        </w:tc>
        <w:tc>
          <w:tcPr>
            <w:tcW w:w="2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(6,945)</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3,317</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11,887</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(7,971)</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3,916</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(11,190)</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8"/>
        <w:spacing w:after="0" w:line="277"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benefits of $2.8 million for the fiscal year ended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60" w:type="dxa"/>
            <w:vAlign w:val="bottom"/>
            <w:gridSpan w:val="4"/>
          </w:tcPr>
          <w:p>
            <w:pPr>
              <w:jc w:val="right"/>
              <w:spacing w:after="0"/>
              <w:rPr>
                <w:sz w:val="20"/>
                <w:szCs w:val="20"/>
                <w:color w:val="auto"/>
              </w:rPr>
            </w:pPr>
            <w:r>
              <w:rPr>
                <w:rFonts w:ascii="Arial" w:cs="Arial" w:eastAsia="Arial" w:hAnsi="Arial"/>
                <w:sz w:val="18"/>
                <w:szCs w:val="18"/>
                <w:b w:val="1"/>
                <w:bCs w:val="1"/>
                <w:color w:val="auto"/>
              </w:rPr>
              <w:t>Fiscal Year Ended March 31, 2018</w:t>
            </w:r>
          </w:p>
        </w:tc>
        <w:tc>
          <w:tcPr>
            <w:tcW w:w="104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65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Derivatives designated as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plans</w:t>
            </w:r>
          </w:p>
        </w:tc>
        <w:tc>
          <w:tcPr>
            <w:tcW w:w="260" w:type="dxa"/>
            <w:vAlign w:val="bottom"/>
          </w:tcPr>
          <w:p>
            <w:pPr>
              <w:spacing w:after="0"/>
              <w:rPr>
                <w:sz w:val="20"/>
                <w:szCs w:val="20"/>
                <w:color w:val="auto"/>
              </w:rPr>
            </w:pPr>
          </w:p>
        </w:tc>
        <w:tc>
          <w:tcPr>
            <w:tcW w:w="18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cash flow hedges</w:t>
            </w:r>
          </w:p>
        </w:tc>
        <w:tc>
          <w:tcPr>
            <w:tcW w:w="4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8"/>
              </w:rPr>
              <w:t>Totals</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 xml:space="preserve">Other comprehensive income (loss) before reclassifications </w:t>
            </w:r>
            <w:r>
              <w:rPr>
                <w:rFonts w:ascii="Arial" w:cs="Arial" w:eastAsia="Arial" w:hAnsi="Arial"/>
                <w:sz w:val="14"/>
                <w:szCs w:val="14"/>
                <w:color w:val="auto"/>
              </w:rPr>
              <w:t>(2)</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(1,698)</w:t>
            </w: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4,993</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3,295</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4,993</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4,822</w:t>
            </w: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Reclassification of AOCI due to the 2017 Tax Act </w:t>
            </w:r>
            <w:r>
              <w:rPr>
                <w:rFonts w:ascii="Arial" w:cs="Arial" w:eastAsia="Arial" w:hAnsi="Arial"/>
                <w:sz w:val="14"/>
                <w:szCs w:val="14"/>
                <w:color w:val="auto"/>
              </w:rPr>
              <w:t>(3)</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(20,955)</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5,849</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(15,106)</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8"/>
        <w:spacing w:after="0" w:line="277"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expenses of $2.9 million for the fiscal year ended March 31, 2018.</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amount reclassified from accumulated other comprehensive income to retained earnings from the adoption of ASU 2018-02 in fiscal 2018.</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60" w:type="dxa"/>
            <w:vAlign w:val="bottom"/>
            <w:gridSpan w:val="13"/>
          </w:tcPr>
          <w:p>
            <w:pPr>
              <w:ind w:left="780"/>
              <w:spacing w:after="0"/>
              <w:rPr>
                <w:sz w:val="20"/>
                <w:szCs w:val="20"/>
                <w:color w:val="auto"/>
              </w:rPr>
            </w:pPr>
            <w:r>
              <w:rPr>
                <w:rFonts w:ascii="Arial" w:cs="Arial" w:eastAsia="Arial" w:hAnsi="Arial"/>
                <w:sz w:val="18"/>
                <w:szCs w:val="18"/>
                <w:b w:val="1"/>
                <w:bCs w:val="1"/>
                <w:color w:val="auto"/>
                <w:w w:val="92"/>
              </w:rPr>
              <w:t>Fiscal Year Ended March 31, 2017</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1940" w:type="dxa"/>
            <w:vAlign w:val="bottom"/>
            <w:gridSpan w:val="8"/>
          </w:tcPr>
          <w:p>
            <w:pPr>
              <w:jc w:val="right"/>
              <w:spacing w:after="0"/>
              <w:rPr>
                <w:sz w:val="20"/>
                <w:szCs w:val="20"/>
                <w:color w:val="auto"/>
              </w:rPr>
            </w:pPr>
            <w:r>
              <w:rPr>
                <w:rFonts w:ascii="Arial" w:cs="Arial" w:eastAsia="Arial" w:hAnsi="Arial"/>
                <w:sz w:val="18"/>
                <w:szCs w:val="18"/>
                <w:b w:val="1"/>
                <w:bCs w:val="1"/>
                <w:color w:val="auto"/>
                <w:w w:val="93"/>
              </w:rPr>
              <w:t>Derivatives designated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plans</w:t>
            </w:r>
          </w:p>
        </w:tc>
        <w:tc>
          <w:tcPr>
            <w:tcW w:w="180" w:type="dxa"/>
            <w:vAlign w:val="bottom"/>
          </w:tcPr>
          <w:p>
            <w:pPr>
              <w:spacing w:after="0"/>
              <w:rPr>
                <w:sz w:val="20"/>
                <w:szCs w:val="20"/>
                <w:color w:val="auto"/>
              </w:rPr>
            </w:pPr>
          </w:p>
        </w:tc>
        <w:tc>
          <w:tcPr>
            <w:tcW w:w="1760" w:type="dxa"/>
            <w:vAlign w:val="bottom"/>
            <w:gridSpan w:val="7"/>
          </w:tcPr>
          <w:p>
            <w:pPr>
              <w:jc w:val="right"/>
              <w:ind w:right="110"/>
              <w:spacing w:after="0"/>
              <w:rPr>
                <w:sz w:val="20"/>
                <w:szCs w:val="20"/>
                <w:color w:val="auto"/>
              </w:rPr>
            </w:pPr>
            <w:r>
              <w:rPr>
                <w:rFonts w:ascii="Arial" w:cs="Arial" w:eastAsia="Arial" w:hAnsi="Arial"/>
                <w:sz w:val="18"/>
                <w:szCs w:val="18"/>
                <w:b w:val="1"/>
                <w:bCs w:val="1"/>
                <w:color w:val="auto"/>
                <w:w w:val="87"/>
              </w:rPr>
              <w:t>as cash flow hedges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ind w:left="60"/>
              <w:spacing w:after="0"/>
              <w:rPr>
                <w:sz w:val="20"/>
                <w:szCs w:val="20"/>
                <w:color w:val="auto"/>
              </w:rPr>
            </w:pPr>
            <w:r>
              <w:rPr>
                <w:rFonts w:ascii="Arial" w:cs="Arial" w:eastAsia="Arial" w:hAnsi="Arial"/>
                <w:sz w:val="18"/>
                <w:szCs w:val="18"/>
                <w:b w:val="1"/>
                <w:bCs w:val="1"/>
                <w:color w:val="auto"/>
              </w:rPr>
              <w:t>Totals</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(19,613)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3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1,848</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2"/>
          </w:tcPr>
          <w:p>
            <w:pPr>
              <w:ind w:left="260"/>
              <w:spacing w:after="0"/>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2,536</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2,536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(17,077)</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60" w:type="dxa"/>
            <w:vAlign w:val="bottom"/>
            <w:gridSpan w:val="6"/>
          </w:tcPr>
          <w:p>
            <w:pPr>
              <w:ind w:left="80"/>
              <w:spacing w:after="0"/>
              <w:rPr>
                <w:sz w:val="20"/>
                <w:szCs w:val="20"/>
                <w:color w:val="auto"/>
              </w:rPr>
            </w:pPr>
            <w:r>
              <w:rPr>
                <w:rFonts w:ascii="Arial" w:cs="Arial" w:eastAsia="Arial" w:hAnsi="Arial"/>
                <w:sz w:val="18"/>
                <w:szCs w:val="18"/>
                <w:color w:val="auto"/>
                <w:w w:val="97"/>
              </w:rPr>
              <w:t>The following table presents the reclassifications out of accumulated other comprehensive loss to net income: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92"/>
              <w:spacing w:after="0"/>
              <w:rPr>
                <w:sz w:val="20"/>
                <w:szCs w:val="20"/>
                <w:color w:val="auto"/>
              </w:rPr>
            </w:pPr>
            <w:r>
              <w:rPr>
                <w:rFonts w:ascii="Arial" w:cs="Arial" w:eastAsia="Arial" w:hAnsi="Arial"/>
                <w:sz w:val="18"/>
                <w:szCs w:val="18"/>
                <w:b w:val="1"/>
                <w:bCs w:val="1"/>
                <w:color w:val="auto"/>
                <w:w w:val="84"/>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gridSpan w:val="2"/>
            <w:vMerge w:val="restart"/>
          </w:tcPr>
          <w:p>
            <w:pPr>
              <w:ind w:left="200"/>
              <w:spacing w:after="0"/>
              <w:rPr>
                <w:sz w:val="20"/>
                <w:szCs w:val="20"/>
                <w:color w:val="auto"/>
              </w:rPr>
            </w:pPr>
            <w:r>
              <w:rPr>
                <w:rFonts w:ascii="Arial" w:cs="Arial" w:eastAsia="Arial" w:hAnsi="Arial"/>
                <w:sz w:val="18"/>
                <w:szCs w:val="18"/>
                <w:color w:val="auto"/>
                <w:w w:val="96"/>
              </w:rPr>
              <w:t>Amortization of net actuarial loss included in net periodic benefit cost (See Note 15)</w:t>
            </w: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500" w:type="dxa"/>
            <w:vAlign w:val="bottom"/>
            <w:tcBorders>
              <w:bottom w:val="single" w:sz="8" w:color="CCEEFF"/>
            </w:tcBorders>
            <w:gridSpan w:val="3"/>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2,387</w:t>
            </w:r>
          </w:p>
        </w:tc>
        <w:tc>
          <w:tcPr>
            <w:tcW w:w="2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Tax benefit</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of tax</w:t>
            </w: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17. OTHER LONG-TERM LIABILITIES</w:t>
            </w: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6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tcPr>
          <w:p>
            <w:pPr>
              <w:ind w:left="100"/>
              <w:spacing w:after="0"/>
              <w:rPr>
                <w:sz w:val="20"/>
                <w:szCs w:val="20"/>
                <w:color w:val="auto"/>
              </w:rPr>
            </w:pPr>
            <w:r>
              <w:rPr>
                <w:rFonts w:ascii="Arial" w:cs="Arial" w:eastAsia="Arial" w:hAnsi="Arial"/>
                <w:sz w:val="18"/>
                <w:szCs w:val="18"/>
                <w:color w:val="auto"/>
              </w:rPr>
              <w:t>Other long-term liabilities consisted of the following:</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3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78,658</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79,913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124,925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131,526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27,069</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29,382</w:t>
            </w: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0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230,652</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240,821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8"/>
        <w:spacing w:after="0" w:line="264"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Balances at March 31, 2019 and 2018 primarily include the Company's long-term disability obligation of $11.6 million and $22.8 million, respectively, contingent consideration related to the Company's business acquisition of an acquiree in the fourth quarter of fiscal 2017 of $1.2 million and $3.6 million, respectively and the long-term liability portion of the Company's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derivative instruments as noted in Note 13 for the comparative periods. See also Notes 15 and 20, respectively, to our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STOCKHOLDERS’ EQUITY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Holders of Class A Common Stock are entitled to one vote for each share.</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Each share of common stock is entitled to participate equally in dividends, when and if declared by the Board of Directors from time to time, such dividends and other distributions in cash, stock, or property from the Company’s assets or funds become legally available for such purposes subject to any dividend preferences that may be attributable to preferred stock that may be authorized. The Company’s ability to pay dividends to stockholders is limited as a practical matter by restrictions in the credit agreements governing the Senior Credit Facilities.</w:t>
      </w:r>
    </w:p>
    <w:p>
      <w:pPr>
        <w:spacing w:after="0" w:line="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authorized and unissued Class A Common Stock shares are available for future issuance upon share option exercises, without additional stockholder approval.</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five percent discount from the fair market value of the Company’s common stock. The ESPP provides for quarterly offering periods, the first of which commenced on April 1, 2011. For the year ended March 31, 2019, 242,706 Class A Common Stock shares were purchased by employees under the ESPP. Since the program's inception, 2,431,993 shares have been purchased by employees.</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On December 12, 2011, the Board of Directors approved a $30.0 million share repurchase program, to be funded from cash on hand. A special committee of the Board of Directors was appointed to evaluate market conditions and other relevant factors and initiate repurchases under the program from time to time. On January 27, 2015, January 25, 2017, November 2, 2017, and May 24, 2018, the Board of Directors approved increases to the share repurchase authorization to $180.0 million, $410.0 million, $610.0 million, and $910.0 million, respectively. The share repurchase program may be suspended, modified or discontinued at any time at the Company’s discretion without prior notice. During fiscal 2019, the Company purchased 5.1 million shares of the Company’s Class A Common Stock in a series of open market transactions for $239.8 million. During fiscal 2018, the Company purchased 7.2 million shares of the Company’s Class A Common Stock in a series of open market transactions for $257.6 million. As of March 31, 2019, the Company had $258.2 million remaining under the repurchase program.</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consolidated statement of cash flows: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Fiscal Year Ended March 31,</w:t>
            </w:r>
          </w:p>
        </w:tc>
        <w:tc>
          <w:tcPr>
            <w:tcW w:w="920" w:type="dxa"/>
            <w:vAlign w:val="bottom"/>
            <w:tcBorders>
              <w:bottom w:val="single" w:sz="8" w:color="auto"/>
            </w:tcBorders>
          </w:tcPr>
          <w:p>
            <w:pPr>
              <w:spacing w:after="0"/>
              <w:rPr>
                <w:sz w:val="16"/>
                <w:szCs w:val="16"/>
                <w:color w:val="auto"/>
              </w:rPr>
            </w:pPr>
          </w:p>
        </w:tc>
      </w:tr>
      <w:tr>
        <w:trPr>
          <w:trHeight w:val="264"/>
        </w:trPr>
        <w:tc>
          <w:tcPr>
            <w:tcW w:w="74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dividends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114,234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103,411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92,925</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Dividend equivalents (2)</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2,254</w:t>
            </w:r>
          </w:p>
        </w:tc>
      </w:tr>
      <w:tr>
        <w:trPr>
          <w:trHeight w:val="27"/>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distributions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114,514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104,362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95,179</w:t>
            </w: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represent recurring quarterly dividends that were declared and paid for during each quarter of fiscal 2019, 2018, and 2017.</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special dividends declared and paid.</w:t>
      </w:r>
    </w:p>
    <w:p>
      <w:pPr>
        <w:spacing w:after="0" w:line="11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total payout of the dividend and the dividend equivalents have been presented as a financing activity within the consolidated statement of cash flows.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consolidated 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Fiscal Year Ended March 31,</w:t>
            </w:r>
          </w:p>
        </w:tc>
        <w:tc>
          <w:tcPr>
            <w:tcW w:w="10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22,285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15,493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consolidated statements of operations by the following types of equity awards: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6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Fiscal Year Ended March 31,</w:t>
            </w:r>
          </w:p>
        </w:tc>
        <w:tc>
          <w:tcPr>
            <w:tcW w:w="10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Incentive Plan Options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Restricted Stock Awards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21,282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18,726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As of March 31, 2019 and 2018, there was $27.8 million and $17.3 million, respectively, of total unrecognized compensation cost related to unvested stock-based compensation agreements. The unrecognized compensation cost as of March 31, 2019 is expected to be fully amortized over the next 5 years. Absent the effect of accelerating stock compensation cost for any departures of employees who may continue to vest in their equity awards, the following tables summarize the unrecognized compensation cost, the weighted average period the cost is expected to be amortized, and the estimated annual compensation cost for the future periods indicated below (excludes any future awards):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60" w:type="dxa"/>
            <w:vAlign w:val="bottom"/>
            <w:gridSpan w:val="12"/>
          </w:tcPr>
          <w:p>
            <w:pPr>
              <w:jc w:val="center"/>
              <w:ind w:right="240"/>
              <w:spacing w:after="0"/>
              <w:rPr>
                <w:sz w:val="20"/>
                <w:szCs w:val="20"/>
                <w:color w:val="auto"/>
              </w:rPr>
            </w:pPr>
            <w:r>
              <w:rPr>
                <w:rFonts w:ascii="Arial" w:cs="Arial" w:eastAsia="Arial" w:hAnsi="Arial"/>
                <w:sz w:val="18"/>
                <w:szCs w:val="18"/>
                <w:b w:val="1"/>
                <w:bCs w:val="1"/>
                <w:color w:val="auto"/>
                <w:w w:val="89"/>
              </w:rPr>
              <w:t>Unrecognized Compensation</w:t>
            </w:r>
          </w:p>
        </w:tc>
        <w:tc>
          <w:tcPr>
            <w:tcW w:w="2460" w:type="dxa"/>
            <w:vAlign w:val="bottom"/>
            <w:gridSpan w:val="8"/>
          </w:tcPr>
          <w:p>
            <w:pPr>
              <w:jc w:val="right"/>
              <w:ind w:right="70"/>
              <w:spacing w:after="0"/>
              <w:rPr>
                <w:sz w:val="20"/>
                <w:szCs w:val="20"/>
                <w:color w:val="auto"/>
              </w:rPr>
            </w:pPr>
            <w:r>
              <w:rPr>
                <w:rFonts w:ascii="Arial" w:cs="Arial" w:eastAsia="Arial" w:hAnsi="Arial"/>
                <w:sz w:val="18"/>
                <w:szCs w:val="18"/>
                <w:b w:val="1"/>
                <w:bCs w:val="1"/>
                <w:color w:val="auto"/>
                <w:w w:val="89"/>
              </w:rPr>
              <w:t>Weighted Average Remaining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4"/>
              </w:rPr>
              <w:t>Cost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Period to be Recognized</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gridSpan w:val="5"/>
          </w:tcPr>
          <w:p>
            <w:pPr>
              <w:ind w:left="20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3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6"/>
              </w:rPr>
              <w:t>March 31,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89"/>
              </w:rPr>
              <w:t>2018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3.61</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center"/>
              <w:ind w:left="190"/>
              <w:spacing w:after="0"/>
              <w:rPr>
                <w:sz w:val="20"/>
                <w:szCs w:val="20"/>
                <w:color w:val="auto"/>
              </w:rPr>
            </w:pPr>
            <w:r>
              <w:rPr>
                <w:rFonts w:ascii="Arial" w:cs="Arial" w:eastAsia="Arial" w:hAnsi="Arial"/>
                <w:sz w:val="18"/>
                <w:szCs w:val="18"/>
                <w:color w:val="auto"/>
                <w:w w:val="91"/>
              </w:rPr>
              <w:t>3.60</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24,259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14,512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1.75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1.87</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27,760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14"/>
          </w:tcPr>
          <w:p>
            <w:pPr>
              <w:jc w:val="right"/>
              <w:ind w:right="450"/>
              <w:spacing w:after="0"/>
              <w:rPr>
                <w:sz w:val="20"/>
                <w:szCs w:val="20"/>
                <w:color w:val="auto"/>
              </w:rPr>
            </w:pPr>
            <w:r>
              <w:rPr>
                <w:rFonts w:ascii="Arial" w:cs="Arial" w:eastAsia="Arial" w:hAnsi="Arial"/>
                <w:sz w:val="18"/>
                <w:szCs w:val="18"/>
                <w:b w:val="1"/>
                <w:bCs w:val="1"/>
                <w:color w:val="auto"/>
                <w:w w:val="92"/>
              </w:rPr>
              <w:t>Total Unrecognized Compensation Cost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gridSpan w:val="2"/>
            <w:vMerge w:val="restart"/>
          </w:tcPr>
          <w:p>
            <w:pPr>
              <w:ind w:left="40"/>
              <w:spacing w:after="0"/>
              <w:rPr>
                <w:sz w:val="20"/>
                <w:szCs w:val="20"/>
                <w:color w:val="auto"/>
              </w:rPr>
            </w:pPr>
            <w:r>
              <w:rPr>
                <w:rFonts w:ascii="Arial" w:cs="Arial" w:eastAsia="Arial" w:hAnsi="Arial"/>
                <w:sz w:val="18"/>
                <w:szCs w:val="18"/>
                <w:color w:val="auto"/>
              </w:rPr>
              <w:t>Equity Incentive Plan Options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gridSpan w:val="2"/>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3,501</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
              <w:spacing w:after="0"/>
              <w:rPr>
                <w:sz w:val="20"/>
                <w:szCs w:val="20"/>
                <w:color w:val="auto"/>
              </w:rPr>
            </w:pPr>
            <w:r>
              <w:rPr>
                <w:rFonts w:ascii="Arial" w:cs="Arial" w:eastAsia="Arial" w:hAnsi="Arial"/>
                <w:sz w:val="18"/>
                <w:szCs w:val="18"/>
                <w:color w:val="auto"/>
              </w:rPr>
              <w:t>1,766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1,001</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541</w:t>
            </w:r>
          </w:p>
        </w:tc>
        <w:tc>
          <w:tcPr>
            <w:tcW w:w="8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182</w:t>
            </w:r>
          </w:p>
        </w:tc>
        <w:tc>
          <w:tcPr>
            <w:tcW w:w="920" w:type="dxa"/>
            <w:vAlign w:val="bottom"/>
            <w:gridSpan w:val="3"/>
          </w:tcPr>
          <w:p>
            <w:pPr>
              <w:jc w:val="right"/>
              <w:ind w:right="5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24,259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16,662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7,570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27,760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18,428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8"/>
                <w:szCs w:val="18"/>
                <w:color w:val="auto"/>
                <w:w w:val="88"/>
              </w:rPr>
              <w:t>8,571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182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right="40" w:firstLine="243"/>
        <w:spacing w:after="0" w:line="279" w:lineRule="auto"/>
        <w:rPr>
          <w:sz w:val="20"/>
          <w:szCs w:val="20"/>
          <w:color w:val="auto"/>
        </w:rPr>
      </w:pPr>
      <w:r>
        <w:rPr>
          <w:rFonts w:ascii="Arial" w:cs="Arial" w:eastAsia="Arial" w:hAnsi="Arial"/>
          <w:sz w:val="17"/>
          <w:szCs w:val="17"/>
          <w:color w:val="auto"/>
        </w:rPr>
        <w:t>The Company's Equity Incentive Plan, or EIP, was adopted in connection with the Merger Agreement for employees and directors of Holding. The EIP was amended and restated in 2010 in connection with the Company’s initial public offering, and was again amended and restated on May 22, 2014. Awards under the EIP may be made in the form of stock options; stock purchase rights; restricted stock; restricted stock units; performance shares; performance units; stock appreciation rights; deferred share units; dividend equivalents; and other stock-based awards.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Stock options under the EIP are granted at the discretion of the Board of Directors or its Compensation Committee and expire ten years from the grant date. Stock options generally vest in equal installments over a five-year period subject to the grantee’s continued service on each applicable vesting. All options under the EIP are exercisable, upon vesting, for shares of Class A common stock of Holding. The following table summarizes options granted under the Amended and Restated Equity Incentive Plan, or EIP during fiscal 2019:</w:t>
      </w: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Estimated Fair Value per</w:t>
            </w: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2160" w:type="dxa"/>
            <w:vAlign w:val="bottom"/>
          </w:tcPr>
          <w:p>
            <w:pPr>
              <w:ind w:left="640"/>
              <w:spacing w:after="0"/>
              <w:rPr>
                <w:sz w:val="20"/>
                <w:szCs w:val="20"/>
                <w:color w:val="auto"/>
              </w:rPr>
            </w:pPr>
            <w:r>
              <w:rPr>
                <w:rFonts w:ascii="Arial" w:cs="Arial" w:eastAsia="Arial" w:hAnsi="Arial"/>
                <w:sz w:val="18"/>
                <w:szCs w:val="18"/>
                <w:b w:val="1"/>
                <w:bCs w:val="1"/>
                <w:color w:val="auto"/>
              </w:rPr>
              <w:t>Grant Date</w:t>
            </w:r>
          </w:p>
        </w:tc>
        <w:tc>
          <w:tcPr>
            <w:tcW w:w="2140" w:type="dxa"/>
            <w:vAlign w:val="bottom"/>
          </w:tcPr>
          <w:p>
            <w:pPr>
              <w:jc w:val="right"/>
              <w:ind w:right="330"/>
              <w:spacing w:after="0"/>
              <w:rPr>
                <w:sz w:val="20"/>
                <w:szCs w:val="20"/>
                <w:color w:val="auto"/>
              </w:rPr>
            </w:pPr>
            <w:r>
              <w:rPr>
                <w:rFonts w:ascii="Arial" w:cs="Arial" w:eastAsia="Arial" w:hAnsi="Arial"/>
                <w:sz w:val="18"/>
                <w:szCs w:val="18"/>
                <w:b w:val="1"/>
                <w:bCs w:val="1"/>
                <w:color w:val="auto"/>
              </w:rPr>
              <w:t>Options Granted</w:t>
            </w:r>
          </w:p>
        </w:tc>
        <w:tc>
          <w:tcPr>
            <w:tcW w:w="140" w:type="dxa"/>
            <w:vAlign w:val="bottom"/>
          </w:tcPr>
          <w:p>
            <w:pPr>
              <w:spacing w:after="0"/>
              <w:rPr>
                <w:sz w:val="20"/>
                <w:szCs w:val="20"/>
                <w:color w:val="auto"/>
              </w:rPr>
            </w:pPr>
          </w:p>
        </w:tc>
        <w:tc>
          <w:tcPr>
            <w:tcW w:w="2060" w:type="dxa"/>
            <w:vAlign w:val="bottom"/>
          </w:tcPr>
          <w:p>
            <w:pPr>
              <w:jc w:val="right"/>
              <w:ind w:right="470"/>
              <w:spacing w:after="0"/>
              <w:rPr>
                <w:sz w:val="20"/>
                <w:szCs w:val="20"/>
                <w:color w:val="auto"/>
              </w:rPr>
            </w:pPr>
            <w:r>
              <w:rPr>
                <w:rFonts w:ascii="Arial" w:cs="Arial" w:eastAsia="Arial" w:hAnsi="Arial"/>
                <w:sz w:val="18"/>
                <w:szCs w:val="18"/>
                <w:b w:val="1"/>
                <w:bCs w:val="1"/>
                <w:color w:val="auto"/>
              </w:rPr>
              <w:t>Option Grant</w:t>
            </w:r>
          </w:p>
        </w:tc>
        <w:tc>
          <w:tcPr>
            <w:tcW w:w="300" w:type="dxa"/>
            <w:vAlign w:val="bottom"/>
          </w:tcPr>
          <w:p>
            <w:pPr>
              <w:spacing w:after="0"/>
              <w:rPr>
                <w:sz w:val="20"/>
                <w:szCs w:val="20"/>
                <w:color w:val="auto"/>
              </w:rPr>
            </w:pPr>
          </w:p>
        </w:tc>
        <w:tc>
          <w:tcPr>
            <w:tcW w:w="190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 Fair Value</w:t>
            </w:r>
          </w:p>
        </w:tc>
      </w:tr>
      <w:tr>
        <w:trPr>
          <w:trHeight w:val="27"/>
        </w:trPr>
        <w:tc>
          <w:tcPr>
            <w:tcW w:w="2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May 23, 2018</w:t>
            </w:r>
          </w:p>
        </w:tc>
        <w:tc>
          <w:tcPr>
            <w:tcW w:w="2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203,040</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1,900</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July 25, 2018</w:t>
            </w:r>
          </w:p>
        </w:tc>
        <w:tc>
          <w:tcPr>
            <w:tcW w:w="2140" w:type="dxa"/>
            <w:vAlign w:val="bottom"/>
          </w:tcPr>
          <w:p>
            <w:pPr>
              <w:jc w:val="right"/>
              <w:spacing w:after="0"/>
              <w:rPr>
                <w:sz w:val="20"/>
                <w:szCs w:val="20"/>
                <w:color w:val="auto"/>
              </w:rPr>
            </w:pPr>
            <w:r>
              <w:rPr>
                <w:rFonts w:ascii="Arial" w:cs="Arial" w:eastAsia="Arial" w:hAnsi="Arial"/>
                <w:sz w:val="18"/>
                <w:szCs w:val="18"/>
                <w:color w:val="auto"/>
              </w:rPr>
              <w:t>4,737</w:t>
            </w:r>
          </w:p>
        </w:tc>
        <w:tc>
          <w:tcPr>
            <w:tcW w:w="1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10.55</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2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1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July 30, 2018</w:t>
            </w:r>
          </w:p>
        </w:tc>
        <w:tc>
          <w:tcPr>
            <w:tcW w:w="2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29,096</w:t>
            </w: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10.31</w:t>
            </w:r>
          </w:p>
        </w:tc>
        <w:tc>
          <w:tcPr>
            <w:tcW w:w="300" w:type="dxa"/>
            <w:vAlign w:val="bottom"/>
            <w:tcBorders>
              <w:bottom w:val="single" w:sz="8" w:color="BFE4FF"/>
            </w:tcBorders>
            <w:shd w:val="clear" w:color="auto" w:fill="BFE4FF"/>
          </w:tcPr>
          <w:p>
            <w:pPr>
              <w:spacing w:after="0"/>
              <w:rPr>
                <w:sz w:val="21"/>
                <w:szCs w:val="21"/>
                <w:color w:val="auto"/>
              </w:rPr>
            </w:pPr>
          </w:p>
        </w:tc>
        <w:tc>
          <w:tcPr>
            <w:tcW w:w="1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October 24, 2018</w:t>
            </w:r>
          </w:p>
        </w:tc>
        <w:tc>
          <w:tcPr>
            <w:tcW w:w="2140" w:type="dxa"/>
            <w:vAlign w:val="bottom"/>
          </w:tcPr>
          <w:p>
            <w:pPr>
              <w:jc w:val="right"/>
              <w:spacing w:after="0"/>
              <w:rPr>
                <w:sz w:val="20"/>
                <w:szCs w:val="20"/>
                <w:color w:val="auto"/>
              </w:rPr>
            </w:pPr>
            <w:r>
              <w:rPr>
                <w:rFonts w:ascii="Arial" w:cs="Arial" w:eastAsia="Arial" w:hAnsi="Arial"/>
                <w:sz w:val="18"/>
                <w:szCs w:val="18"/>
                <w:color w:val="auto"/>
              </w:rPr>
              <w:t>5,169</w:t>
            </w:r>
          </w:p>
        </w:tc>
        <w:tc>
          <w:tcPr>
            <w:tcW w:w="1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9.67</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2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1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November 5, 2018</w:t>
            </w:r>
          </w:p>
        </w:tc>
        <w:tc>
          <w:tcPr>
            <w:tcW w:w="2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29,919</w:t>
            </w: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10.03</w:t>
            </w:r>
          </w:p>
        </w:tc>
        <w:tc>
          <w:tcPr>
            <w:tcW w:w="300" w:type="dxa"/>
            <w:vAlign w:val="bottom"/>
            <w:tcBorders>
              <w:bottom w:val="single" w:sz="8" w:color="BFE4FF"/>
            </w:tcBorders>
            <w:shd w:val="clear" w:color="auto" w:fill="BFE4FF"/>
          </w:tcPr>
          <w:p>
            <w:pPr>
              <w:spacing w:after="0"/>
              <w:rPr>
                <w:sz w:val="21"/>
                <w:szCs w:val="21"/>
                <w:color w:val="auto"/>
              </w:rPr>
            </w:pPr>
          </w:p>
        </w:tc>
        <w:tc>
          <w:tcPr>
            <w:tcW w:w="1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November 13, 2018</w:t>
            </w:r>
          </w:p>
        </w:tc>
        <w:tc>
          <w:tcPr>
            <w:tcW w:w="2140" w:type="dxa"/>
            <w:vAlign w:val="bottom"/>
          </w:tcPr>
          <w:p>
            <w:pPr>
              <w:jc w:val="right"/>
              <w:spacing w:after="0"/>
              <w:rPr>
                <w:sz w:val="20"/>
                <w:szCs w:val="20"/>
                <w:color w:val="auto"/>
              </w:rPr>
            </w:pPr>
            <w:r>
              <w:rPr>
                <w:rFonts w:ascii="Arial" w:cs="Arial" w:eastAsia="Arial" w:hAnsi="Arial"/>
                <w:sz w:val="18"/>
                <w:szCs w:val="18"/>
                <w:color w:val="auto"/>
              </w:rPr>
              <w:t>4,558</w:t>
            </w:r>
          </w:p>
        </w:tc>
        <w:tc>
          <w:tcPr>
            <w:tcW w:w="1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10.97</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2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21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November 14, 2018</w:t>
            </w:r>
          </w:p>
        </w:tc>
        <w:tc>
          <w:tcPr>
            <w:tcW w:w="2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23,193</w:t>
            </w:r>
          </w:p>
        </w:tc>
        <w:tc>
          <w:tcPr>
            <w:tcW w:w="140" w:type="dxa"/>
            <w:vAlign w:val="bottom"/>
            <w:tcBorders>
              <w:bottom w:val="single" w:sz="8" w:color="BFE4FF"/>
            </w:tcBorders>
            <w:shd w:val="clear" w:color="auto" w:fill="BFE4FF"/>
          </w:tcPr>
          <w:p>
            <w:pPr>
              <w:spacing w:after="0"/>
              <w:rPr>
                <w:sz w:val="21"/>
                <w:szCs w:val="21"/>
                <w:color w:val="auto"/>
              </w:rPr>
            </w:pPr>
          </w:p>
        </w:tc>
        <w:tc>
          <w:tcPr>
            <w:tcW w:w="20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10.78</w:t>
            </w:r>
          </w:p>
        </w:tc>
        <w:tc>
          <w:tcPr>
            <w:tcW w:w="300" w:type="dxa"/>
            <w:vAlign w:val="bottom"/>
            <w:tcBorders>
              <w:bottom w:val="single" w:sz="8" w:color="BFE4FF"/>
            </w:tcBorders>
            <w:shd w:val="clear" w:color="auto" w:fill="BFE4FF"/>
          </w:tcPr>
          <w:p>
            <w:pPr>
              <w:spacing w:after="0"/>
              <w:rPr>
                <w:sz w:val="21"/>
                <w:szCs w:val="21"/>
                <w:color w:val="auto"/>
              </w:rPr>
            </w:pPr>
          </w:p>
        </w:tc>
        <w:tc>
          <w:tcPr>
            <w:tcW w:w="1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January 29, 2019</w:t>
            </w:r>
          </w:p>
        </w:tc>
        <w:tc>
          <w:tcPr>
            <w:tcW w:w="2140" w:type="dxa"/>
            <w:vAlign w:val="bottom"/>
          </w:tcPr>
          <w:p>
            <w:pPr>
              <w:jc w:val="right"/>
              <w:spacing w:after="0"/>
              <w:rPr>
                <w:sz w:val="20"/>
                <w:szCs w:val="20"/>
                <w:color w:val="auto"/>
              </w:rPr>
            </w:pPr>
            <w:r>
              <w:rPr>
                <w:rFonts w:ascii="Arial" w:cs="Arial" w:eastAsia="Arial" w:hAnsi="Arial"/>
                <w:sz w:val="18"/>
                <w:szCs w:val="18"/>
                <w:color w:val="auto"/>
              </w:rPr>
              <w:t>56,967</w:t>
            </w:r>
          </w:p>
        </w:tc>
        <w:tc>
          <w:tcPr>
            <w:tcW w:w="1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9.65</w:t>
            </w:r>
          </w:p>
        </w:tc>
        <w:tc>
          <w:tcPr>
            <w:tcW w:w="3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2160" w:type="dxa"/>
            <w:vAlign w:val="bottom"/>
            <w:tcBorders>
              <w:bottom w:val="single" w:sz="8" w:color="BFE4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 w:type="dxa"/>
            <w:vAlign w:val="bottom"/>
            <w:tcBorders>
              <w:bottom w:val="single" w:sz="8" w:color="BFE4FF"/>
            </w:tcBorders>
          </w:tcPr>
          <w:p>
            <w:pPr>
              <w:spacing w:after="0"/>
              <w:rPr>
                <w:sz w:val="2"/>
                <w:szCs w:val="2"/>
                <w:color w:val="auto"/>
              </w:rPr>
            </w:pPr>
          </w:p>
        </w:tc>
        <w:tc>
          <w:tcPr>
            <w:tcW w:w="206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2160" w:type="dxa"/>
            <w:vAlign w:val="bottom"/>
            <w:tcBorders>
              <w:bottom w:val="single" w:sz="8" w:color="BFE4FF"/>
            </w:tcBorders>
            <w:shd w:val="clear" w:color="auto" w:fill="BFE4FF"/>
          </w:tcPr>
          <w:p>
            <w:pPr>
              <w:spacing w:after="0"/>
              <w:rPr>
                <w:sz w:val="22"/>
                <w:szCs w:val="22"/>
                <w:color w:val="auto"/>
              </w:rPr>
            </w:pPr>
          </w:p>
        </w:tc>
        <w:tc>
          <w:tcPr>
            <w:tcW w:w="2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356,679</w:t>
            </w:r>
          </w:p>
        </w:tc>
        <w:tc>
          <w:tcPr>
            <w:tcW w:w="140" w:type="dxa"/>
            <w:vAlign w:val="bottom"/>
            <w:tcBorders>
              <w:bottom w:val="single" w:sz="8" w:color="BFE4FF"/>
            </w:tcBorders>
            <w:shd w:val="clear" w:color="auto" w:fill="BFE4FF"/>
          </w:tcPr>
          <w:p>
            <w:pPr>
              <w:spacing w:after="0"/>
              <w:rPr>
                <w:sz w:val="22"/>
                <w:szCs w:val="22"/>
                <w:color w:val="auto"/>
              </w:rPr>
            </w:pPr>
          </w:p>
        </w:tc>
        <w:tc>
          <w:tcPr>
            <w:tcW w:w="206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3,450</w:t>
            </w:r>
          </w:p>
        </w:tc>
      </w:tr>
      <w:tr>
        <w:trPr>
          <w:trHeight w:val="20"/>
        </w:trPr>
        <w:tc>
          <w:tcPr>
            <w:tcW w:w="2160" w:type="dxa"/>
            <w:vAlign w:val="bottom"/>
            <w:tcBorders>
              <w:top w:val="single" w:sz="8" w:color="BFE4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206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aggregate grant date fair value of the EIP Options issued during fiscal 2019 and 2018, was $3.5 million and $3.7 million, respectively, and is being recorded as expense over the vesting period. The total fair value of EIP Options vested during fiscal 2019 and 2018 was $2.5 million and $2.7 million, respectively. The total intrinsic value of EIP options exercised during fiscal 2019 and 2018 was $47.2 million and $36.7 million, respectively. As of March 31, 2019 and 2018, there were 10,708,159 and 11,434,181 options, respectively, available for future grant under the EIP.</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Annual Incentive Plans</w:t>
      </w:r>
    </w:p>
    <w:p>
      <w:pPr>
        <w:spacing w:after="0" w:line="11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On October 1, 2010, the Board of Directors adopted an Annual Incentive Plan (or “AIP”) in connection with the initial public offering to more appropriately align the Company’s compensation programs with those of similarly situated companies. The amount of the annual incentive payment is determined based on performance targets established by the Board of Directors and a portion of the bonus may be paid in the form of equity (including stock and other awards under the EIP). For bonus periods prior to the 2018 fiscal year, if the Board of Directors elected to make a portion of the payments in equity, the value of the portion of the AIP award paid in equity was increased by 20%. Such equity awards vest over a three-year period subject to the employee’s continued service to the Company. The portion paid in the form of equity was recognized in the accompanying consolidated statements of operations based on grant date fair value over the vesting period of three years. The portion paid in cash was accrued ratably during the fiscal year in which the employees provide service and paid out during the first quarter of the subsequent fiscal year.</w:t>
      </w:r>
    </w:p>
    <w:p>
      <w:pPr>
        <w:spacing w:after="0" w:line="71"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During fiscal 2018, the Company implemented a new annual incentive program for officers. The equity compensation would be issued in the form of restricted stock units of which a portion would vest based on the passage of time, and the other portion would vest based on specified performance conditions to be achieved over a specified time period. A restricted stock unit represents a contingent right to receive one share of Class A Common Stock upon vesting. Service-based restricted stock units vest in equal installments over a three-year period subject to the grantee's continued service on each applicable vesting date and are settled for shares of the Company's common stock. Dividend equivalents are paid in respect of the service-based restricted stock units when dividends are paid on the Company's common stock. Performance-based awards vest at the end of a three-year period subject to certain specified financial performance criteria and the grantee's continued service through the period. These awards are settled for Company Class A Common Stock and dividend equivalents. Compensation expense for performance-based awards during the performance period is estimated at each reporting date using management's expectation of the probable achievement of the specified performance criteria.</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of Class A Restricted Common Stock and Restricted Stock Units</w:t>
      </w:r>
    </w:p>
    <w:p>
      <w:pPr>
        <w:spacing w:after="0" w:line="117" w:lineRule="exact"/>
        <w:rPr>
          <w:sz w:val="20"/>
          <w:szCs w:val="20"/>
          <w:color w:val="auto"/>
        </w:rPr>
      </w:pPr>
    </w:p>
    <w:p>
      <w:pPr>
        <w:jc w:val="both"/>
        <w:ind w:right="240" w:firstLine="405"/>
        <w:spacing w:after="0" w:line="264" w:lineRule="auto"/>
        <w:rPr>
          <w:sz w:val="20"/>
          <w:szCs w:val="20"/>
          <w:color w:val="auto"/>
        </w:rPr>
      </w:pPr>
      <w:r>
        <w:rPr>
          <w:rFonts w:ascii="Arial" w:cs="Arial" w:eastAsia="Arial" w:hAnsi="Arial"/>
          <w:sz w:val="18"/>
          <w:szCs w:val="18"/>
          <w:color w:val="auto"/>
        </w:rPr>
        <w:t>During fiscal 2019, the Board of Directors granted an aggregate of 610,477 Restricted Stock Units with service-based and performance-based vesting conditions to existing officers and vice presidents of the Company, as well as to newly promoted and hired partners and vice presidents. A portion of these awards were issued in conjunction with the Annual Incentive Plan,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whereby a portion of the incentive payment was paid in the form of Restricted Stock Units. The awards issued to newly hired and promoted employees will vest over a three-year period subject to the employees' continued employment with the Company.</w:t>
      </w:r>
    </w:p>
    <w:p>
      <w:pPr>
        <w:spacing w:after="0" w:line="2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Board of Directors also granted 44,420 shares of Class A Restricted Common Stock to members of the Board of Directors during fiscal 2019. These awards generally vest over one year.</w:t>
      </w:r>
    </w:p>
    <w:p>
      <w:pPr>
        <w:spacing w:after="0" w:line="279"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The aggregate fair value of all awards issued during fiscal 2019 was $27.8 million and was based on the grant date stock price, which ranged from $41.28 to $51.82. This amount will be recognized in the accompanying consolidated statements of operations over the applicable vesting period of the awards.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fair value of restricted stock shares vested during fiscal 2019 and 2018 was $21.5 million and $26.7 million, respectively.</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permitted under the terms of the EIP, the Compensation Committee, as Administrator of the Plan, authorized the withholding of taxes not to exceed the minimum statutory withholding amount, through the surrender of shares of Class A common stock issuable upon the vesting or accelerated vesting of Restricted Stock. As a result of these transactions, the Company repurchased 198,231 shares and recorded them as treasury shares at a total cost of $10.2 million in fiscal 2019.</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Methodology</w:t>
      </w:r>
    </w:p>
    <w:p>
      <w:pPr>
        <w:spacing w:after="0" w:line="11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uses the Black-Scholes option-pricing model to determine the estimated fair value for stock-based awards. The fair value of the Company’s stock is based on the closing price on the New York Stock Exchange on the date of grant.</w:t>
      </w:r>
    </w:p>
    <w:p>
      <w:pPr>
        <w:spacing w:after="0" w:line="62"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During fiscal 2019, the Company’s Board of Directors authorized and declared three quarterly cash dividends of $0.19 per share and one quarterly cash dividend of $0.23 per share. Therefore, an annualized dividend yield between 1.66% and 2.46% was used in the Black-Scholes option-pricing model for all grants issued during the fiscal year. The Company plans to continue paying recurring dividends in the near term and assessing its excess cash resources to determine the best way to utilize its excess cash flow to meet its objectives. One way the Company may utilize excess cash includes the payment of special dividends. The Company does not anticipate or forecast the payment of special dividends and therefore does not include special dividends in the annual dividend yield that the company uses to calculate the fair value of stock options, as the Company does not pay these special dividends on a regular basis.</w:t>
      </w:r>
    </w:p>
    <w:p>
      <w:pPr>
        <w:spacing w:after="0" w:line="5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Implied volatility is calculated as of each grant date based on our historical volatility. Other than the expected life of the option, volatility is the most sensitive input to our option grants.</w:t>
      </w:r>
    </w:p>
    <w:p>
      <w:pPr>
        <w:spacing w:after="0" w:line="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risk-free interest rate is determined by reference to the U.S. Treasury yield curve rates with the remaining term equal to the expected life assumed at the date of grant. The average expected life is calculated based on the Company's historical experience with respect to its stock plan activity in combination with an estimate of when vested and unexercised option shares will be exercised. Forfeitures were estimated based on the Company’s historical analysis of officer and vice-president attrition levels and actual forfeiture rates by grant date.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assumptions used in the Black-Scholes option-pricing model for stock option awards were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2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w w:val="97"/>
              </w:rPr>
              <w:t>For The Fiscal Year Ended March 31,</w:t>
            </w:r>
          </w:p>
        </w:tc>
        <w:tc>
          <w:tcPr>
            <w:tcW w:w="118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2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r>
      <w:tr>
        <w:trPr>
          <w:trHeight w:val="27"/>
        </w:trPr>
        <w:tc>
          <w:tcPr>
            <w:tcW w:w="41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29.65%</w:t>
            </w:r>
          </w:p>
        </w:tc>
      </w:tr>
      <w:tr>
        <w:trPr>
          <w:trHeight w:val="27"/>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5.00</w:t>
            </w:r>
          </w:p>
        </w:tc>
      </w:tr>
      <w:tr>
        <w:trPr>
          <w:trHeight w:val="27"/>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280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7.16</w:t>
            </w:r>
          </w:p>
        </w:tc>
      </w:tr>
      <w:tr>
        <w:trPr>
          <w:trHeight w:val="459"/>
        </w:trPr>
        <w:tc>
          <w:tcPr>
            <w:tcW w:w="4180" w:type="dxa"/>
            <w:vAlign w:val="bottom"/>
          </w:tcPr>
          <w:p>
            <w:pPr>
              <w:spacing w:after="0"/>
              <w:rPr>
                <w:sz w:val="24"/>
                <w:szCs w:val="24"/>
                <w:color w:val="auto"/>
              </w:rPr>
            </w:pPr>
          </w:p>
        </w:tc>
        <w:tc>
          <w:tcPr>
            <w:tcW w:w="2800" w:type="dxa"/>
            <w:vAlign w:val="bottom"/>
            <w:gridSpan w:val="2"/>
          </w:tcPr>
          <w:p>
            <w:pPr>
              <w:jc w:val="right"/>
              <w:ind w:right="1120"/>
              <w:spacing w:after="0"/>
              <w:rPr>
                <w:sz w:val="20"/>
                <w:szCs w:val="20"/>
                <w:color w:val="auto"/>
              </w:rPr>
            </w:pPr>
            <w:r>
              <w:rPr>
                <w:rFonts w:ascii="Arial" w:cs="Arial" w:eastAsia="Arial" w:hAnsi="Arial"/>
                <w:sz w:val="18"/>
                <w:szCs w:val="18"/>
                <w:color w:val="auto"/>
              </w:rPr>
              <w:t>F-36</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jc w:val="center"/>
        <w:ind w:left="340" w:right="208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3"/>
          </w:tcPr>
          <w:p>
            <w:pPr>
              <w:ind w:left="420"/>
              <w:spacing w:after="0"/>
              <w:rPr>
                <w:sz w:val="20"/>
                <w:szCs w:val="20"/>
                <w:color w:val="auto"/>
              </w:rPr>
            </w:pPr>
            <w:r>
              <w:rPr>
                <w:rFonts w:ascii="Arial" w:cs="Arial" w:eastAsia="Arial" w:hAnsi="Arial"/>
                <w:sz w:val="18"/>
                <w:szCs w:val="18"/>
                <w:color w:val="auto"/>
              </w:rPr>
              <w:t>The following table summarizes unvested restricted stock activity for the periods presented: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Date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Unvested Restricted Stock Awards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Unvested at March 31, 2018</w:t>
            </w: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957,106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4"/>
          </w:tcPr>
          <w:p>
            <w:pPr>
              <w:jc w:val="right"/>
              <w:ind w:right="10"/>
              <w:spacing w:after="0"/>
              <w:rPr>
                <w:sz w:val="20"/>
                <w:szCs w:val="20"/>
                <w:color w:val="auto"/>
              </w:rPr>
            </w:pPr>
            <w:r>
              <w:rPr>
                <w:rFonts w:ascii="Arial" w:cs="Arial" w:eastAsia="Arial" w:hAnsi="Arial"/>
                <w:sz w:val="18"/>
                <w:szCs w:val="18"/>
                <w:color w:val="auto"/>
              </w:rPr>
              <w:t>32.36</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4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654,897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42.40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Vested</w:t>
            </w: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637,212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4"/>
          </w:tcPr>
          <w:p>
            <w:pPr>
              <w:jc w:val="right"/>
              <w:ind w:right="10"/>
              <w:spacing w:after="0"/>
              <w:rPr>
                <w:sz w:val="20"/>
                <w:szCs w:val="20"/>
                <w:color w:val="auto"/>
              </w:rPr>
            </w:pPr>
            <w:r>
              <w:rPr>
                <w:rFonts w:ascii="Arial" w:cs="Arial" w:eastAsia="Arial" w:hAnsi="Arial"/>
                <w:sz w:val="18"/>
                <w:szCs w:val="18"/>
                <w:color w:val="auto"/>
              </w:rPr>
              <w:t>33.80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42,010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37.64</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Unvested at March 31, 2019</w:t>
            </w:r>
          </w:p>
        </w:tc>
        <w:tc>
          <w:tcPr>
            <w:tcW w:w="146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932,781</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4"/>
          </w:tcPr>
          <w:p>
            <w:pPr>
              <w:jc w:val="right"/>
              <w:ind w:right="10"/>
              <w:spacing w:after="0"/>
              <w:rPr>
                <w:sz w:val="20"/>
                <w:szCs w:val="20"/>
                <w:color w:val="auto"/>
              </w:rPr>
            </w:pPr>
            <w:r>
              <w:rPr>
                <w:rFonts w:ascii="Arial" w:cs="Arial" w:eastAsia="Arial" w:hAnsi="Arial"/>
                <w:sz w:val="18"/>
                <w:szCs w:val="18"/>
                <w:color w:val="auto"/>
              </w:rPr>
              <w:t>38.19</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ind w:left="420"/>
              <w:spacing w:after="0"/>
              <w:rPr>
                <w:sz w:val="20"/>
                <w:szCs w:val="20"/>
                <w:color w:val="auto"/>
              </w:rPr>
            </w:pPr>
            <w:r>
              <w:rPr>
                <w:rFonts w:ascii="Arial" w:cs="Arial" w:eastAsia="Arial" w:hAnsi="Arial"/>
                <w:sz w:val="18"/>
                <w:szCs w:val="18"/>
                <w:color w:val="auto"/>
              </w:rPr>
              <w:t>The following table summarizes stock option activity for the periods presented:</w:t>
            </w: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18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 Options</w:t>
            </w:r>
          </w:p>
        </w:tc>
        <w:tc>
          <w:tcPr>
            <w:tcW w:w="240" w:type="dxa"/>
            <w:vAlign w:val="bottom"/>
            <w:tcBorders>
              <w:bottom w:val="single" w:sz="8" w:color="CCEEFF"/>
            </w:tcBorders>
            <w:gridSpan w:val="2"/>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Options outstanding at March 31, 2018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2,799,954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ind w:left="290"/>
              <w:spacing w:after="0"/>
              <w:rPr>
                <w:sz w:val="20"/>
                <w:szCs w:val="20"/>
                <w:color w:val="auto"/>
              </w:rPr>
            </w:pPr>
            <w:r>
              <w:rPr>
                <w:rFonts w:ascii="Arial" w:cs="Arial" w:eastAsia="Arial" w:hAnsi="Arial"/>
                <w:sz w:val="18"/>
                <w:szCs w:val="18"/>
                <w:color w:val="auto"/>
                <w:w w:val="88"/>
              </w:rPr>
              <w:t>18.55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356,679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44.14</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45,313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ind w:left="290"/>
              <w:spacing w:after="0"/>
              <w:rPr>
                <w:sz w:val="20"/>
                <w:szCs w:val="20"/>
                <w:color w:val="auto"/>
              </w:rPr>
            </w:pPr>
            <w:r>
              <w:rPr>
                <w:rFonts w:ascii="Arial" w:cs="Arial" w:eastAsia="Arial" w:hAnsi="Arial"/>
                <w:sz w:val="18"/>
                <w:szCs w:val="18"/>
                <w:color w:val="auto"/>
                <w:w w:val="88"/>
              </w:rPr>
              <w:t>33.96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Exercised</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1,019,965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ind w:left="290"/>
              <w:spacing w:after="0"/>
              <w:rPr>
                <w:sz w:val="20"/>
                <w:szCs w:val="20"/>
                <w:color w:val="auto"/>
              </w:rPr>
            </w:pPr>
            <w:r>
              <w:rPr>
                <w:rFonts w:ascii="Arial" w:cs="Arial" w:eastAsia="Arial" w:hAnsi="Arial"/>
                <w:sz w:val="18"/>
                <w:szCs w:val="18"/>
                <w:color w:val="auto"/>
                <w:w w:val="88"/>
              </w:rPr>
              <w:t>11.88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gridSpan w:val="2"/>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2019</w:t>
            </w:r>
          </w:p>
        </w:tc>
        <w:tc>
          <w:tcPr>
            <w:tcW w:w="240" w:type="dxa"/>
            <w:vAlign w:val="bottom"/>
            <w:tcBorders>
              <w:bottom w:val="single" w:sz="8" w:color="auto"/>
            </w:tcBorders>
            <w:gridSpan w:val="2"/>
            <w:shd w:val="clear" w:color="auto" w:fill="CCEEFF"/>
          </w:tcPr>
          <w:p>
            <w:pPr>
              <w:spacing w:after="0"/>
              <w:rPr>
                <w:sz w:val="22"/>
                <w:szCs w:val="22"/>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2,091,355</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8"/>
              </w:rPr>
              <w:t>25.83</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80" w:type="dxa"/>
            <w:vAlign w:val="bottom"/>
            <w:gridSpan w:val="3"/>
          </w:tcPr>
          <w:p>
            <w:pPr>
              <w:spacing w:after="0"/>
              <w:rPr>
                <w:sz w:val="20"/>
                <w:szCs w:val="20"/>
                <w:color w:val="auto"/>
              </w:rPr>
            </w:pPr>
            <w:r>
              <w:rPr>
                <w:rFonts w:ascii="Arial" w:cs="Arial" w:eastAsia="Arial" w:hAnsi="Arial"/>
                <w:sz w:val="18"/>
                <w:szCs w:val="18"/>
                <w:color w:val="auto"/>
                <w:w w:val="91"/>
              </w:rPr>
              <w:t>* Reflects exercise price adjustment of $6.36 per grant for the $6.50 dividend per share issued on July 30, 2012.</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80" w:type="dxa"/>
            <w:vAlign w:val="bottom"/>
            <w:gridSpan w:val="3"/>
          </w:tcPr>
          <w:p>
            <w:pPr>
              <w:ind w:left="420"/>
              <w:spacing w:after="0"/>
              <w:rPr>
                <w:sz w:val="20"/>
                <w:szCs w:val="20"/>
                <w:color w:val="auto"/>
              </w:rPr>
            </w:pPr>
            <w:r>
              <w:rPr>
                <w:rFonts w:ascii="Arial" w:cs="Arial" w:eastAsia="Arial" w:hAnsi="Arial"/>
                <w:sz w:val="18"/>
                <w:szCs w:val="18"/>
                <w:color w:val="auto"/>
              </w:rPr>
              <w:t>The following table summarizes unvested stock options for the periods presented: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1"/>
              </w:rPr>
              <w:t>Average Grant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2"/>
              </w:rPr>
              <w:t>Date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 Options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Unvested at March 31, 2018</w:t>
            </w:r>
          </w:p>
        </w:tc>
        <w:tc>
          <w:tcPr>
            <w:tcW w:w="1140" w:type="dxa"/>
            <w:vAlign w:val="bottom"/>
          </w:tcPr>
          <w:p>
            <w:pPr>
              <w:jc w:val="right"/>
              <w:spacing w:after="0"/>
              <w:rPr>
                <w:sz w:val="20"/>
                <w:szCs w:val="20"/>
                <w:color w:val="auto"/>
              </w:rPr>
            </w:pPr>
            <w:r>
              <w:rPr>
                <w:rFonts w:ascii="Arial" w:cs="Arial" w:eastAsia="Arial" w:hAnsi="Arial"/>
                <w:sz w:val="18"/>
                <w:szCs w:val="18"/>
                <w:color w:val="auto"/>
              </w:rPr>
              <w:t>637,867</w:t>
            </w:r>
          </w:p>
        </w:tc>
        <w:tc>
          <w:tcPr>
            <w:tcW w:w="12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ind w:left="290"/>
              <w:spacing w:after="0"/>
              <w:rPr>
                <w:sz w:val="20"/>
                <w:szCs w:val="20"/>
                <w:color w:val="auto"/>
              </w:rPr>
            </w:pPr>
            <w:r>
              <w:rPr>
                <w:rFonts w:ascii="Arial" w:cs="Arial" w:eastAsia="Arial" w:hAnsi="Arial"/>
                <w:sz w:val="18"/>
                <w:szCs w:val="18"/>
                <w:color w:val="auto"/>
                <w:w w:val="91"/>
              </w:rPr>
              <w:t>7.68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356,679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9.67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3"/>
          </w:tcPr>
          <w:p>
            <w:pPr>
              <w:ind w:left="40"/>
              <w:spacing w:after="0"/>
              <w:rPr>
                <w:sz w:val="20"/>
                <w:szCs w:val="20"/>
                <w:color w:val="auto"/>
              </w:rPr>
            </w:pPr>
            <w:r>
              <w:rPr>
                <w:rFonts w:ascii="Arial" w:cs="Arial" w:eastAsia="Arial" w:hAnsi="Arial"/>
                <w:sz w:val="18"/>
                <w:szCs w:val="18"/>
                <w:color w:val="auto"/>
              </w:rPr>
              <w:t>Vested</w:t>
            </w:r>
          </w:p>
        </w:tc>
        <w:tc>
          <w:tcPr>
            <w:tcW w:w="1140" w:type="dxa"/>
            <w:vAlign w:val="bottom"/>
          </w:tcPr>
          <w:p>
            <w:pPr>
              <w:jc w:val="right"/>
              <w:spacing w:after="0"/>
              <w:rPr>
                <w:sz w:val="20"/>
                <w:szCs w:val="20"/>
                <w:color w:val="auto"/>
              </w:rPr>
            </w:pPr>
            <w:r>
              <w:rPr>
                <w:rFonts w:ascii="Arial" w:cs="Arial" w:eastAsia="Arial" w:hAnsi="Arial"/>
                <w:sz w:val="18"/>
                <w:szCs w:val="18"/>
                <w:color w:val="auto"/>
              </w:rPr>
              <w:t>340,620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ind w:left="290"/>
              <w:spacing w:after="0"/>
              <w:rPr>
                <w:sz w:val="20"/>
                <w:szCs w:val="20"/>
                <w:color w:val="auto"/>
              </w:rPr>
            </w:pPr>
            <w:r>
              <w:rPr>
                <w:rFonts w:ascii="Arial" w:cs="Arial" w:eastAsia="Arial" w:hAnsi="Arial"/>
                <w:sz w:val="18"/>
                <w:szCs w:val="18"/>
                <w:color w:val="auto"/>
                <w:w w:val="91"/>
              </w:rPr>
              <w:t>7.24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gridSpan w:val="3"/>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8.47</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Unvested at March 31, 2019</w:t>
            </w:r>
          </w:p>
        </w:tc>
        <w:tc>
          <w:tcPr>
            <w:tcW w:w="1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608,613</w:t>
            </w:r>
          </w:p>
        </w:tc>
        <w:tc>
          <w:tcPr>
            <w:tcW w:w="12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center"/>
              <w:ind w:left="290"/>
              <w:spacing w:after="0"/>
              <w:rPr>
                <w:sz w:val="20"/>
                <w:szCs w:val="20"/>
                <w:color w:val="auto"/>
              </w:rPr>
            </w:pPr>
            <w:r>
              <w:rPr>
                <w:rFonts w:ascii="Arial" w:cs="Arial" w:eastAsia="Arial" w:hAnsi="Arial"/>
                <w:sz w:val="18"/>
                <w:szCs w:val="18"/>
                <w:color w:val="auto"/>
                <w:w w:val="91"/>
              </w:rPr>
              <w:t>9.04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8180" w:type="dxa"/>
            <w:vAlign w:val="bottom"/>
            <w:gridSpan w:val="3"/>
          </w:tcPr>
          <w:p>
            <w:pPr>
              <w:ind w:left="5540"/>
              <w:spacing w:after="0"/>
              <w:rPr>
                <w:sz w:val="20"/>
                <w:szCs w:val="20"/>
                <w:color w:val="auto"/>
              </w:rPr>
            </w:pPr>
            <w:r>
              <w:rPr>
                <w:rFonts w:ascii="Arial" w:cs="Arial" w:eastAsia="Arial" w:hAnsi="Arial"/>
                <w:sz w:val="18"/>
                <w:szCs w:val="18"/>
                <w:color w:val="auto"/>
              </w:rPr>
              <w:t>F-37</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1" w:right="339" w:bottom="1440" w:gutter="0" w:footer="0" w:header="0"/>
        </w:sectPr>
      </w:pPr>
    </w:p>
    <w:bookmarkStart w:id="105" w:name="page106"/>
    <w:bookmarkEnd w:id="105"/>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 options outstanding at March 31, 2019: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1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8"/>
              </w:rPr>
              <w:t>Intrinsic Value</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92"/>
        </w:trPr>
        <w:tc>
          <w:tcPr>
            <w:tcW w:w="2000" w:type="dxa"/>
            <w:vAlign w:val="bottom"/>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4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years)</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00" w:type="dxa"/>
            <w:vAlign w:val="bottom"/>
          </w:tcPr>
          <w:p>
            <w:pPr>
              <w:jc w:val="right"/>
              <w:ind w:right="276"/>
              <w:spacing w:after="0"/>
              <w:rPr>
                <w:sz w:val="20"/>
                <w:szCs w:val="20"/>
                <w:color w:val="auto"/>
              </w:rPr>
            </w:pPr>
            <w:r>
              <w:rPr>
                <w:rFonts w:ascii="Arial" w:cs="Arial" w:eastAsia="Arial" w:hAnsi="Arial"/>
                <w:sz w:val="18"/>
                <w:szCs w:val="18"/>
                <w:color w:val="auto"/>
              </w:rPr>
              <w:t>$4.28 - $51.82</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2,091,355</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$25.83</w:t>
            </w:r>
          </w:p>
        </w:tc>
        <w:tc>
          <w:tcPr>
            <w:tcW w:w="4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5.64</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67,564</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1,482,742</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$20.58</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4.49</w:t>
            </w:r>
          </w:p>
        </w:tc>
        <w:tc>
          <w:tcPr>
            <w:tcW w:w="1080" w:type="dxa"/>
            <w:vAlign w:val="bottom"/>
          </w:tcPr>
          <w:p>
            <w:pPr>
              <w:jc w:val="right"/>
              <w:ind w:right="179"/>
              <w:spacing w:after="0"/>
              <w:rPr>
                <w:sz w:val="20"/>
                <w:szCs w:val="20"/>
                <w:color w:val="auto"/>
              </w:rPr>
            </w:pPr>
            <w:r>
              <w:rPr>
                <w:rFonts w:ascii="Arial" w:cs="Arial" w:eastAsia="Arial" w:hAnsi="Arial"/>
                <w:sz w:val="18"/>
                <w:szCs w:val="18"/>
                <w:color w:val="auto"/>
              </w:rPr>
              <w:t>$55,694</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Reflects exercise price adjustment of $6.36 per grant for the $6.50 dividend per share issued July 30, 2012.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FAIR VALUE MEASUREMENTS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88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as of March 31, 2019</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Long-term derivative instruments (1)</w:t>
            </w: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614</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deferred compensation costs (2)</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5,573</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Contingent consideration liability (3)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1,224</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Long-term derivative instruments (1)</w:t>
            </w: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4,347</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Long-term deferred compensation costs (2)</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9,669</w:t>
            </w:r>
          </w:p>
        </w:tc>
      </w:tr>
      <w:tr>
        <w:trPr>
          <w:trHeight w:val="27"/>
        </w:trPr>
        <w:tc>
          <w:tcPr>
            <w:tcW w:w="6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w w:val="97"/>
              </w:rPr>
              <w:t>Recurring Fair Value Measurements</w:t>
            </w:r>
          </w:p>
        </w:tc>
        <w:tc>
          <w:tcPr>
            <w:tcW w:w="880" w:type="dxa"/>
            <w:vAlign w:val="bottom"/>
          </w:tcPr>
          <w:p>
            <w:pPr>
              <w:spacing w:after="0"/>
              <w:rPr>
                <w:sz w:val="18"/>
                <w:szCs w:val="18"/>
                <w:color w:val="auto"/>
              </w:rPr>
            </w:pPr>
          </w:p>
        </w:tc>
      </w:tr>
      <w:tr>
        <w:trPr>
          <w:trHeight w:val="234"/>
        </w:trPr>
        <w:tc>
          <w:tcPr>
            <w:tcW w:w="41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as of March 31, 2018</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18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Assets:</w:t>
            </w:r>
          </w:p>
        </w:tc>
        <w:tc>
          <w:tcPr>
            <w:tcW w:w="23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(1)</w:t>
            </w:r>
          </w:p>
        </w:tc>
        <w:tc>
          <w:tcPr>
            <w:tcW w:w="318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43"/>
        </w:trPr>
        <w:tc>
          <w:tcPr>
            <w:tcW w:w="4180" w:type="dxa"/>
            <w:vAlign w:val="bottom"/>
          </w:tcPr>
          <w:p>
            <w:pPr>
              <w:ind w:left="160"/>
              <w:spacing w:after="0"/>
              <w:rPr>
                <w:sz w:val="20"/>
                <w:szCs w:val="20"/>
                <w:color w:val="auto"/>
              </w:rPr>
            </w:pPr>
            <w:r>
              <w:rPr>
                <w:rFonts w:ascii="Arial" w:cs="Arial" w:eastAsia="Arial" w:hAnsi="Arial"/>
                <w:sz w:val="18"/>
                <w:szCs w:val="18"/>
                <w:color w:val="auto"/>
              </w:rPr>
              <w:t>Long-term derivative instruments (1)</w:t>
            </w:r>
          </w:p>
        </w:tc>
        <w:tc>
          <w:tcPr>
            <w:tcW w:w="2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7,225</w:t>
            </w:r>
          </w:p>
        </w:tc>
      </w:tr>
      <w:tr>
        <w:trPr>
          <w:trHeight w:val="27"/>
        </w:trPr>
        <w:tc>
          <w:tcPr>
            <w:tcW w:w="418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18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7,925</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3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Contingent consideration liability (3)</w:t>
            </w:r>
          </w:p>
        </w:tc>
        <w:tc>
          <w:tcPr>
            <w:tcW w:w="2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3,576</w:t>
            </w:r>
          </w:p>
        </w:tc>
      </w:tr>
      <w:tr>
        <w:trPr>
          <w:trHeight w:val="237"/>
        </w:trPr>
        <w:tc>
          <w:tcPr>
            <w:tcW w:w="41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32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3,576</w:t>
            </w:r>
          </w:p>
        </w:tc>
      </w:tr>
      <w:tr>
        <w:trPr>
          <w:trHeight w:val="27"/>
        </w:trPr>
        <w:tc>
          <w:tcPr>
            <w:tcW w:w="4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669"/>
        </w:trPr>
        <w:tc>
          <w:tcPr>
            <w:tcW w:w="4180" w:type="dxa"/>
            <w:vAlign w:val="bottom"/>
          </w:tcPr>
          <w:p>
            <w:pPr>
              <w:spacing w:after="0"/>
              <w:rPr>
                <w:sz w:val="24"/>
                <w:szCs w:val="24"/>
                <w:color w:val="auto"/>
              </w:rPr>
            </w:pPr>
          </w:p>
        </w:tc>
        <w:tc>
          <w:tcPr>
            <w:tcW w:w="3180" w:type="dxa"/>
            <w:vAlign w:val="bottom"/>
            <w:gridSpan w:val="2"/>
          </w:tcPr>
          <w:p>
            <w:pPr>
              <w:jc w:val="right"/>
              <w:ind w:right="1410"/>
              <w:spacing w:after="0"/>
              <w:rPr>
                <w:sz w:val="20"/>
                <w:szCs w:val="20"/>
                <w:color w:val="auto"/>
              </w:rPr>
            </w:pPr>
            <w:r>
              <w:rPr>
                <w:rFonts w:ascii="Arial" w:cs="Arial" w:eastAsia="Arial" w:hAnsi="Arial"/>
                <w:sz w:val="18"/>
                <w:szCs w:val="18"/>
                <w:color w:val="auto"/>
              </w:rPr>
              <w:t>F-38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7" w:lineRule="exact"/>
        <w:rPr>
          <w:sz w:val="20"/>
          <w:szCs w:val="20"/>
          <w:color w:val="auto"/>
        </w:rPr>
      </w:pPr>
    </w:p>
    <w:p>
      <w:pPr>
        <w:ind w:right="20" w:firstLine="8"/>
        <w:spacing w:after="0" w:line="264"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13 to our consolidated financial statements for further discussion on the Company’s derivative instruments designated as cash flow hedges.</w:t>
      </w:r>
    </w:p>
    <w:p>
      <w:pPr>
        <w:spacing w:after="0" w:line="181" w:lineRule="exact"/>
        <w:rPr>
          <w:rFonts w:ascii="Arial" w:cs="Arial" w:eastAsia="Arial" w:hAnsi="Arial"/>
          <w:sz w:val="18"/>
          <w:szCs w:val="18"/>
          <w:color w:val="auto"/>
        </w:rPr>
      </w:pPr>
    </w:p>
    <w:p>
      <w:pPr>
        <w:ind w:right="300" w:firstLine="8"/>
        <w:spacing w:after="0" w:line="259"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 in this category consist of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consolidated balance sheets.</w:t>
      </w:r>
    </w:p>
    <w:p>
      <w:pPr>
        <w:spacing w:after="0" w:line="186" w:lineRule="exact"/>
        <w:rPr>
          <w:rFonts w:ascii="Arial" w:cs="Arial" w:eastAsia="Arial" w:hAnsi="Arial"/>
          <w:sz w:val="18"/>
          <w:szCs w:val="18"/>
          <w:color w:val="auto"/>
        </w:rPr>
      </w:pPr>
    </w:p>
    <w:p>
      <w:pPr>
        <w:ind w:right="40" w:firstLine="8"/>
        <w:spacing w:after="0" w:line="255"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recognized a contingent consideration liability of 3.6 million in connection with the acquisition of Aquilent in fiscal 2017. As of March 31, 2019 and 2018, the estimated fair value of the contingent consideration liability was $1.2 million and $3.6 million, respectively, and was valued using probability-weighted cash flows, which is based on the use of Level 3 fair value measurement inputs. The fair value of the contingent consideration decreased by $2.4 million as the Company finalized the indemnification payments to the selling shareholders. During the third quarter of fiscal 2019, the Company recorded the decrease of payments in other income as a result of the fair value change and the liability is recorded in other long-term liabilities in the consolidated balance sheet.</w:t>
      </w:r>
    </w:p>
    <w:p>
      <w:pPr>
        <w:spacing w:after="0" w:line="19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fair value of the Company's cash and cash equivalents, which are primarily Level 1 inputs, approximated its carrying values at March 31, 2019 and 2018. The fair value of the Company's debt instruments approximated its carrying value at March 31, 2019 and 2018.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Senior Notes is determined using quoted prices or other market information from recent trading activity in the high-yield bond market (Level 2 inputs).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RELATED-PARTY TRANSACTIONS</w:t>
      </w:r>
    </w:p>
    <w:p>
      <w:pPr>
        <w:spacing w:after="0" w:line="121"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March 2018, the Company supported the formation of the Booz Allen Foundation, a nonprofit corporation organized and operated exclusively for charitable, scientific and educational purposes within the meaning of Section 501(c)(3) of the Code. The Company is the sole member of the foundation, which gives it the authority to appoint two out of five of the Booz Allen Foundation’s directors and consent rights regarding certain extraordinary corporate actions approved by the Company's Board of Directors. The Company has made a binding and irrevocable pledge of $5.0 million to the Booz Allen Foundation, payable in installments, and recorded the pledge obligation in other current liabilities on the consolidated balance sheet of the Company in March 2017. As of March 31, 2019, the Company has satisfied the pledge obligation in full. The final two installment payments made to the Booz Allen Foundation in the third quarter of fiscal 2019 totaling $3.3 million are classified as operating activities in the consolidated statement of cash flows.</w:t>
      </w:r>
    </w:p>
    <w:p>
      <w:pPr>
        <w:spacing w:after="0" w:line="5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Two of our directors currently serve on the board of directors of a subcontractor to which the Company subcontracted $55.3 million of services for the year ended March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Company leases office space under noncancelable operating leases that expire at various dates through fiscal 2031. The terms for the facility leases generally provide for rental payments on a graduated scale, which are recognized on a straight-line basis over the terms of the leases, including reasonably assured renewal periods, from the time the Company controls the leased property. Sometimes lease payments include payments for insurance, maintenance, and property taxes. There are no purchase options on operating leases at terms favorable to market rents. Lease incentives are recorded as a deferred credit and recognized as a reduction to rent expense on a straight-line basis over the lease term. Rent expense was approximately $82.7 million, net of $0.6 million of sublease income, $81.2 million, net of $0.6 million of sublease income, and $81.6 million, net of $0.5 million of sublease income, for fiscal 2019, 2018, and 2017, respectively.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Future minimum operating lease payments for noncancelable operating leases and future minimum income for noncancelable sublease rentals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Operating</w:t>
            </w:r>
          </w:p>
        </w:tc>
        <w:tc>
          <w:tcPr>
            <w:tcW w:w="280" w:type="dxa"/>
            <w:vAlign w:val="bottom"/>
          </w:tcPr>
          <w:p>
            <w:pPr>
              <w:spacing w:after="0"/>
              <w:rPr>
                <w:sz w:val="14"/>
                <w:szCs w:val="14"/>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Lease</w:t>
            </w:r>
          </w:p>
        </w:tc>
        <w:tc>
          <w:tcPr>
            <w:tcW w:w="280" w:type="dxa"/>
            <w:vAlign w:val="bottom"/>
          </w:tcPr>
          <w:p>
            <w:pPr>
              <w:spacing w:after="0"/>
              <w:rPr>
                <w:sz w:val="12"/>
                <w:szCs w:val="12"/>
                <w:color w:val="auto"/>
              </w:rPr>
            </w:pPr>
          </w:p>
        </w:tc>
        <w:tc>
          <w:tcPr>
            <w:tcW w:w="12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92"/>
        </w:trPr>
        <w:tc>
          <w:tcPr>
            <w:tcW w:w="8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Payments</w:t>
            </w:r>
          </w:p>
        </w:tc>
        <w:tc>
          <w:tcPr>
            <w:tcW w:w="280" w:type="dxa"/>
            <w:vAlign w:val="bottom"/>
          </w:tcPr>
          <w:p>
            <w:pPr>
              <w:spacing w:after="0"/>
              <w:rPr>
                <w:sz w:val="16"/>
                <w:szCs w:val="16"/>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50"/>
        </w:trPr>
        <w:tc>
          <w:tcPr>
            <w:tcW w:w="8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68,888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53,463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125,399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422,911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20" w:firstLine="405"/>
        <w:spacing w:after="0" w:line="342" w:lineRule="auto"/>
        <w:rPr>
          <w:sz w:val="20"/>
          <w:szCs w:val="20"/>
          <w:color w:val="auto"/>
        </w:rPr>
      </w:pPr>
      <w:r>
        <w:rPr>
          <w:rFonts w:ascii="Arial" w:cs="Arial" w:eastAsia="Arial" w:hAnsi="Arial"/>
          <w:sz w:val="16"/>
          <w:szCs w:val="16"/>
          <w:color w:val="auto"/>
        </w:rPr>
        <w:t>Rent expense is included in occupancy costs, a component of general and administrative expenses, as shown on the consolidated statements of operations, and includes rent, sublease income from third parties, real estate taxes, utilities, parking, security, repairs and maintenance, and storage costs.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As of March 31, 2019 and 2018, the Company was contingently liable under open standby letters of credit and bank guarantees issued by our banks in favor of third parties that totaled $9.5 million and $6.3 million, respectively. These letters of credit and bank guarantees primarily support insurance and bid and performance obligations. At March 31, 2019 and 2018, approximately $1.0 million and $1.4 million, respectively, of these instruments reduce the available borrowings under the Revolving Credit Facility. The remainder is guaranteed under a separate $15.0 million facility established in fiscal 2015 of which $6.5 million and $10.1 million, respectively, was available to the Company at March 31, 2019 and 2018.</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For fiscal 2019, 2018, and 2017, approximately 96%, 97%, and 97%, respectively, of the Company’s revenue was generated from contracts where the end user was an agency or department of the U.S. government, including contracts where the Company performed in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such audit, inquiry, or investigation of which it is aware. Management believes it has recorded the appropriate provision for the estimated losses that may be experienced from any such reductions and/or penalties. As of March 31, 2019 and 2018, the Company has recorded a liability of approximately $195.3 million and $168.6 million, respectively, for its current best estimate of amounts to be refunded to customers for potential adjustments from audits or reviews of contract costs incurred subsequent to fiscal year 2011, and for contracts not yet closed that are impacted by settlement of audits or reviews of contract costs incurred in prior fiscal years.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March 31, 2019 and 2018, there were no material amounts accrued in the consolidated financial statements related to these proceedings.</w:t>
      </w:r>
    </w:p>
    <w:p>
      <w:pPr>
        <w:spacing w:after="0" w:line="57"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the putative class, alleges that the Company and certain former officers and directors violated Sections 10(b), 20(a) and 14(e) of the Securities Exchange Act of 1934, as amended (the “Exchange Act”). On April 25, 2018, the court entered an order postponing the deadline within which the defendants must answer or move to dismiss the amended complaint. A lead plaintiff has not been appointed. On August 2, 2018, the defendants filed a motion to dismiss the amended complaint. On September 17, 2018, the plaintiff filed an opposition to the defendants’ motion to dismiss the amended complaint. The defendants filed their reply to plaintiff's opposition on October 17, 2018.</w:t>
      </w:r>
    </w:p>
    <w:p>
      <w:pPr>
        <w:spacing w:after="0" w:line="29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March 31, 2019, the aggregate alleged damages that will be sought in the remaining suit is unknown. As of March 31, 2019,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73"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9"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At this stage of the lawsuit, the Company is not able to reasonably estimate the expected amount or range of cost or any loss associated with the lawsuit.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BUSINESS SEGMENT INFORMATION</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UNAUDITED QUARTERLY FINANCIAL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Fiscal 2019 Quarters</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gridSpan w:val="3"/>
          </w:tcPr>
          <w:p>
            <w:pPr>
              <w:ind w:left="300"/>
              <w:spacing w:after="0"/>
              <w:rPr>
                <w:sz w:val="20"/>
                <w:szCs w:val="20"/>
                <w:color w:val="auto"/>
              </w:rPr>
            </w:pPr>
            <w:r>
              <w:rPr>
                <w:rFonts w:ascii="Arial" w:cs="Arial" w:eastAsia="Arial" w:hAnsi="Arial"/>
                <w:sz w:val="14"/>
                <w:szCs w:val="14"/>
                <w:b w:val="1"/>
                <w:bCs w:val="1"/>
                <w:color w:val="auto"/>
              </w:rPr>
              <w:t>First</w:t>
            </w: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Second</w:t>
            </w: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22"/>
                <w:szCs w:val="22"/>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Fourth</w:t>
            </w: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1,646,848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1,613,997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1,663,112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1,780,080</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161,612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143,751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161,932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135,099</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119,887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140,269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117,880</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104,204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92,713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132,037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89,575</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Basic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6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0.64</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0.63</w:t>
            </w:r>
          </w:p>
        </w:tc>
      </w:tr>
      <w:tr>
        <w:trPr>
          <w:trHeight w:val="56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Fiscal 2018 Quarters</w:t>
            </w: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4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Fourth</w:t>
            </w: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1,523,010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1,542,805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1,470,709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1,631,076</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126,665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132,889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128,473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131,696</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110,593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106,499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106,167</w:t>
            </w:r>
          </w:p>
        </w:tc>
      </w:tr>
      <w:tr>
        <w:trPr>
          <w:trHeight w:val="243"/>
        </w:trPr>
        <w:tc>
          <w:tcPr>
            <w:tcW w:w="20" w:type="dxa"/>
            <w:vAlign w:val="bottom"/>
          </w:tcPr>
          <w:p>
            <w:pPr>
              <w:spacing w:after="0"/>
              <w:rPr>
                <w:sz w:val="21"/>
                <w:szCs w:val="21"/>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70,612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73,647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74,927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82,506</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Basic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6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0.51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0.57</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0.56</w:t>
            </w:r>
          </w:p>
        </w:tc>
      </w:tr>
      <w:tr>
        <w:trPr>
          <w:trHeight w:val="4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3"/>
          </w:tcPr>
          <w:p>
            <w:pPr>
              <w:ind w:left="880"/>
              <w:spacing w:after="0"/>
              <w:rPr>
                <w:sz w:val="20"/>
                <w:szCs w:val="20"/>
                <w:color w:val="auto"/>
              </w:rPr>
            </w:pPr>
            <w:r>
              <w:rPr>
                <w:rFonts w:ascii="Arial" w:cs="Arial" w:eastAsia="Arial" w:hAnsi="Arial"/>
                <w:sz w:val="18"/>
                <w:szCs w:val="18"/>
                <w:color w:val="auto"/>
              </w:rPr>
              <w:t>F-42</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0" w:name="page111"/>
    <w:bookmarkEnd w:id="110"/>
    <w:p>
      <w:pPr>
        <w:jc w:val="center"/>
        <w:ind w:left="260" w:right="216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315" w:lineRule="exact"/>
        <w:rPr>
          <w:sz w:val="20"/>
          <w:szCs w:val="20"/>
          <w:color w:val="auto"/>
        </w:rPr>
      </w:pPr>
    </w:p>
    <w:p>
      <w:pPr>
        <w:ind w:left="320" w:hanging="258"/>
        <w:spacing w:after="0"/>
        <w:tabs>
          <w:tab w:leader="none" w:pos="320" w:val="left"/>
        </w:tabs>
        <w:numPr>
          <w:ilvl w:val="1"/>
          <w:numId w:val="71"/>
        </w:numPr>
        <w:rPr>
          <w:rFonts w:ascii="Arial" w:cs="Arial" w:eastAsia="Arial" w:hAnsi="Arial"/>
          <w:sz w:val="17"/>
          <w:szCs w:val="17"/>
          <w:color w:val="auto"/>
        </w:rPr>
      </w:pPr>
      <w:r>
        <w:rPr>
          <w:rFonts w:ascii="Arial" w:cs="Arial" w:eastAsia="Arial" w:hAnsi="Arial"/>
          <w:sz w:val="17"/>
          <w:szCs w:val="17"/>
          <w:color w:val="auto"/>
        </w:rPr>
        <w:t>Earnings per share are computed independently for each of the quarters presented and therefore may not sum to the total for the fiscal year.</w:t>
      </w:r>
    </w:p>
    <w:p>
      <w:pPr>
        <w:spacing w:after="0" w:line="200" w:lineRule="exact"/>
        <w:rPr>
          <w:rFonts w:ascii="Arial" w:cs="Arial" w:eastAsia="Arial" w:hAnsi="Arial"/>
          <w:sz w:val="17"/>
          <w:szCs w:val="17"/>
          <w:color w:val="auto"/>
        </w:rPr>
      </w:pPr>
    </w:p>
    <w:p>
      <w:pPr>
        <w:spacing w:after="0" w:line="248" w:lineRule="exact"/>
        <w:rPr>
          <w:rFonts w:ascii="Arial" w:cs="Arial" w:eastAsia="Arial" w:hAnsi="Arial"/>
          <w:sz w:val="17"/>
          <w:szCs w:val="17"/>
          <w:color w:val="auto"/>
        </w:rPr>
      </w:pPr>
    </w:p>
    <w:p>
      <w:pPr>
        <w:ind w:left="280" w:hanging="272"/>
        <w:spacing w:after="0"/>
        <w:tabs>
          <w:tab w:leader="none" w:pos="2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FINANCIAL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schedule summarizes valuation and qualifying accounts for the periods presented: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Fiscal Year Ended March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00" w:type="dxa"/>
            <w:vAlign w:val="bottom"/>
          </w:tcPr>
          <w:p>
            <w:pPr>
              <w:spacing w:after="0"/>
              <w:rPr>
                <w:sz w:val="22"/>
                <w:szCs w:val="22"/>
                <w:color w:val="auto"/>
              </w:rPr>
            </w:pPr>
          </w:p>
        </w:tc>
        <w:tc>
          <w:tcPr>
            <w:tcW w:w="3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2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11,882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Charges against allowance</w:t>
            </w:r>
          </w:p>
        </w:tc>
        <w:tc>
          <w:tcPr>
            <w:tcW w:w="2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Ending balance</w:t>
            </w:r>
          </w:p>
        </w:tc>
        <w:tc>
          <w:tcPr>
            <w:tcW w:w="326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10,679</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Tax valuation allowance</w:t>
            </w:r>
          </w:p>
        </w:tc>
        <w:tc>
          <w:tcPr>
            <w:tcW w:w="2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00" w:type="dxa"/>
            <w:vAlign w:val="bottom"/>
            <w:vMerge w:val="continue"/>
          </w:tcPr>
          <w:p>
            <w:pPr>
              <w:spacing w:after="0"/>
              <w:rPr>
                <w:sz w:val="19"/>
                <w:szCs w:val="19"/>
                <w:color w:val="auto"/>
              </w:rPr>
            </w:pPr>
          </w:p>
        </w:tc>
        <w:tc>
          <w:tcPr>
            <w:tcW w:w="2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Other adjustments</w:t>
            </w:r>
          </w:p>
        </w:tc>
        <w:tc>
          <w:tcPr>
            <w:tcW w:w="2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Ending balance</w:t>
            </w:r>
          </w:p>
        </w:tc>
        <w:tc>
          <w:tcPr>
            <w:tcW w:w="32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(2,853)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00" w:type="dxa"/>
            <w:vAlign w:val="bottom"/>
          </w:tcPr>
          <w:p>
            <w:pPr>
              <w:spacing w:after="0"/>
              <w:rPr>
                <w:sz w:val="24"/>
                <w:szCs w:val="24"/>
                <w:color w:val="auto"/>
              </w:rPr>
            </w:pPr>
          </w:p>
        </w:tc>
        <w:tc>
          <w:tcPr>
            <w:tcW w:w="3260" w:type="dxa"/>
            <w:vAlign w:val="bottom"/>
            <w:gridSpan w:val="2"/>
          </w:tcPr>
          <w:p>
            <w:pPr>
              <w:jc w:val="right"/>
              <w:ind w:right="1480"/>
              <w:spacing w:after="0"/>
              <w:rPr>
                <w:sz w:val="20"/>
                <w:szCs w:val="20"/>
                <w:color w:val="auto"/>
              </w:rPr>
            </w:pPr>
            <w:r>
              <w:rPr>
                <w:rFonts w:ascii="Arial" w:cs="Arial" w:eastAsia="Arial" w:hAnsi="Arial"/>
                <w:sz w:val="18"/>
                <w:szCs w:val="18"/>
                <w:color w:val="auto"/>
              </w:rPr>
              <w:t>F-43</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11" w:name="page112"/>
    <w:bookmarkEnd w:id="111"/>
    <w:p>
      <w:pPr>
        <w:jc w:val="center"/>
        <w:ind w:left="280" w:right="2140"/>
        <w:spacing w:after="0" w:line="266" w:lineRule="auto"/>
        <w:rPr>
          <w:sz w:val="20"/>
          <w:szCs w:val="20"/>
          <w:color w:val="auto"/>
        </w:rPr>
      </w:pPr>
      <w:r>
        <w:rPr>
          <w:rFonts w:ascii="Arial" w:cs="Arial" w:eastAsia="Arial" w:hAnsi="Arial"/>
          <w:sz w:val="18"/>
          <w:szCs w:val="18"/>
          <w:b w:val="1"/>
          <w:bCs w:val="1"/>
          <w:color w:val="auto"/>
        </w:rPr>
        <w:t>BOOZ ALLEN HAMILTON HOLDING CORPORATION NOTES TO CONSOLIDATED FINANCIAL STATEMENTS (Amounts in tables in thousands, except share and per share data or unless otherwise noted)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Between April 2, 2019 and April 4, 2019, Booz Allen Hamilton entered into eight interest rate swap agreements with six different financial institutions to fix the LIBOR portion of the interest rate on outstanding debt under the Credit Agreement, as amended. Each swap has a notional amount of $50</w:t>
      </w:r>
    </w:p>
    <w:p>
      <w:pPr>
        <w:spacing w:after="0" w:line="261" w:lineRule="auto"/>
        <w:rPr>
          <w:sz w:val="20"/>
          <w:szCs w:val="20"/>
          <w:color w:val="auto"/>
        </w:rPr>
      </w:pPr>
      <w:r>
        <w:rPr>
          <w:rFonts w:ascii="Arial" w:cs="Arial" w:eastAsia="Arial" w:hAnsi="Arial"/>
          <w:sz w:val="18"/>
          <w:szCs w:val="18"/>
          <w:color w:val="auto"/>
        </w:rPr>
        <w:t>million and fixes LIBOR at rates ranging from 2.2585% to 2.3075% with an effective date of April 30, 2019 and maturity dates of June 30, 2024 and June 30, 2025.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Delayed Draw Facility</w:t>
      </w:r>
    </w:p>
    <w:p>
      <w:pPr>
        <w:spacing w:after="0" w:line="9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On April 23, 2019, Booz Allen Hamilton drew down $400 million of the $400 million delayed draw Term Loan A available under the Company’s term loan facility. The Company did not incur any additional fees related to the borrowing of the loans. The Company expects that the proceeds will be used for general corporate purposes and other purposes not prohibited by the Credit Agreement.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repurchased and withheld to cover taxes</w:t>
      </w:r>
    </w:p>
    <w:p>
      <w:pPr>
        <w:spacing w:after="0" w:line="9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Company paid $6.3 million during the first quarter of fiscal 2020 for 108,617 shares of Class A Common Stock withheld to cover taxes related to Restricted Stock vesting during the fourth quarter of fiscal 2019 that had not settled in cash by March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Declared</w:t>
      </w:r>
    </w:p>
    <w:p>
      <w:pPr>
        <w:spacing w:after="0" w:line="90"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On May 28, 2019, the Company announced that its Board of Directors had declared a quarterly cash dividend of $0.23 per share. Payment of the dividend will be made on June 28, 2019 to stockholders of record at the close of business on June 14,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Authorization</w:t>
      </w:r>
    </w:p>
    <w:p>
      <w:pPr>
        <w:spacing w:after="0" w:line="9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On May 23, 2019, the Board of Directors approved an increase to our share repurchase authorization from $910.0 million to up to $1,310.0 million. As of May 23, 2019, taking into effect the increase in the share repurchase authorization, the Company may repurchase up to approximately $658.2 million of additional shares of common stock under its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80"/>
          </w:cols>
          <w:pgMar w:left="240" w:top="121" w:right="279" w:bottom="1440" w:gutter="0" w:footer="0" w:header="0"/>
        </w:sectPr>
      </w:pPr>
    </w:p>
    <w:bookmarkStart w:id="112" w:name="page113"/>
    <w:bookmarkEnd w:id="112"/>
    <w:p>
      <w:pPr>
        <w:spacing w:after="0"/>
        <w:tabs>
          <w:tab w:leader="none" w:pos="96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jc w:val="both"/>
        <w:ind w:right="60" w:firstLine="432"/>
        <w:spacing w:after="0" w:line="279" w:lineRule="auto"/>
        <w:rPr>
          <w:sz w:val="20"/>
          <w:szCs w:val="20"/>
          <w:color w:val="auto"/>
        </w:rPr>
      </w:pPr>
      <w:r>
        <w:rPr>
          <w:rFonts w:ascii="Arial" w:cs="Arial" w:eastAsia="Arial" w:hAnsi="Arial"/>
          <w:sz w:val="17"/>
          <w:szCs w:val="17"/>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2019.</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 and Attestation Report of the Registered Public Accounting Firm</w:t>
      </w:r>
    </w:p>
    <w:p>
      <w:pPr>
        <w:spacing w:after="0" w:line="106"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system was designed to provide reasonable assurance to our management and board of directors regarding the reliability of financial reporting and the preparation of consolidated financial statements for external purposes.</w:t>
      </w:r>
    </w:p>
    <w:p>
      <w:pPr>
        <w:spacing w:after="0" w:line="12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Our management conducted an assessment of the effectiveness of our internal control over financial reporting as of March 31, 2019. This assessment was based on the criteria set forth by the Committee of Sponsoring Organizations of the Treadway Commission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 framework)</w:t>
      </w:r>
      <w:r>
        <w:rPr>
          <w:rFonts w:ascii="Arial" w:cs="Arial" w:eastAsia="Arial" w:hAnsi="Arial"/>
          <w:sz w:val="18"/>
          <w:szCs w:val="18"/>
          <w:color w:val="auto"/>
        </w:rPr>
        <w:t>. Based on this assessment, management has concluded that, as of March 31, 2019, our internal control over financial reporting was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w:t>
      </w:r>
    </w:p>
    <w:p>
      <w:pPr>
        <w:spacing w:after="0" w:line="133"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independent registered public accounting firm has issued a report on the effectiveness of our internal control over financial reporting, which is below.</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688" w:right="31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Regarding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 Holding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audited Booz Allen Hamilton Holding Corporation’s internal control over financial reporting as of March 31, 2019, based on criteria established in Internal Control-Integrated Framework issued by the Committee of Sponsoring Organizations of the Treadway Commission (2013 framework) (the COSO criteria). In our opinion, Booz Allen Hamilton Holding Corporation (the Company) maintained, in all material respects, effective internal control over financial reporting as of March 31, 2019, based on the COSO criteria.</w:t>
      </w:r>
    </w:p>
    <w:p>
      <w:pPr>
        <w:spacing w:after="0" w:line="1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March 31, 2019 and 2018, the related consolidated statements of operations, comprehensive income, stockholders’ equity, and cash flows for each of the three years in the period ended March 31, 2019, and the related notes and our report dated May 28,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28, 2019</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904" w:right="279" w:bottom="1440" w:gutter="0" w:footer="0" w:header="0"/>
        </w:sectPr>
      </w:pPr>
    </w:p>
    <w:bookmarkStart w:id="114" w:name="page115"/>
    <w:bookmarkEnd w:id="114"/>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On May 22, 2019, the Company’s compensation committee approved for the 2020 fiscal year certain changes to the incentive compensation opportunities for Horacio D. Rozanski, the Company’s President and Chief Executive Officer. Effective for fiscal year 2020, Mr. Rozanski’s target annual equity grant value will be increased from $4.0 million to $5.0 million. His base salary and target annual incentive opportunity will remain the same. The increase in target annual equity value has been granted in the form of performance-vesting restricted stock units.</w:t>
      </w:r>
    </w:p>
    <w:p>
      <w:pPr>
        <w:spacing w:after="0" w:line="24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4" w:lineRule="exact"/>
        <w:rPr>
          <w:sz w:val="20"/>
          <w:szCs w:val="20"/>
          <w:color w:val="auto"/>
        </w:rPr>
      </w:pPr>
    </w:p>
    <w:p>
      <w:pPr>
        <w:ind w:right="660" w:firstLine="432"/>
        <w:spacing w:after="0" w:line="308" w:lineRule="auto"/>
        <w:rPr>
          <w:sz w:val="20"/>
          <w:szCs w:val="20"/>
          <w:color w:val="auto"/>
        </w:rPr>
      </w:pPr>
      <w:r>
        <w:rPr>
          <w:rFonts w:ascii="Arial" w:cs="Arial" w:eastAsia="Arial" w:hAnsi="Arial"/>
          <w:sz w:val="17"/>
          <w:szCs w:val="17"/>
          <w:color w:val="auto"/>
        </w:rPr>
        <w:t>Information related to our directors is set forth under the caption “Election of Directors” of our Proxy Statement for our Annual Meeting of Stockholders scheduled for July 25, 2019 (the "2019 Proxy Statement"). Such information is incorporated herein by reference.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relating to our Executive Officers is included in Part I of this Annual Report under the caption “Executive Officers of the Registrant.”</w:t>
      </w:r>
    </w:p>
    <w:p>
      <w:pPr>
        <w:spacing w:after="0" w:line="19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Information relating to compliance with Section 16(a) of the Exchange Act is set forth under the caption “Section 16(a) Beneficial Ownership Reporting Compliance” of our 2019 Proxy Statement. Such information is incorporated herein by reference.</w:t>
      </w:r>
    </w:p>
    <w:p>
      <w:pPr>
        <w:spacing w:after="0" w:line="11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Information related to our code of ethics is set forth under the caption “Corporate Governance and General Information Concerning the Board of Directors and its Committees” of our 2019 Proxy Statement. Such information is incorporated herein by reference.</w:t>
      </w:r>
    </w:p>
    <w:p>
      <w:pPr>
        <w:spacing w:after="0" w:line="11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2019 Proxy Statement. Such information is incorporated herein by reference.</w:t>
      </w: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Information relating to this item is set forth under the captions “Compensation Discussion and Analysis,” “Director Compensation,” “Compensation Committee Interlocks and Insider Participation” and “Compensation Committee Report on Executive Compensation” of our 2019 Proxy Statement. Such information is incorporated herein by reference.</w:t>
      </w: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240" w:top="688" w:right="539" w:bottom="1440" w:gutter="0" w:footer="0" w:header="0"/>
        </w:sectPr>
      </w:pPr>
    </w:p>
    <w:bookmarkStart w:id="115" w:name="page116"/>
    <w:bookmarkEnd w:id="115"/>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concerning the securities authorized for issuance pursuant to our equity compensation plans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Options,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5120" w:type="dxa"/>
            <w:vAlign w:val="bottom"/>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Rights (b)</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Equity compensation plans approved by securityholders</w:t>
            </w: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8"/>
                <w:szCs w:val="18"/>
                <w:color w:val="auto"/>
              </w:rPr>
              <w:t>3,003,504</w:t>
            </w:r>
          </w:p>
        </w:tc>
        <w:tc>
          <w:tcPr>
            <w:tcW w:w="1700" w:type="dxa"/>
            <w:vAlign w:val="bottom"/>
          </w:tcPr>
          <w:p>
            <w:pPr>
              <w:jc w:val="right"/>
              <w:ind w:right="1250"/>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23"/>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10,708,159</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Equity compensation plans not approved by securityholders</w:t>
            </w: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14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spacing w:after="0"/>
              <w:rPr>
                <w:sz w:val="2"/>
                <w:szCs w:val="2"/>
                <w:color w:val="auto"/>
              </w:rPr>
            </w:pPr>
          </w:p>
        </w:tc>
        <w:tc>
          <w:tcPr>
            <w:tcW w:w="1700" w:type="dxa"/>
            <w:vAlign w:val="bottom"/>
            <w:vMerge w:val="restart"/>
          </w:tcPr>
          <w:p>
            <w:pPr>
              <w:jc w:val="right"/>
              <w:ind w:right="125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3,003,504</w:t>
            </w:r>
          </w:p>
        </w:tc>
        <w:tc>
          <w:tcPr>
            <w:tcW w:w="170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3"/>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0"/>
                <w:szCs w:val="20"/>
                <w:color w:val="auto"/>
              </w:rPr>
            </w:pPr>
          </w:p>
        </w:tc>
        <w:tc>
          <w:tcPr>
            <w:tcW w:w="1480" w:type="dxa"/>
            <w:vAlign w:val="bottom"/>
          </w:tcPr>
          <w:p>
            <w:pPr>
              <w:jc w:val="right"/>
              <w:ind w:right="24"/>
              <w:spacing w:after="0"/>
              <w:rPr>
                <w:sz w:val="20"/>
                <w:szCs w:val="20"/>
                <w:color w:val="auto"/>
              </w:rPr>
            </w:pPr>
            <w:r>
              <w:rPr>
                <w:rFonts w:ascii="Arial" w:cs="Arial" w:eastAsia="Arial" w:hAnsi="Arial"/>
                <w:sz w:val="18"/>
                <w:szCs w:val="18"/>
                <w:color w:val="auto"/>
              </w:rPr>
              <w:t>10,708,159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17145</wp:posOffset>
            </wp:positionV>
            <wp:extent cx="1938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17145</wp:posOffset>
            </wp:positionV>
            <wp:extent cx="951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3" w:lineRule="exact"/>
        <w:rPr>
          <w:sz w:val="20"/>
          <w:szCs w:val="20"/>
          <w:color w:val="auto"/>
        </w:rPr>
      </w:pPr>
    </w:p>
    <w:p>
      <w:pPr>
        <w:ind w:left="540" w:right="80" w:hanging="316"/>
        <w:spacing w:after="0" w:line="308"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Column (a) includes: 912,149 shares that have been granted as restricted stock units (RSUs) and 2,091,355 shares granted as options under our equity compensation plans. The weighted average price in column (b) does not take into account shares issued pursuant to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-317500</wp:posOffset>
            </wp:positionV>
            <wp:extent cx="19380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-317500</wp:posOffset>
            </wp:positionV>
            <wp:extent cx="951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Information relating to the security ownership of certain beneficial owners and management is included in our 2019 Proxy Statement under the caption “Security Ownership of Certain Beneficial Owners and Management” and is incorporated herein by reference.</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Information relating to this item is set forth under the captions “Certain Relationships and Related Party Transactions” and “Corporate Governance and General Information Concerning the Board of Directors and its Committees” of our 2019 Proxy Statement. Such information is incorporated herein by reference.</w:t>
      </w:r>
    </w:p>
    <w:p>
      <w:pPr>
        <w:spacing w:after="0" w:line="2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relating to this item is set forth under the caption “Independent Registered Public Accounting Firm Fees” of our 2019 Proxy Statement.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Such information is incorporated herein by reference.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4" w:lineRule="exact"/>
        <w:rPr>
          <w:sz w:val="20"/>
          <w:szCs w:val="20"/>
          <w:color w:val="auto"/>
        </w:rPr>
      </w:pPr>
    </w:p>
    <w:p>
      <w:pPr>
        <w:ind w:left="900" w:hanging="244"/>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Our consolidated financial statements filed herewith are set forth in Item 8 of this Annual Report.</w:t>
      </w:r>
    </w:p>
    <w:p>
      <w:pPr>
        <w:spacing w:after="0" w:line="117" w:lineRule="exact"/>
        <w:rPr>
          <w:sz w:val="20"/>
          <w:szCs w:val="20"/>
          <w:color w:val="auto"/>
        </w:rPr>
      </w:pPr>
    </w:p>
    <w:p>
      <w:pPr>
        <w:ind w:left="1460" w:hanging="480"/>
        <w:spacing w:after="0"/>
        <w:tabs>
          <w:tab w:leader="none" w:pos="1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1460" w:right="80" w:firstLine="648"/>
        <w:spacing w:after="0" w:line="277" w:lineRule="auto"/>
        <w:rPr>
          <w:sz w:val="20"/>
          <w:szCs w:val="20"/>
          <w:color w:val="auto"/>
        </w:rPr>
      </w:pPr>
      <w:r>
        <w:rPr>
          <w:rFonts w:ascii="Arial" w:cs="Arial" w:eastAsia="Arial" w:hAnsi="Arial"/>
          <w:sz w:val="18"/>
          <w:szCs w:val="18"/>
          <w:color w:val="auto"/>
        </w:rPr>
        <w:t>Consolidated financial statement schedules have been omitted because either they are not applicable or the required information is included in the consolidated financial statements or the notes thereto.</w:t>
      </w:r>
    </w:p>
    <w:p>
      <w:pPr>
        <w:spacing w:after="0" w:line="62" w:lineRule="exact"/>
        <w:rPr>
          <w:sz w:val="20"/>
          <w:szCs w:val="20"/>
          <w:color w:val="auto"/>
        </w:rPr>
      </w:pPr>
    </w:p>
    <w:p>
      <w:pPr>
        <w:ind w:left="1460" w:hanging="480"/>
        <w:spacing w:after="0"/>
        <w:tabs>
          <w:tab w:leader="none" w:pos="1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88"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60" w:type="dxa"/>
            <w:vAlign w:val="bottom"/>
            <w:gridSpan w:val="26"/>
          </w:tcPr>
          <w:p>
            <w:pPr>
              <w:ind w:left="20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680" w:type="dxa"/>
            <w:vAlign w:val="bottom"/>
            <w:gridSpan w:val="3"/>
            <w:vMerge w:val="restart"/>
          </w:tcPr>
          <w:p>
            <w:pPr>
              <w:spacing w:after="0"/>
              <w:rPr>
                <w:sz w:val="20"/>
                <w:szCs w:val="20"/>
                <w:color w:val="auto"/>
              </w:rPr>
            </w:pPr>
            <w:r>
              <w:rPr>
                <w:rFonts w:ascii="Arial" w:cs="Arial" w:eastAsia="Arial" w:hAnsi="Arial"/>
                <w:sz w:val="14"/>
                <w:szCs w:val="14"/>
                <w:color w:val="auto"/>
                <w:w w:val="94"/>
              </w:rPr>
              <w:t>Description</w:t>
            </w:r>
          </w:p>
        </w:tc>
        <w:tc>
          <w:tcPr>
            <w:tcW w:w="9720" w:type="dxa"/>
            <w:vAlign w:val="bottom"/>
            <w:gridSpan w:val="2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auto"/>
            </w:tcBorders>
            <w:gridSpan w:val="3"/>
            <w:vMerge w:val="continue"/>
          </w:tcPr>
          <w:p>
            <w:pPr>
              <w:spacing w:after="0"/>
              <w:rPr>
                <w:sz w:val="11"/>
                <w:szCs w:val="11"/>
                <w:color w:val="auto"/>
              </w:rPr>
            </w:pPr>
          </w:p>
        </w:tc>
        <w:tc>
          <w:tcPr>
            <w:tcW w:w="9720" w:type="dxa"/>
            <w:vAlign w:val="bottom"/>
            <w:gridSpan w:val="2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580" w:type="dxa"/>
            <w:vAlign w:val="bottom"/>
            <w:gridSpan w:val="3"/>
          </w:tcPr>
          <w:p>
            <w:pPr>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360" w:type="dxa"/>
            <w:vAlign w:val="bottom"/>
            <w:tcBorders>
              <w:bottom w:val="single" w:sz="8" w:color="0000FF"/>
            </w:tcBorders>
            <w:gridSpan w:val="31"/>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Agreement and Plan of Merger, dated as of May 15, 2008, by and among Booz Allen Hamilton Inc., Booz Allen Hamilton Holding Corporation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2"/>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(formerly known as Explorer Holding Corporation), Booz Allen Hamilton Investor Corporation (formerly known as Explorer Investor</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2"/>
          </w:tcPr>
          <w:p>
            <w:pPr>
              <w:spacing w:after="0" w:line="196" w:lineRule="exact"/>
              <w:rPr>
                <w:rFonts w:ascii="Arial" w:cs="Arial" w:eastAsia="Arial" w:hAnsi="Arial"/>
                <w:sz w:val="18"/>
                <w:szCs w:val="18"/>
                <w:color w:val="0000FF"/>
                <w:w w:val="97"/>
              </w:rPr>
            </w:pPr>
            <w:hyperlink r:id="rId31">
              <w:r>
                <w:rPr>
                  <w:rFonts w:ascii="Arial" w:cs="Arial" w:eastAsia="Arial" w:hAnsi="Arial"/>
                  <w:sz w:val="18"/>
                  <w:szCs w:val="18"/>
                  <w:color w:val="0000FF"/>
                  <w:w w:val="97"/>
                </w:rPr>
                <w:t>Corporation), Explorer Merger Sub Corporation and Booz &amp; Company Inc. (Incorporated by reference to Exhibit 2.1 to the Company’s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Registration Statement on Form S-1 (File No. 333- 167645))</w:t>
              </w:r>
            </w:hyperlink>
          </w:p>
        </w:tc>
        <w:tc>
          <w:tcPr>
            <w:tcW w:w="6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340" w:type="dxa"/>
            <w:vAlign w:val="bottom"/>
            <w:tcBorders>
              <w:bottom w:val="single" w:sz="8" w:color="0000FF"/>
            </w:tcBorders>
            <w:gridSpan w:val="30"/>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Spin Off Agreement, dated as of May 15, 2008, by and among Booz Allen Hamilton Inc., Booz &amp; Company Holdings, LLC, Booz &amp; Company</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2"/>
          </w:tcPr>
          <w:p>
            <w:pPr>
              <w:spacing w:after="0" w:line="196"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Inc., Booz &amp; Company Intermediate I Inc. and Booz &amp; Company Intermediate II Inc. (Incorporated by reference to Exhibit 2.2 to the</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Company’s Registration Statement on Form S-1 (File No. 333-167645))</w:t>
              </w:r>
            </w:hyperlink>
          </w:p>
        </w:tc>
        <w:tc>
          <w:tcPr>
            <w:tcW w:w="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0" w:type="dxa"/>
            <w:vAlign w:val="bottom"/>
            <w:gridSpan w:val="32"/>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Amendment to the Agreement and Plan of Merger and the Spin Off Agreement, dated as of July 30, 2008, by and among Booz Allen Hamilton</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tcBorders>
              <w:bottom w:val="single" w:sz="8" w:color="0000FF"/>
            </w:tcBorders>
            <w:gridSpan w:val="32"/>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Inc., Booz Allen Hamilton Holding Corporation (formerly known as Explorer Holding Corporation), Booz Allen Hamilton Investor Corporation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2"/>
          </w:tcPr>
          <w:p>
            <w:pPr>
              <w:spacing w:after="0" w:line="196" w:lineRule="exact"/>
              <w:rPr>
                <w:rFonts w:ascii="Arial" w:cs="Arial" w:eastAsia="Arial" w:hAnsi="Arial"/>
                <w:sz w:val="18"/>
                <w:szCs w:val="18"/>
                <w:color w:val="0000FF"/>
                <w:w w:val="95"/>
              </w:rPr>
            </w:pPr>
            <w:hyperlink r:id="rId33">
              <w:r>
                <w:rPr>
                  <w:rFonts w:ascii="Arial" w:cs="Arial" w:eastAsia="Arial" w:hAnsi="Arial"/>
                  <w:sz w:val="18"/>
                  <w:szCs w:val="18"/>
                  <w:color w:val="0000FF"/>
                  <w:w w:val="95"/>
                </w:rPr>
                <w:t>(formerly known as Explorer Investor Corporation), Explorer Merger Sub Corporation, Booz &amp; Company Holdings, LLC, Booz &amp; Company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60" w:type="dxa"/>
            <w:vAlign w:val="bottom"/>
            <w:tcBorders>
              <w:top w:val="single" w:sz="8" w:color="0000FF"/>
            </w:tcBorders>
            <w:gridSpan w:val="25"/>
          </w:tcPr>
          <w:p>
            <w:pPr>
              <w:spacing w:after="0" w:line="196" w:lineRule="exact"/>
              <w:rPr>
                <w:rFonts w:ascii="Arial" w:cs="Arial" w:eastAsia="Arial" w:hAnsi="Arial"/>
                <w:sz w:val="18"/>
                <w:szCs w:val="18"/>
                <w:color w:val="0000FF"/>
                <w:w w:val="97"/>
              </w:rPr>
            </w:pPr>
            <w:hyperlink r:id="rId33">
              <w:r>
                <w:rPr>
                  <w:rFonts w:ascii="Arial" w:cs="Arial" w:eastAsia="Arial" w:hAnsi="Arial"/>
                  <w:sz w:val="18"/>
                  <w:szCs w:val="18"/>
                  <w:color w:val="0000FF"/>
                  <w:w w:val="97"/>
                </w:rPr>
                <w:t>Inc., Booz &amp; Company Intermediate I Inc. and Booz &amp; Company Intermediate II Inc. (Incorporated by reference to Exhibit 2.3 to the</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Company’s Registration Statement on Form S-1 (File No. 333-167645))</w:t>
              </w:r>
            </w:hyperlink>
          </w:p>
        </w:tc>
        <w:tc>
          <w:tcPr>
            <w:tcW w:w="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0" w:type="dxa"/>
            <w:vAlign w:val="bottom"/>
            <w:tcBorders>
              <w:bottom w:val="single" w:sz="8" w:color="0000FF"/>
            </w:tcBorders>
            <w:gridSpan w:val="26"/>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Third Amended and Restated Certificate of Incorporation of Booz Allen Hamilton Holding Corporation (Incorporated by reference to Exhibit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2"/>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Quarterly Report for the period ended September 30, 2014 on Form 10-Q (File No. 001-34972))</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0" w:type="dxa"/>
            <w:vAlign w:val="bottom"/>
            <w:gridSpan w:val="32"/>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Third Amended and Restated Bylaws of Booz Allen Hamilton Holding Corporation (Incorporated by reference to Exhibit 3.2 to the Company’s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90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Quarterly Report for the period ended December 31, 2017 on Form 10-Q (File No. 001-34972))</w:t>
              </w:r>
            </w:hyperlink>
          </w:p>
        </w:tc>
        <w:tc>
          <w:tcPr>
            <w:tcW w:w="3440" w:type="dxa"/>
            <w:vAlign w:val="bottom"/>
            <w:tcBorders>
              <w:top w:val="single" w:sz="8" w:color="0000FF"/>
            </w:tcBorders>
            <w:gridSpan w:val="17"/>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0" w:type="dxa"/>
            <w:vAlign w:val="bottom"/>
            <w:gridSpan w:val="32"/>
          </w:tcPr>
          <w:p>
            <w:pPr>
              <w:spacing w:after="0"/>
              <w:rPr>
                <w:rFonts w:ascii="Arial" w:cs="Arial" w:eastAsia="Arial" w:hAnsi="Arial"/>
                <w:sz w:val="18"/>
                <w:szCs w:val="18"/>
                <w:color w:val="0000FF"/>
                <w:w w:val="96"/>
              </w:rPr>
            </w:pPr>
            <w:hyperlink r:id="rId36">
              <w:r>
                <w:rPr>
                  <w:rFonts w:ascii="Arial" w:cs="Arial" w:eastAsia="Arial" w:hAnsi="Arial"/>
                  <w:sz w:val="18"/>
                  <w:szCs w:val="18"/>
                  <w:color w:val="0000FF"/>
                  <w:w w:val="96"/>
                </w:rPr>
                <w:t>Form of Stock Certificate (Incorporated by reference to Exhibit 4.5 to the Company’s Registration Statement on Form S-1 (File No. 333-</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36">
              <w:r>
                <w:rPr>
                  <w:rFonts w:ascii="Arial" w:cs="Arial" w:eastAsia="Arial" w:hAnsi="Arial"/>
                  <w:sz w:val="18"/>
                  <w:szCs w:val="18"/>
                  <w:color w:val="0000FF"/>
                  <w:w w:val="88"/>
                </w:rPr>
                <w:t>167645)</w:t>
              </w:r>
              <w:r>
                <w:rPr>
                  <w:rFonts w:ascii="Arial" w:cs="Arial" w:eastAsia="Arial" w:hAnsi="Arial"/>
                  <w:sz w:val="18"/>
                  <w:szCs w:val="18"/>
                  <w:u w:val="single" w:color="auto"/>
                  <w:color w:val="0000FF"/>
                  <w:w w:val="88"/>
                </w:rPr>
                <w:t>)</w:t>
              </w:r>
            </w:hyperlink>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0" w:type="dxa"/>
            <w:vAlign w:val="bottom"/>
            <w:gridSpan w:val="32"/>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Indenture, dated April 25, 2017, among Booz Allen Hamilton Inc., the Subsidiary Guarantors party thereto and Wilmington Trust, National</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2"/>
          </w:tcPr>
          <w:p>
            <w:pPr>
              <w:spacing w:after="0" w:line="196" w:lineRule="exact"/>
              <w:rPr>
                <w:rFonts w:ascii="Arial" w:cs="Arial" w:eastAsia="Arial" w:hAnsi="Arial"/>
                <w:sz w:val="18"/>
                <w:szCs w:val="18"/>
                <w:color w:val="0000FF"/>
                <w:w w:val="95"/>
              </w:rPr>
            </w:pPr>
            <w:hyperlink r:id="rId37">
              <w:r>
                <w:rPr>
                  <w:rFonts w:ascii="Arial" w:cs="Arial" w:eastAsia="Arial" w:hAnsi="Arial"/>
                  <w:sz w:val="18"/>
                  <w:szCs w:val="18"/>
                  <w:color w:val="0000FF"/>
                  <w:w w:val="95"/>
                </w:rPr>
                <w:t>Association (Incorporated by reference to Exhibit 4.1 to the Company’s Current Report on Form 8-K filed on April 25, 2017 (File No. 001-</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7">
              <w:r>
                <w:rPr>
                  <w:rFonts w:ascii="Arial" w:cs="Arial" w:eastAsia="Arial" w:hAnsi="Arial"/>
                  <w:sz w:val="18"/>
                  <w:szCs w:val="18"/>
                  <w:color w:val="0000FF"/>
                  <w:w w:val="86"/>
                </w:rPr>
                <w:t>34972)</w:t>
              </w:r>
              <w:r>
                <w:rPr>
                  <w:rFonts w:ascii="Arial" w:cs="Arial" w:eastAsia="Arial" w:hAnsi="Arial"/>
                  <w:sz w:val="18"/>
                  <w:szCs w:val="18"/>
                  <w:u w:val="single" w:color="auto"/>
                  <w:color w:val="0000FF"/>
                  <w:w w:val="86"/>
                </w:rPr>
                <w:t>)</w:t>
              </w:r>
            </w:hyperlink>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0" w:type="dxa"/>
            <w:vAlign w:val="bottom"/>
            <w:gridSpan w:val="32"/>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First Supplemental Indenture, dated April 25, 2017, among Booz Allen Hamilton Inc., the Subsidiary Guarantors party thereto and Wilmington</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Trust, National Association (Incorporated by reference to Exhibit 4.2 to the Company’s Current Report on Form 8-K filed on April 25, 2017</w:t>
              </w:r>
            </w:hyperlink>
          </w:p>
        </w:tc>
        <w:tc>
          <w:tcPr>
            <w:tcW w:w="200" w:type="dxa"/>
            <w:vAlign w:val="bottom"/>
            <w:tcBorders>
              <w:top w:val="single" w:sz="8" w:color="0000FF"/>
            </w:tcBorders>
            <w:gridSpan w:val="5"/>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2"/>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(File No. 001-34972))</w:t>
              </w:r>
            </w:hyperlink>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80" w:type="dxa"/>
            <w:vAlign w:val="bottom"/>
            <w:tcBorders>
              <w:bottom w:val="single" w:sz="8" w:color="0000FF"/>
            </w:tcBorders>
            <w:gridSpan w:val="28"/>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Form of 5.125% Senior Note due 2025 (Incorporated by reference to Exhibit 4.3 to the Company’s Current Report on Form 8-K filed on April</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0" w:type="dxa"/>
            <w:vAlign w:val="bottom"/>
            <w:gridSpan w:val="32"/>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25, 2017 (File No. 001-34972) (included in Exhibit 4.1 thereto))</w:t>
              </w:r>
            </w:hyperlink>
          </w:p>
        </w:tc>
        <w:tc>
          <w:tcPr>
            <w:tcW w:w="0" w:type="dxa"/>
            <w:vAlign w:val="bottom"/>
          </w:tcPr>
          <w:p>
            <w:pPr>
              <w:spacing w:after="0"/>
              <w:rPr>
                <w:sz w:val="1"/>
                <w:szCs w:val="1"/>
                <w:color w:val="auto"/>
              </w:rPr>
            </w:pPr>
          </w:p>
        </w:tc>
      </w:tr>
      <w:tr>
        <w:trPr>
          <w:trHeight w:val="372"/>
        </w:trPr>
        <w:tc>
          <w:tcPr>
            <w:tcW w:w="580" w:type="dxa"/>
            <w:vAlign w:val="bottom"/>
            <w:gridSpan w:val="3"/>
          </w:tcPr>
          <w:p>
            <w:pPr>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2"/>
              </w:rPr>
            </w:pPr>
            <w:hyperlink w:anchor="page124">
              <w:r>
                <w:rPr>
                  <w:rFonts w:ascii="Arial" w:cs="Arial" w:eastAsia="Arial" w:hAnsi="Arial"/>
                  <w:sz w:val="18"/>
                  <w:szCs w:val="18"/>
                  <w:color w:val="0000FF"/>
                  <w:w w:val="92"/>
                </w:rPr>
                <w:t>Description of Capital Stock*</w:t>
              </w:r>
            </w:hyperlink>
          </w:p>
        </w:tc>
        <w:tc>
          <w:tcPr>
            <w:tcW w:w="2480" w:type="dxa"/>
            <w:vAlign w:val="bottom"/>
            <w:tcBorders>
              <w:top w:val="single" w:sz="8" w:color="0000FF"/>
            </w:tcBorders>
            <w:gridSpan w:val="2"/>
          </w:tcPr>
          <w:p>
            <w:pPr>
              <w:spacing w:after="0"/>
              <w:rPr>
                <w:sz w:val="24"/>
                <w:szCs w:val="24"/>
                <w:color w:val="auto"/>
              </w:rPr>
            </w:pPr>
          </w:p>
        </w:tc>
        <w:tc>
          <w:tcPr>
            <w:tcW w:w="578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10.1†</w:t>
            </w:r>
          </w:p>
        </w:tc>
        <w:tc>
          <w:tcPr>
            <w:tcW w:w="10400" w:type="dxa"/>
            <w:vAlign w:val="bottom"/>
            <w:gridSpan w:val="32"/>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Second Amended and Restated Equity Incentive Plan of Booz Allen Hamilton Holding Corporation (Incorporated by reference to Exhibit 10.2</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to the Company’s Quarterly Report for the period ended September 30, 2014 on Form 10-Q (File No. 001-34972))</w:t>
              </w:r>
            </w:hyperlink>
          </w:p>
        </w:tc>
        <w:tc>
          <w:tcPr>
            <w:tcW w:w="2040" w:type="dxa"/>
            <w:vAlign w:val="bottom"/>
            <w:tcBorders>
              <w:top w:val="single" w:sz="8" w:color="0000FF"/>
            </w:tcBorders>
            <w:gridSpan w:val="13"/>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10.2†</w:t>
            </w:r>
          </w:p>
        </w:tc>
        <w:tc>
          <w:tcPr>
            <w:tcW w:w="10240" w:type="dxa"/>
            <w:vAlign w:val="bottom"/>
            <w:tcBorders>
              <w:bottom w:val="single" w:sz="8" w:color="0000FF"/>
            </w:tcBorders>
            <w:gridSpan w:val="27"/>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Form of Stock Option Agreement under the Equity Incentive Plan of Booz Allen Hamilton Holding Corporation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Exhibit 10.10 to the Company’s Registration Statement on Form S-1 (File No. 333-167645))</w:t>
              </w:r>
            </w:hyperlink>
          </w:p>
        </w:tc>
        <w:tc>
          <w:tcPr>
            <w:tcW w:w="37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10.3†</w:t>
            </w:r>
          </w:p>
        </w:tc>
        <w:tc>
          <w:tcPr>
            <w:tcW w:w="10240" w:type="dxa"/>
            <w:vAlign w:val="bottom"/>
            <w:tcBorders>
              <w:bottom w:val="single" w:sz="8" w:color="0000FF"/>
            </w:tcBorders>
            <w:gridSpan w:val="27"/>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Form of Stock Option Agreement under the Equity Incentive Plan of Booz Allen Hamilton Holding Corporation (Incorporated by reference 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Exhibit 10.11 to the Company’s Registration Statement on Form S-1 (File No. 333-167645))</w:t>
              </w:r>
            </w:hyperlink>
          </w:p>
        </w:tc>
        <w:tc>
          <w:tcPr>
            <w:tcW w:w="37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10.4†</w:t>
            </w:r>
          </w:p>
        </w:tc>
        <w:tc>
          <w:tcPr>
            <w:tcW w:w="10400" w:type="dxa"/>
            <w:vAlign w:val="bottom"/>
            <w:gridSpan w:val="32"/>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Form of Subscription Agreement (Incorporated by reference to Exhibit 10.12 to the Company’s Registration Statement on Form S-1 (File No.</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r:id="rId42">
              <w:r>
                <w:rPr>
                  <w:rFonts w:ascii="Arial" w:cs="Arial" w:eastAsia="Arial" w:hAnsi="Arial"/>
                  <w:sz w:val="18"/>
                  <w:szCs w:val="18"/>
                  <w:color w:val="0000FF"/>
                  <w:w w:val="88"/>
                </w:rPr>
                <w:t>333-167645))</w:t>
              </w:r>
            </w:hyperlink>
          </w:p>
        </w:tc>
        <w:tc>
          <w:tcPr>
            <w:tcW w:w="6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10.5†</w:t>
            </w:r>
          </w:p>
        </w:tc>
        <w:tc>
          <w:tcPr>
            <w:tcW w:w="10400" w:type="dxa"/>
            <w:vAlign w:val="bottom"/>
            <w:gridSpan w:val="32"/>
          </w:tcPr>
          <w:p>
            <w:pPr>
              <w:spacing w:after="0"/>
              <w:rPr>
                <w:rFonts w:ascii="Arial" w:cs="Arial" w:eastAsia="Arial" w:hAnsi="Arial"/>
                <w:sz w:val="18"/>
                <w:szCs w:val="18"/>
                <w:color w:val="0000FF"/>
                <w:w w:val="94"/>
              </w:rPr>
            </w:pPr>
            <w:hyperlink r:id="rId43">
              <w:r>
                <w:rPr>
                  <w:rFonts w:ascii="Arial" w:cs="Arial" w:eastAsia="Arial" w:hAnsi="Arial"/>
                  <w:sz w:val="18"/>
                  <w:szCs w:val="18"/>
                  <w:color w:val="0000FF"/>
                  <w:w w:val="94"/>
                </w:rPr>
                <w:t>Amended and Restated Booz Allen Hamilton Holding Corporation Annual Incentive Plan (Incorporated by reference to Exhibit 10.10 to the</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8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Company’s Quarterly Report for the period ended September 30, 2014 on Form 10-Q (File No. 001-34972))</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5"/>
          </w:tcPr>
          <w:p>
            <w:pPr>
              <w:spacing w:after="0" w:line="20" w:lineRule="exact"/>
              <w:rPr>
                <w:sz w:val="1"/>
                <w:szCs w:val="1"/>
                <w:color w:val="auto"/>
              </w:rPr>
            </w:pPr>
          </w:p>
        </w:tc>
        <w:tc>
          <w:tcPr>
            <w:tcW w:w="5740" w:type="dxa"/>
            <w:vAlign w:val="bottom"/>
            <w:gridSpan w:val="10"/>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gridSpan w:val="5"/>
          </w:tcPr>
          <w:p>
            <w:pPr>
              <w:spacing w:after="0"/>
              <w:rPr>
                <w:sz w:val="20"/>
                <w:szCs w:val="20"/>
                <w:color w:val="auto"/>
              </w:rPr>
            </w:pPr>
            <w:r>
              <w:rPr>
                <w:rFonts w:ascii="Arial" w:cs="Arial" w:eastAsia="Arial" w:hAnsi="Arial"/>
                <w:sz w:val="18"/>
                <w:szCs w:val="18"/>
                <w:color w:val="auto"/>
              </w:rPr>
              <w:t>10.6†</w:t>
            </w:r>
          </w:p>
        </w:tc>
        <w:tc>
          <w:tcPr>
            <w:tcW w:w="10400" w:type="dxa"/>
            <w:vAlign w:val="bottom"/>
            <w:gridSpan w:val="32"/>
          </w:tcPr>
          <w:p>
            <w:pPr>
              <w:spacing w:after="0"/>
              <w:rPr>
                <w:rFonts w:ascii="Arial" w:cs="Arial" w:eastAsia="Arial" w:hAnsi="Arial"/>
                <w:sz w:val="18"/>
                <w:szCs w:val="18"/>
                <w:color w:val="0000FF"/>
                <w:w w:val="96"/>
              </w:rPr>
            </w:pPr>
            <w:hyperlink r:id="rId44">
              <w:r>
                <w:rPr>
                  <w:rFonts w:ascii="Arial" w:cs="Arial" w:eastAsia="Arial" w:hAnsi="Arial"/>
                  <w:sz w:val="18"/>
                  <w:szCs w:val="18"/>
                  <w:color w:val="0000FF"/>
                  <w:w w:val="96"/>
                </w:rPr>
                <w:t>Booz Allen Hamilton Holding Corporation Officers’ Retirement Plan (Incorporated by reference to Exhibit 10.6 to the Company’s Annual</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7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Report for the year ended March 31, 2018 on Form 10-K (File No. 001-34972))</w:t>
              </w:r>
            </w:hyperlink>
          </w:p>
        </w:tc>
        <w:tc>
          <w:tcPr>
            <w:tcW w:w="4280" w:type="dxa"/>
            <w:vAlign w:val="bottom"/>
            <w:tcBorders>
              <w:top w:val="single" w:sz="8" w:color="0000FF"/>
            </w:tcBorders>
            <w:gridSpan w:val="11"/>
          </w:tcPr>
          <w:p>
            <w:pPr>
              <w:spacing w:after="0"/>
              <w:rPr>
                <w:sz w:val="17"/>
                <w:szCs w:val="17"/>
                <w:color w:val="auto"/>
              </w:rPr>
            </w:pPr>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80" w:top="1337" w:right="29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320"/>
          </w:cols>
          <w:pgMar w:left="280" w:top="1337" w:right="29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340" w:type="dxa"/>
            <w:vAlign w:val="bottom"/>
            <w:tcBorders>
              <w:bottom w:val="single" w:sz="8" w:color="0000FF"/>
            </w:tcBorders>
            <w:gridSpan w:val="30"/>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Officer’s Comprehensive Medical and Dental Choice Plans (Incorporated by reference to Exhibit 10.7 to the Company’s Annual Report for the</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year ended March 31, 2018 on Form 10-K (File No. 001-34972))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420" w:type="dxa"/>
            <w:vAlign w:val="bottom"/>
            <w:gridSpan w:val="34"/>
          </w:tcPr>
          <w:p>
            <w:pPr>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Retired Officer’s Comprehensive Medical and Dental Choice Plans (Incorporated by reference to Exhibit 10.8 to the Company’s Annual Report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34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for the year ended March 31, 2018 on Form 10-K (File No. 001-34972))</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420" w:type="dxa"/>
            <w:vAlign w:val="bottom"/>
            <w:tcBorders>
              <w:bottom w:val="single" w:sz="8" w:color="0000FF"/>
            </w:tcBorders>
            <w:gridSpan w:val="34"/>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Group Variable Universal Life Insurance (Incorporated by reference to Exhibit 10.14 to the Company’s Annual Report for the year ended March</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3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31, 2015 on Form 10-K (File No. 001-34972))</w:t>
              </w:r>
            </w:hyperlink>
          </w:p>
        </w:tc>
        <w:tc>
          <w:tcPr>
            <w:tcW w:w="70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420" w:type="dxa"/>
            <w:vAlign w:val="bottom"/>
            <w:gridSpan w:val="34"/>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Group Personal Excess Liability Insurance*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020" w:type="dxa"/>
            <w:vAlign w:val="bottom"/>
            <w:tcBorders>
              <w:bottom w:val="single" w:sz="8" w:color="0000FF"/>
            </w:tcBorders>
            <w:gridSpan w:val="18"/>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Officer Annual Performance Bonus Policy (Incorporated by reference to Exhibit 10.11 to the Company’s Annual Report for the year ended</w:t>
              </w:r>
            </w:hyperlink>
          </w:p>
        </w:tc>
        <w:tc>
          <w:tcPr>
            <w:tcW w:w="4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86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March 31, 2018 on Form 10-K (File No. 001-34972))</w:t>
              </w:r>
            </w:hyperlink>
          </w:p>
        </w:tc>
        <w:tc>
          <w:tcPr>
            <w:tcW w:w="65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020" w:type="dxa"/>
            <w:vAlign w:val="bottom"/>
            <w:tcBorders>
              <w:bottom w:val="single" w:sz="8" w:color="0000FF"/>
            </w:tcBorders>
            <w:gridSpan w:val="18"/>
          </w:tcPr>
          <w:p>
            <w:pPr>
              <w:spacing w:after="0"/>
              <w:rPr>
                <w:rFonts w:ascii="Arial" w:cs="Arial" w:eastAsia="Arial" w:hAnsi="Arial"/>
                <w:sz w:val="18"/>
                <w:szCs w:val="18"/>
                <w:color w:val="0000FF"/>
                <w:w w:val="93"/>
              </w:rPr>
            </w:pPr>
            <w:hyperlink r:id="rId49">
              <w:r>
                <w:rPr>
                  <w:rFonts w:ascii="Arial" w:cs="Arial" w:eastAsia="Arial" w:hAnsi="Arial"/>
                  <w:sz w:val="18"/>
                  <w:szCs w:val="18"/>
                  <w:color w:val="0000FF"/>
                  <w:w w:val="93"/>
                </w:rPr>
                <w:t>Form of Booz Allen Hamilton Holding Corporation Director and Officer Indemnification Agreement (Incorporated by reference to Exhibit</w:t>
              </w:r>
            </w:hyperlink>
          </w:p>
        </w:tc>
        <w:tc>
          <w:tcPr>
            <w:tcW w:w="4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23</w:t>
              </w:r>
              <w:r>
                <w:rPr>
                  <w:rFonts w:ascii="Arial" w:cs="Arial" w:eastAsia="Arial" w:hAnsi="Arial"/>
                  <w:sz w:val="18"/>
                  <w:szCs w:val="18"/>
                  <w:color w:val="0000FF"/>
                </w:rPr>
                <w:t xml:space="preserve"> to the Company’s Registration Statement on Form S-1 (File No. 333-167645))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020" w:type="dxa"/>
            <w:vAlign w:val="bottom"/>
            <w:gridSpan w:val="6"/>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420" w:type="dxa"/>
            <w:vAlign w:val="bottom"/>
            <w:gridSpan w:val="34"/>
          </w:tcPr>
          <w:p>
            <w:pPr>
              <w:spacing w:after="0"/>
              <w:rPr>
                <w:rFonts w:ascii="Arial" w:cs="Arial" w:eastAsia="Arial" w:hAnsi="Arial"/>
                <w:sz w:val="18"/>
                <w:szCs w:val="18"/>
                <w:color w:val="0000FF"/>
                <w:w w:val="97"/>
              </w:rPr>
            </w:pPr>
            <w:hyperlink r:id="rId50">
              <w:r>
                <w:rPr>
                  <w:rFonts w:ascii="Arial" w:cs="Arial" w:eastAsia="Arial" w:hAnsi="Arial"/>
                  <w:sz w:val="18"/>
                  <w:szCs w:val="18"/>
                  <w:color w:val="0000FF"/>
                  <w:w w:val="97"/>
                </w:rPr>
                <w:t>Form of Stock Option Agreement under the Amended and Restated Equity Incentive Plan of Booz Allen Hamilton Holding Corporation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(Incorporated by reference to Exhibit 10.23 to the Company’s Annual Report for the year ended March 31, 2011 on Form 10-K (File No. 001-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34972)</w:t>
              </w:r>
              <w:r>
                <w:rPr>
                  <w:rFonts w:ascii="Arial" w:cs="Arial" w:eastAsia="Arial" w:hAnsi="Arial"/>
                  <w:sz w:val="18"/>
                  <w:szCs w:val="18"/>
                  <w:u w:val="single" w:color="auto"/>
                  <w:color w:val="0000FF"/>
                  <w:w w:val="90"/>
                </w:rPr>
                <w:t>)</w:t>
              </w:r>
            </w:hyperlink>
          </w:p>
        </w:tc>
        <w:tc>
          <w:tcPr>
            <w:tcW w:w="32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180" w:type="dxa"/>
            <w:vAlign w:val="bottom"/>
            <w:tcBorders>
              <w:bottom w:val="single" w:sz="8" w:color="0000FF"/>
            </w:tcBorders>
            <w:gridSpan w:val="26"/>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Officer Transition Policy (Incorporated by reference to Exhibit 10.14 to the Company’s Annual Report for the year ended March 31, 2018 on</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4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Form 10-K (File No. 001-34972))</w:t>
              </w:r>
            </w:hyperlink>
          </w:p>
        </w:tc>
        <w:tc>
          <w:tcPr>
            <w:tcW w:w="79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0420" w:type="dxa"/>
            <w:vAlign w:val="bottom"/>
            <w:gridSpan w:val="34"/>
          </w:tcPr>
          <w:p>
            <w:pPr>
              <w:spacing w:after="0"/>
              <w:rPr>
                <w:rFonts w:ascii="Arial" w:cs="Arial" w:eastAsia="Arial" w:hAnsi="Arial"/>
                <w:sz w:val="18"/>
                <w:szCs w:val="18"/>
                <w:color w:val="0000FF"/>
                <w:w w:val="97"/>
              </w:rPr>
            </w:pPr>
            <w:hyperlink r:id="rId52">
              <w:r>
                <w:rPr>
                  <w:rFonts w:ascii="Arial" w:cs="Arial" w:eastAsia="Arial" w:hAnsi="Arial"/>
                  <w:sz w:val="18"/>
                  <w:szCs w:val="18"/>
                  <w:color w:val="0000FF"/>
                  <w:w w:val="97"/>
                </w:rPr>
                <w:t>Form of Stock Option Agreement under the Amended and Restated Equity Incentive Plan of Booz Allen Hamilton Holding Corporation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tcBorders>
              <w:bottom w:val="single" w:sz="8" w:color="0000FF"/>
            </w:tcBorders>
            <w:gridSpan w:val="34"/>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(Incorporated by reference to Exhibit 10.25 to the Company’s Quarterly Report for the period ended December 31, 2011 on Form 10-Q (File No.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001-34972))</w:t>
              </w:r>
            </w:hyperlink>
          </w:p>
        </w:tc>
        <w:tc>
          <w:tcPr>
            <w:tcW w:w="1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0160" w:type="dxa"/>
            <w:vAlign w:val="bottom"/>
            <w:tcBorders>
              <w:bottom w:val="single" w:sz="8" w:color="0000FF"/>
            </w:tcBorders>
            <w:gridSpan w:val="25"/>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Credit Agreement among Booz Allen Hamilton Inc., as the Borrower, the several lenders from time to time parties thereto, Bank of America,</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6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N.A., as Administrative Agent, Collateral Agent and Issuing Lender, Merrill Lynch, Pierce, Fenner &amp; Smith Incorporated and Credit Suisse</w:t>
              </w:r>
            </w:hyperlink>
          </w:p>
        </w:tc>
        <w:tc>
          <w:tcPr>
            <w:tcW w:w="3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5"/>
              </w:rPr>
            </w:pPr>
            <w:hyperlink r:id="rId53">
              <w:r>
                <w:rPr>
                  <w:rFonts w:ascii="Arial" w:cs="Arial" w:eastAsia="Arial" w:hAnsi="Arial"/>
                  <w:sz w:val="18"/>
                  <w:szCs w:val="18"/>
                  <w:color w:val="0000FF"/>
                  <w:w w:val="95"/>
                </w:rPr>
                <w:t>Securities (USA) LLC, as Joint Lead Arrangers, Merrill Lynch, Pierce, Fenner &amp; Smith Incorporated, Credit Suisse Securities (USA) LLC,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Barclays Bank PLC, Citigroup Global Markets Inc., HSBC Securities (USA) Inc., J.P. Morgan Securities LLC, Morgan Stanley Senior Funding,</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380" w:type="dxa"/>
            <w:vAlign w:val="bottom"/>
            <w:tcBorders>
              <w:top w:val="single" w:sz="8" w:color="0000FF"/>
            </w:tcBorders>
            <w:gridSpan w:val="32"/>
          </w:tcPr>
          <w:p>
            <w:pPr>
              <w:spacing w:after="0" w:line="19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Inc. and Sumimoto Mitsui Banking Corporation, as Joint Bookrunners, Credit Suisse Securities (USA) LLC, as Syndication Agent, Barclays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Bank PLC, Citigroup Global Markets Inc., HSBC Securities (USA) Inc., J.P. Morgan Securities LLC, Morgan Stanley Senior Funding, Inc.,</w:t>
              </w:r>
            </w:hyperlink>
          </w:p>
        </w:tc>
        <w:tc>
          <w:tcPr>
            <w:tcW w:w="40" w:type="dxa"/>
            <w:vAlign w:val="bottom"/>
            <w:tcBorders>
              <w:top w:val="single" w:sz="8" w:color="0000FF"/>
            </w:tcBorders>
            <w:gridSpan w:val="2"/>
          </w:tcPr>
          <w:p>
            <w:pPr>
              <w:spacing w:after="0"/>
              <w:rPr>
                <w:sz w:val="17"/>
                <w:szCs w:val="17"/>
                <w:color w:val="auto"/>
              </w:rPr>
            </w:pPr>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Sumimoto Mitsui Banking Corporation and The Bank of Tokyo-Mitsubishi UFJ, Ltd., as Co-Documentation Agents, dated as of July 31, 2012</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86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(Incorporated by reference to Exhibit 10.1 to the Company’s Current Report on Form 8-K filed on August 1, 2012 (File No. 001-34972))</w:t>
              </w:r>
            </w:hyperlink>
          </w:p>
        </w:tc>
        <w:tc>
          <w:tcPr>
            <w:tcW w:w="380" w:type="dxa"/>
            <w:vAlign w:val="bottom"/>
            <w:tcBorders>
              <w:top w:val="single" w:sz="8" w:color="0000FF"/>
            </w:tcBorders>
            <w:gridSpan w:val="12"/>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0300" w:type="dxa"/>
            <w:vAlign w:val="bottom"/>
            <w:tcBorders>
              <w:bottom w:val="single" w:sz="8" w:color="0000FF"/>
            </w:tcBorders>
            <w:gridSpan w:val="29"/>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Guarantee and Collateral Agreement, among Booz Allen Hamilton Investor Corporation, Booz Allen Hamilton Inc., ASE, Inc. and Booz Allen</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10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54">
              <w:r>
                <w:rPr>
                  <w:rFonts w:ascii="Arial" w:cs="Arial" w:eastAsia="Arial" w:hAnsi="Arial"/>
                  <w:sz w:val="18"/>
                  <w:szCs w:val="18"/>
                  <w:color w:val="0000FF"/>
                  <w:w w:val="92"/>
                </w:rPr>
                <w:t>Hamilton International, Inc., in favor of Bank of America, N.A., as Collateral Agent, dated as of July 31, 2012 (Incorporated by reference to</w:t>
              </w:r>
            </w:hyperlink>
          </w:p>
        </w:tc>
        <w:tc>
          <w:tcPr>
            <w:tcW w:w="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Exhibit 10.2 to the Company’s Current Report on Form 8-K filed on August 1, 2012 (File No. 001-34972))</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color w:val="auto"/>
              </w:rPr>
              <w:t>10.18</w:t>
            </w: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vMerge w:val="continue"/>
          </w:tcPr>
          <w:p>
            <w:pPr>
              <w:spacing w:after="0"/>
              <w:rPr>
                <w:sz w:val="24"/>
                <w:szCs w:val="24"/>
                <w:color w:val="auto"/>
              </w:rPr>
            </w:pPr>
          </w:p>
        </w:tc>
        <w:tc>
          <w:tcPr>
            <w:tcW w:w="10020" w:type="dxa"/>
            <w:vAlign w:val="bottom"/>
            <w:gridSpan w:val="18"/>
            <w:vMerge w:val="restart"/>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First Amendment to Credit Agreement, dated as of August 16, 2013, among Booz Allen Hamilton Inc., as Borrower, Booz Allen Hamilton</w:t>
              </w:r>
            </w:hyperlink>
          </w:p>
        </w:tc>
        <w:tc>
          <w:tcPr>
            <w:tcW w:w="400" w:type="dxa"/>
            <w:vAlign w:val="bottom"/>
            <w:gridSpan w:val="1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920" w:type="dxa"/>
            <w:vAlign w:val="bottom"/>
          </w:tcPr>
          <w:p>
            <w:pPr>
              <w:spacing w:after="0"/>
              <w:rPr>
                <w:sz w:val="3"/>
                <w:szCs w:val="3"/>
                <w:color w:val="auto"/>
              </w:rPr>
            </w:pPr>
          </w:p>
        </w:tc>
        <w:tc>
          <w:tcPr>
            <w:tcW w:w="10020" w:type="dxa"/>
            <w:vAlign w:val="bottom"/>
            <w:tcBorders>
              <w:bottom w:val="single" w:sz="8" w:color="0000FF"/>
            </w:tcBorders>
            <w:gridSpan w:val="18"/>
            <w:vMerge w:val="continue"/>
          </w:tcPr>
          <w:p>
            <w:pPr>
              <w:spacing w:after="0"/>
              <w:rPr>
                <w:sz w:val="3"/>
                <w:szCs w:val="3"/>
                <w:color w:val="auto"/>
              </w:rPr>
            </w:pPr>
          </w:p>
        </w:tc>
        <w:tc>
          <w:tcPr>
            <w:tcW w:w="400" w:type="dxa"/>
            <w:vAlign w:val="bottom"/>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Investor Corporation, Booz Allen Hamilton Engineering Holding Co., LLC, Booz Allen Hamilton Engineering Services, LLC, SDI Technology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180" w:type="dxa"/>
            <w:vAlign w:val="bottom"/>
            <w:tcBorders>
              <w:top w:val="single" w:sz="8" w:color="0000FF"/>
              <w:bottom w:val="single" w:sz="8" w:color="0000FF"/>
            </w:tcBorders>
            <w:gridSpan w:val="26"/>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Corporation, and Booz Allen Hamilton International, Inc., as Guarantors,, Bank of America, N.A., as Administrative Agent, Collateral Agent</w:t>
              </w:r>
            </w:hyperlink>
          </w:p>
        </w:tc>
        <w:tc>
          <w:tcPr>
            <w:tcW w:w="160" w:type="dxa"/>
            <w:vAlign w:val="bottom"/>
            <w:tcBorders>
              <w:top w:val="single" w:sz="8" w:color="0000FF"/>
            </w:tcBorders>
            <w:gridSpan w:val="4"/>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and New Refinancing Tranche B Term Lender, and the other Lenders and financial institutions from time to time party thereto. (Incorporated by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7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reference to Exhibit 10.1 to the Company’s Current Report on Form 8-K filed on August 20, 2013 (File No. 001-34972))</w:t>
              </w:r>
            </w:hyperlink>
          </w:p>
        </w:tc>
        <w:tc>
          <w:tcPr>
            <w:tcW w:w="1660" w:type="dxa"/>
            <w:vAlign w:val="bottom"/>
            <w:tcBorders>
              <w:top w:val="single" w:sz="8" w:color="0000FF"/>
            </w:tcBorders>
            <w:gridSpan w:val="17"/>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0140" w:type="dxa"/>
            <w:vAlign w:val="bottom"/>
            <w:tcBorders>
              <w:bottom w:val="single" w:sz="8" w:color="0000FF"/>
            </w:tcBorders>
            <w:gridSpan w:val="24"/>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Form of Employment Agreement (Incorporated by reference to Exhibit 10.27 to the Company’s Annual Report for the year ended March 31,</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2014 on Form 10-K (File No. 001-34972))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10040" w:type="dxa"/>
            <w:vAlign w:val="bottom"/>
            <w:tcBorders>
              <w:bottom w:val="single" w:sz="8" w:color="0000FF"/>
            </w:tcBorders>
            <w:gridSpan w:val="19"/>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Form of Restricted Stock Agreement under the Amended and Restated Equity Incentive Plan of Booz Allen Hamilton Holding Corporation</w:t>
              </w:r>
            </w:hyperlink>
          </w:p>
        </w:tc>
        <w:tc>
          <w:tcPr>
            <w:tcW w:w="3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(Incorporated by reference to Exhibit 10.28 to the Company’s Annual Report for the year ended March 31, 2014 on Form 10-K (File No. 001-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34972)</w:t>
              </w:r>
              <w:r>
                <w:rPr>
                  <w:rFonts w:ascii="Arial" w:cs="Arial" w:eastAsia="Arial" w:hAnsi="Arial"/>
                  <w:sz w:val="18"/>
                  <w:szCs w:val="18"/>
                  <w:u w:val="single" w:color="auto"/>
                  <w:color w:val="0000FF"/>
                  <w:w w:val="90"/>
                </w:rPr>
                <w:t>)</w:t>
              </w:r>
            </w:hyperlink>
          </w:p>
        </w:tc>
        <w:tc>
          <w:tcPr>
            <w:tcW w:w="32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0420" w:type="dxa"/>
            <w:vAlign w:val="bottom"/>
            <w:tcBorders>
              <w:bottom w:val="single" w:sz="8" w:color="0000FF"/>
            </w:tcBorders>
            <w:gridSpan w:val="34"/>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Form of Restricted Stock Unit Agreement under the Amended and Restated Equity Incentive Plan of Booz Allen Hamilton Holding Corporation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(Incorporated by reference to Exhibit 10.29 to the Company’s Annual Report for the year ended March 31, 2014 on Form 10-K (File No. 001-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8">
              <w:r>
                <w:rPr>
                  <w:rFonts w:ascii="Arial" w:cs="Arial" w:eastAsia="Arial" w:hAnsi="Arial"/>
                  <w:sz w:val="18"/>
                  <w:szCs w:val="18"/>
                  <w:color w:val="0000FF"/>
                  <w:w w:val="86"/>
                </w:rPr>
                <w:t>34972)</w:t>
              </w:r>
              <w:r>
                <w:rPr>
                  <w:rFonts w:ascii="Arial" w:cs="Arial" w:eastAsia="Arial" w:hAnsi="Arial"/>
                  <w:sz w:val="18"/>
                  <w:szCs w:val="18"/>
                  <w:u w:val="single" w:color="auto"/>
                  <w:color w:val="0000FF"/>
                  <w:w w:val="86"/>
                </w:rPr>
                <w:t>)</w:t>
              </w:r>
            </w:hyperlink>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10.22</w:t>
            </w:r>
          </w:p>
        </w:tc>
        <w:tc>
          <w:tcPr>
            <w:tcW w:w="9920" w:type="dxa"/>
            <w:vAlign w:val="bottom"/>
            <w:tcBorders>
              <w:bottom w:val="single" w:sz="8" w:color="0000FF"/>
            </w:tcBorders>
            <w:gridSpan w:val="17"/>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Second Amendment to Credit Agreement, dated as of May 7, 2014, among Booz Allen Hamilton Inc., as Borrower, Booz Allen Hamilton</w:t>
              </w:r>
            </w:hyperlink>
          </w:p>
        </w:tc>
        <w:tc>
          <w:tcPr>
            <w:tcW w:w="5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Investor Corporation, Booz Allen Hamilton Engineering Holding Co., LLC, Booz Allen Hamilton Engineering Services, LLC, SDI Technology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20" w:type="dxa"/>
            <w:vAlign w:val="bottom"/>
            <w:gridSpan w:val="12"/>
            <w:shd w:val="clear" w:color="auto" w:fill="0000FF"/>
          </w:tcPr>
          <w:p>
            <w:pPr>
              <w:spacing w:after="0" w:line="20" w:lineRule="exact"/>
              <w:rPr>
                <w:sz w:val="1"/>
                <w:szCs w:val="1"/>
                <w:color w:val="auto"/>
              </w:rPr>
            </w:pPr>
          </w:p>
        </w:tc>
        <w:tc>
          <w:tcPr>
            <w:tcW w:w="3320" w:type="dxa"/>
            <w:vAlign w:val="bottom"/>
            <w:tcBorders>
              <w:right w:val="single" w:sz="8" w:color="0000FF"/>
            </w:tcBorders>
            <w:gridSpan w:val="18"/>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400" w:type="dxa"/>
            <w:vAlign w:val="bottom"/>
            <w:tcBorders>
              <w:bottom w:val="single" w:sz="8" w:color="0000FF"/>
            </w:tcBorders>
            <w:gridSpan w:val="33"/>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Corporation, ASE, Inc. and Booz Allen Hamilton International, Inc., as Guarantors, Bank of America, N.A., as Administrative Agent, Collateral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420" w:type="dxa"/>
            <w:vAlign w:val="bottom"/>
            <w:gridSpan w:val="34"/>
          </w:tcPr>
          <w:p>
            <w:pPr>
              <w:spacing w:after="0" w:line="19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Agent and Issuing Lender, and the other Lenders and financial institutions from time to time party thereto (Incorporated by reference to Exhibit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34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Company’s Current Report on Form 8-K filed on May 13, 2014 (File No. 001-34972))</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837" w:right="27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340"/>
          </w:cols>
          <w:pgMar w:left="280" w:top="837" w:right="279" w:bottom="1440" w:gutter="0" w:footer="0" w:header="0"/>
          <w:type w:val="continuous"/>
        </w:sectPr>
      </w:pPr>
    </w:p>
    <w:bookmarkStart w:id="118" w:name="page119"/>
    <w:bookmarkEnd w:id="118"/>
    <w:p>
      <w:pPr>
        <w:ind w:right="40" w:hanging="917"/>
        <w:spacing w:after="0" w:line="297" w:lineRule="auto"/>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 xml:space="preserve"> </w:t>
      </w:r>
      <w:hyperlink r:id="rId60">
        <w:r>
          <w:rPr>
            <w:rFonts w:ascii="Arial" w:cs="Arial" w:eastAsia="Arial" w:hAnsi="Arial"/>
            <w:sz w:val="16"/>
            <w:szCs w:val="16"/>
            <w:u w:val="single" w:color="auto"/>
            <w:color w:val="0000FF"/>
          </w:rPr>
          <w:t>Third Amendment to Credit Agreement, dated as of July 13, 2016, among Booz Allen Hamilton Inc., as Borrower, Booz Allen Hamilton</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Investor Corporation, Booz Allen Hamilton Engineering Holding Co., LLC, Booz Allen Hamilton Engineering Services, LLC, SDI Technology</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Corporation, ASE, Inc. and Booz Allen Hamilton International, Inc., as Guarantors, Bank of America, N.A., as Administrative Agent, Collateral</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Agent and New Refinancing Tranche B Term Lender, and the other Lenders and financial institutions from time to time party thereto</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(Incorporated by reference to Exhibit 10.1 to the Company’s Current Report on Form 8-K filed on July 18, 2016 (File No. 001-34972))</w:t>
        </w:r>
      </w:hyperlink>
    </w:p>
    <w:p>
      <w:pPr>
        <w:spacing w:after="0" w:line="118" w:lineRule="exact"/>
        <w:rPr>
          <w:rFonts w:ascii="Arial" w:cs="Arial" w:eastAsia="Arial" w:hAnsi="Arial"/>
          <w:sz w:val="16"/>
          <w:szCs w:val="16"/>
          <w:u w:val="single" w:color="auto"/>
          <w:color w:val="0000FF"/>
        </w:rPr>
      </w:pPr>
    </w:p>
    <w:p>
      <w:pPr>
        <w:ind w:right="240" w:hanging="917"/>
        <w:spacing w:after="0" w:line="276" w:lineRule="auto"/>
        <w:rPr>
          <w:rFonts w:ascii="Arial" w:cs="Arial" w:eastAsia="Arial" w:hAnsi="Arial"/>
          <w:sz w:val="17"/>
          <w:szCs w:val="17"/>
          <w:u w:val="single" w:color="auto"/>
          <w:color w:val="0000FF"/>
        </w:rPr>
      </w:pPr>
      <w:r>
        <w:rPr>
          <w:rFonts w:ascii="Arial" w:cs="Arial" w:eastAsia="Arial" w:hAnsi="Arial"/>
          <w:sz w:val="18"/>
          <w:szCs w:val="18"/>
          <w:color w:val="auto"/>
        </w:rPr>
        <w:t>10.24</w:t>
      </w:r>
      <w:r>
        <w:rPr>
          <w:sz w:val="20"/>
          <w:szCs w:val="20"/>
          <w:color w:val="auto"/>
        </w:rPr>
        <w:t xml:space="preserve"> </w:t>
      </w:r>
      <w:hyperlink r:id="rId61">
        <w:r>
          <w:rPr>
            <w:rFonts w:ascii="Arial" w:cs="Arial" w:eastAsia="Arial" w:hAnsi="Arial"/>
            <w:sz w:val="17"/>
            <w:szCs w:val="17"/>
            <w:u w:val="single" w:color="auto"/>
            <w:color w:val="0000FF"/>
          </w:rPr>
          <w:t>Fourth Amendment to Credit Agreement, dated as of February 6, 2017, among Booz Allen Hamilton Inc., as Borrower, Booz Allen Hamilton</w:t>
        </w:r>
      </w:hyperlink>
      <w:r>
        <w:rPr>
          <w:rFonts w:ascii="Arial" w:cs="Arial" w:eastAsia="Arial" w:hAnsi="Arial"/>
          <w:sz w:val="17"/>
          <w:szCs w:val="17"/>
          <w:u w:val="single" w:color="auto"/>
          <w:color w:val="0000FF"/>
        </w:rPr>
        <w:t xml:space="preserve"> </w:t>
      </w:r>
      <w:hyperlink r:id="rId61">
        <w:r>
          <w:rPr>
            <w:rFonts w:ascii="Arial" w:cs="Arial" w:eastAsia="Arial" w:hAnsi="Arial"/>
            <w:sz w:val="17"/>
            <w:szCs w:val="17"/>
            <w:u w:val="single" w:color="auto"/>
            <w:color w:val="0000FF"/>
          </w:rPr>
          <w:t>Investor Corporation, Booz Allen Hamilton Engineering Holding Co., LLC, Booz Allen Hamilton Engineering Services, LLC and SDI</w:t>
        </w:r>
      </w:hyperlink>
      <w:r>
        <w:rPr>
          <w:rFonts w:ascii="Arial" w:cs="Arial" w:eastAsia="Arial" w:hAnsi="Arial"/>
          <w:sz w:val="17"/>
          <w:szCs w:val="17"/>
          <w:u w:val="single" w:color="auto"/>
          <w:color w:val="0000FF"/>
        </w:rPr>
        <w:t xml:space="preserve"> </w:t>
      </w:r>
      <w:hyperlink r:id="rId61">
        <w:r>
          <w:rPr>
            <w:rFonts w:ascii="Arial" w:cs="Arial" w:eastAsia="Arial" w:hAnsi="Arial"/>
            <w:sz w:val="17"/>
            <w:szCs w:val="17"/>
            <w:u w:val="single" w:color="auto"/>
            <w:color w:val="0000FF"/>
          </w:rPr>
          <w:t>Technology Corporation, as Guarantors, Bank of America, N.A., as Administrative Agent, Collateral Agent and New Refinancing Tranche B</w:t>
        </w:r>
      </w:hyperlink>
      <w:r>
        <w:rPr>
          <w:rFonts w:ascii="Arial" w:cs="Arial" w:eastAsia="Arial" w:hAnsi="Arial"/>
          <w:sz w:val="17"/>
          <w:szCs w:val="17"/>
          <w:u w:val="single" w:color="auto"/>
          <w:color w:val="0000FF"/>
        </w:rPr>
        <w:t xml:space="preserve"> </w:t>
      </w:r>
      <w:hyperlink r:id="rId61">
        <w:r>
          <w:rPr>
            <w:rFonts w:ascii="Arial" w:cs="Arial" w:eastAsia="Arial" w:hAnsi="Arial"/>
            <w:sz w:val="17"/>
            <w:szCs w:val="17"/>
            <w:u w:val="single" w:color="auto"/>
            <w:color w:val="0000FF"/>
          </w:rPr>
          <w:t>Term Lender, and the other Lenders and financial institutions from time to time party thereto (Incorporated by reference to Exhibit 10.1 to the</w:t>
        </w:r>
      </w:hyperlink>
      <w:r>
        <w:rPr>
          <w:rFonts w:ascii="Arial" w:cs="Arial" w:eastAsia="Arial" w:hAnsi="Arial"/>
          <w:sz w:val="17"/>
          <w:szCs w:val="17"/>
          <w:u w:val="single" w:color="auto"/>
          <w:color w:val="0000FF"/>
        </w:rPr>
        <w:t xml:space="preserve"> </w:t>
      </w:r>
      <w:hyperlink r:id="rId61">
        <w:r>
          <w:rPr>
            <w:rFonts w:ascii="Arial" w:cs="Arial" w:eastAsia="Arial" w:hAnsi="Arial"/>
            <w:sz w:val="17"/>
            <w:szCs w:val="17"/>
            <w:u w:val="single" w:color="auto"/>
            <w:color w:val="0000FF"/>
          </w:rPr>
          <w:t>Company’s Current Report on Form 8-K filed on February 7, 2017 (File No. 001-34972))</w:t>
        </w:r>
      </w:hyperlink>
    </w:p>
    <w:p>
      <w:pPr>
        <w:spacing w:after="0" w:line="132" w:lineRule="exact"/>
        <w:rPr>
          <w:rFonts w:ascii="Arial" w:cs="Arial" w:eastAsia="Arial" w:hAnsi="Arial"/>
          <w:sz w:val="17"/>
          <w:szCs w:val="17"/>
          <w:u w:val="single" w:color="auto"/>
          <w:color w:val="0000FF"/>
        </w:rPr>
      </w:pPr>
    </w:p>
    <w:p>
      <w:pPr>
        <w:ind w:right="100" w:hanging="917"/>
        <w:spacing w:after="0" w:line="297" w:lineRule="auto"/>
        <w:rPr>
          <w:rFonts w:ascii="Arial" w:cs="Arial" w:eastAsia="Arial" w:hAnsi="Arial"/>
          <w:sz w:val="16"/>
          <w:szCs w:val="16"/>
          <w:u w:val="single" w:color="auto"/>
          <w:color w:val="0000FF"/>
        </w:rPr>
      </w:pPr>
      <w:r>
        <w:rPr>
          <w:rFonts w:ascii="Arial" w:cs="Arial" w:eastAsia="Arial" w:hAnsi="Arial"/>
          <w:sz w:val="18"/>
          <w:szCs w:val="18"/>
          <w:color w:val="auto"/>
        </w:rPr>
        <w:t>10.25</w:t>
      </w:r>
      <w:r>
        <w:rPr>
          <w:sz w:val="20"/>
          <w:szCs w:val="20"/>
          <w:color w:val="auto"/>
        </w:rPr>
        <w:t xml:space="preserve"> </w:t>
      </w:r>
      <w:hyperlink r:id="rId62">
        <w:r>
          <w:rPr>
            <w:rFonts w:ascii="Arial" w:cs="Arial" w:eastAsia="Arial" w:hAnsi="Arial"/>
            <w:sz w:val="16"/>
            <w:szCs w:val="16"/>
            <w:u w:val="single" w:color="auto"/>
            <w:color w:val="0000FF"/>
          </w:rPr>
          <w:t>Fifth Amendment to Credit Agreement, dated as of March 7, 2018, among Booz Allen Hamilton Inc., as Borrower, Booz Allen Hamilton</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Investor Corporation, Booz Allen Hamilton Engineering Holding Co., LLC, Booz Allen Hamilton Engineering Services, LLC, SDI Technology</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Corporation, eGov Holdings, Inc. and Aquilent, Inc., as Guarantors, Bank of America, N.A., as Administrative Agent, Collateral Agent,</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Exchanging Lender and New Refinancing Tranche B Term Lender, and the other Lenders and financial institutions from time to time party</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thereto (Incorporated by reference to Exhibit 10.1 to the Company’s Current Report on Form 8-K filed on March 7, 2018 (File No. 001-34972))</w:t>
        </w:r>
      </w:hyperlink>
    </w:p>
    <w:p>
      <w:pPr>
        <w:spacing w:after="0" w:line="118" w:lineRule="exact"/>
        <w:rPr>
          <w:rFonts w:ascii="Arial" w:cs="Arial" w:eastAsia="Arial" w:hAnsi="Arial"/>
          <w:sz w:val="16"/>
          <w:szCs w:val="16"/>
          <w:u w:val="single" w:color="auto"/>
          <w:color w:val="0000FF"/>
        </w:rPr>
      </w:pPr>
    </w:p>
    <w:p>
      <w:pPr>
        <w:ind w:right="100" w:hanging="917"/>
        <w:spacing w:after="0" w:line="276" w:lineRule="auto"/>
        <w:rPr>
          <w:rFonts w:ascii="Arial" w:cs="Arial" w:eastAsia="Arial" w:hAnsi="Arial"/>
          <w:sz w:val="17"/>
          <w:szCs w:val="17"/>
          <w:u w:val="single" w:color="auto"/>
          <w:color w:val="0000FF"/>
        </w:rPr>
      </w:pPr>
      <w:r>
        <w:rPr>
          <w:rFonts w:ascii="Arial" w:cs="Arial" w:eastAsia="Arial" w:hAnsi="Arial"/>
          <w:sz w:val="18"/>
          <w:szCs w:val="18"/>
          <w:color w:val="auto"/>
        </w:rPr>
        <w:t>10.26</w:t>
      </w:r>
      <w:r>
        <w:rPr>
          <w:sz w:val="20"/>
          <w:szCs w:val="20"/>
          <w:color w:val="auto"/>
        </w:rPr>
        <w:t xml:space="preserve"> </w:t>
      </w:r>
      <w:hyperlink r:id="rId63">
        <w:r>
          <w:rPr>
            <w:rFonts w:ascii="Arial" w:cs="Arial" w:eastAsia="Arial" w:hAnsi="Arial"/>
            <w:sz w:val="17"/>
            <w:szCs w:val="17"/>
            <w:u w:val="single" w:color="auto"/>
            <w:color w:val="0000FF"/>
          </w:rPr>
          <w:t>Sixth Amendment to Credit Agreement, dated as of July 23, 2018, among Booz Allen Hamilton Inc., as Borrower, Booz Allen Hamilton</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Investor Corporation, Booz Allen Hamilton Engineering Holding Co., LLC, Booz Allen Hamilton Engineering Services, LLC, SDI Technology</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Corporation, eGov Holdings, Inc. and Aquilent, Inc. as Guarantors, Bank of America, N.A., as Administrative Agent and Collateral Agent and</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the other Lenders and financial institutions from time to time party thereto (Incorporated by reference to Exhibit 10.1 to the Company's Current</w:t>
        </w:r>
      </w:hyperlink>
      <w:r>
        <w:rPr>
          <w:rFonts w:ascii="Arial" w:cs="Arial" w:eastAsia="Arial" w:hAnsi="Arial"/>
          <w:sz w:val="17"/>
          <w:szCs w:val="17"/>
          <w:u w:val="single" w:color="auto"/>
          <w:color w:val="0000FF"/>
        </w:rPr>
        <w:t xml:space="preserve"> </w:t>
      </w:r>
      <w:hyperlink r:id="rId63">
        <w:r>
          <w:rPr>
            <w:rFonts w:ascii="Arial" w:cs="Arial" w:eastAsia="Arial" w:hAnsi="Arial"/>
            <w:sz w:val="17"/>
            <w:szCs w:val="17"/>
            <w:u w:val="single" w:color="auto"/>
            <w:color w:val="0000FF"/>
          </w:rPr>
          <w:t>Report on Form 8-K filed on July 24, 2018 (File No. 001-34972))</w:t>
        </w:r>
      </w:hyperlink>
    </w:p>
    <w:p>
      <w:pPr>
        <w:spacing w:after="0" w:line="132" w:lineRule="exact"/>
        <w:rPr>
          <w:rFonts w:ascii="Arial" w:cs="Arial" w:eastAsia="Arial" w:hAnsi="Arial"/>
          <w:sz w:val="17"/>
          <w:szCs w:val="17"/>
          <w:u w:val="single" w:color="auto"/>
          <w:color w:val="0000FF"/>
        </w:rPr>
      </w:pPr>
    </w:p>
    <w:p>
      <w:pPr>
        <w:ind w:right="320" w:hanging="917"/>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 xml:space="preserve"> </w:t>
      </w:r>
      <w:hyperlink r:id="rId64">
        <w:r>
          <w:rPr>
            <w:rFonts w:ascii="Arial" w:cs="Arial" w:eastAsia="Arial" w:hAnsi="Arial"/>
            <w:sz w:val="18"/>
            <w:szCs w:val="18"/>
            <w:u w:val="single" w:color="auto"/>
            <w:color w:val="0000FF"/>
          </w:rPr>
          <w:t>ISDA 2002 Master Agreement, by and between Booz Allen Hamilton Inc. and Bank of America, N.A., dated as of December 17, 2014 (the</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“Bank of America Master Agreement”), and the Amended and Restated Schedule to the Bank of America Master Agreement, dated as of</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February 6, 2017 (Incorporated by reference to Exhibit 10.1 to the Company’s Current Report on Form 8-K filed on April 11, 2017 (File No.</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001-34972))</w:t>
        </w:r>
      </w:hyperlink>
    </w:p>
    <w:p>
      <w:pPr>
        <w:spacing w:after="0" w:line="146" w:lineRule="exact"/>
        <w:rPr>
          <w:rFonts w:ascii="Arial" w:cs="Arial" w:eastAsia="Arial" w:hAnsi="Arial"/>
          <w:sz w:val="18"/>
          <w:szCs w:val="18"/>
          <w:u w:val="single" w:color="auto"/>
          <w:color w:val="0000FF"/>
        </w:rPr>
      </w:pPr>
    </w:p>
    <w:p>
      <w:pPr>
        <w:jc w:val="both"/>
        <w:ind w:hanging="917"/>
        <w:spacing w:after="0" w:line="312" w:lineRule="auto"/>
        <w:rPr>
          <w:rFonts w:ascii="Arial" w:cs="Arial" w:eastAsia="Arial" w:hAnsi="Arial"/>
          <w:sz w:val="16"/>
          <w:szCs w:val="16"/>
          <w:u w:val="single" w:color="auto"/>
          <w:color w:val="0000FF"/>
        </w:rPr>
      </w:pPr>
      <w:r>
        <w:rPr>
          <w:rFonts w:ascii="Arial" w:cs="Arial" w:eastAsia="Arial" w:hAnsi="Arial"/>
          <w:sz w:val="18"/>
          <w:szCs w:val="18"/>
          <w:color w:val="auto"/>
        </w:rPr>
        <w:t>10.28</w:t>
      </w:r>
      <w:r>
        <w:rPr>
          <w:sz w:val="20"/>
          <w:szCs w:val="20"/>
          <w:color w:val="auto"/>
        </w:rPr>
        <w:t xml:space="preserve"> </w:t>
      </w:r>
      <w:hyperlink r:id="rId65">
        <w:r>
          <w:rPr>
            <w:rFonts w:ascii="Arial" w:cs="Arial" w:eastAsia="Arial" w:hAnsi="Arial"/>
            <w:sz w:val="16"/>
            <w:szCs w:val="16"/>
            <w:u w:val="single" w:color="auto"/>
            <w:color w:val="0000FF"/>
          </w:rPr>
          <w:t>ISDA 2002 Master Agreement, by and between Booz Allen Hamilton Inc. and JPMorgan Chase Bank, N.A., dated as of December 17, 2014 (the</w:t>
        </w:r>
      </w:hyperlink>
      <w:r>
        <w:rPr>
          <w:rFonts w:ascii="Arial" w:cs="Arial" w:eastAsia="Arial" w:hAnsi="Arial"/>
          <w:sz w:val="16"/>
          <w:szCs w:val="16"/>
          <w:u w:val="single" w:color="auto"/>
          <w:color w:val="0000FF"/>
        </w:rPr>
        <w:t xml:space="preserve"> </w:t>
      </w:r>
      <w:hyperlink r:id="rId65">
        <w:r>
          <w:rPr>
            <w:rFonts w:ascii="Arial" w:cs="Arial" w:eastAsia="Arial" w:hAnsi="Arial"/>
            <w:sz w:val="16"/>
            <w:szCs w:val="16"/>
            <w:u w:val="single" w:color="auto"/>
            <w:color w:val="0000FF"/>
          </w:rPr>
          <w:t>“JPM Master Agreement”), and the Amended and Restated Schedule to the JPM Master Agreement, dated as of February 8, 2017 (Incorporated</w:t>
        </w:r>
      </w:hyperlink>
      <w:r>
        <w:rPr>
          <w:rFonts w:ascii="Arial" w:cs="Arial" w:eastAsia="Arial" w:hAnsi="Arial"/>
          <w:sz w:val="16"/>
          <w:szCs w:val="16"/>
          <w:u w:val="single" w:color="auto"/>
          <w:color w:val="0000FF"/>
        </w:rPr>
        <w:t xml:space="preserve"> </w:t>
      </w:r>
      <w:hyperlink r:id="rId65">
        <w:r>
          <w:rPr>
            <w:rFonts w:ascii="Arial" w:cs="Arial" w:eastAsia="Arial" w:hAnsi="Arial"/>
            <w:sz w:val="16"/>
            <w:szCs w:val="16"/>
            <w:u w:val="single" w:color="auto"/>
            <w:color w:val="0000FF"/>
          </w:rPr>
          <w:t>by reference to Exhibit 10.2 to the Company’s Current Report on Form 8-K filed on April 11, 2017 (File No. 001-34972))</w:t>
        </w:r>
      </w:hyperlink>
    </w:p>
    <w:p>
      <w:pPr>
        <w:spacing w:after="0" w:line="106" w:lineRule="exact"/>
        <w:rPr>
          <w:rFonts w:ascii="Arial" w:cs="Arial" w:eastAsia="Arial" w:hAnsi="Arial"/>
          <w:sz w:val="16"/>
          <w:szCs w:val="16"/>
          <w:u w:val="single" w:color="auto"/>
          <w:color w:val="0000FF"/>
        </w:rPr>
      </w:pPr>
    </w:p>
    <w:p>
      <w:pPr>
        <w:ind w:right="400" w:hanging="917"/>
        <w:spacing w:after="0" w:line="312" w:lineRule="auto"/>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 xml:space="preserve"> </w:t>
      </w:r>
      <w:hyperlink r:id="rId66">
        <w:r>
          <w:rPr>
            <w:rFonts w:ascii="Arial" w:cs="Arial" w:eastAsia="Arial" w:hAnsi="Arial"/>
            <w:sz w:val="16"/>
            <w:szCs w:val="16"/>
            <w:u w:val="single" w:color="auto"/>
            <w:color w:val="0000FF"/>
          </w:rPr>
          <w:t>ISDA 2002 Master Agreement, by and between Booz Allen Hamilton Inc. and Fifth Third Bank, dated as of December 16, 2014 (the “Fifth</w:t>
        </w:r>
      </w:hyperlink>
      <w:r>
        <w:rPr>
          <w:rFonts w:ascii="Arial" w:cs="Arial" w:eastAsia="Arial" w:hAnsi="Arial"/>
          <w:sz w:val="16"/>
          <w:szCs w:val="16"/>
          <w:u w:val="single" w:color="auto"/>
          <w:color w:val="0000FF"/>
        </w:rPr>
        <w:t xml:space="preserve"> </w:t>
      </w:r>
      <w:hyperlink r:id="rId66">
        <w:r>
          <w:rPr>
            <w:rFonts w:ascii="Arial" w:cs="Arial" w:eastAsia="Arial" w:hAnsi="Arial"/>
            <w:sz w:val="16"/>
            <w:szCs w:val="16"/>
            <w:u w:val="single" w:color="auto"/>
            <w:color w:val="0000FF"/>
          </w:rPr>
          <w:t>Third Master Agreement”), and the Amended and Restated Schedule to the Fifth Third Master Agreement, dated as of February 7, 2017</w:t>
        </w:r>
      </w:hyperlink>
      <w:r>
        <w:rPr>
          <w:rFonts w:ascii="Arial" w:cs="Arial" w:eastAsia="Arial" w:hAnsi="Arial"/>
          <w:sz w:val="16"/>
          <w:szCs w:val="16"/>
          <w:u w:val="single" w:color="auto"/>
          <w:color w:val="0000FF"/>
        </w:rPr>
        <w:t xml:space="preserve"> </w:t>
      </w:r>
      <w:hyperlink r:id="rId66">
        <w:r>
          <w:rPr>
            <w:rFonts w:ascii="Arial" w:cs="Arial" w:eastAsia="Arial" w:hAnsi="Arial"/>
            <w:sz w:val="16"/>
            <w:szCs w:val="16"/>
            <w:u w:val="single" w:color="auto"/>
            <w:color w:val="0000FF"/>
          </w:rPr>
          <w:t>(Incorporated by reference to Exhibit 10.3 to the Company’s Current Report on Form 8-K filed on April 11, 2017 (File No. 001-34972))</w:t>
        </w:r>
      </w:hyperlink>
    </w:p>
    <w:p>
      <w:pPr>
        <w:spacing w:after="0" w:line="106" w:lineRule="exact"/>
        <w:rPr>
          <w:rFonts w:ascii="Arial" w:cs="Arial" w:eastAsia="Arial" w:hAnsi="Arial"/>
          <w:sz w:val="16"/>
          <w:szCs w:val="16"/>
          <w:u w:val="single" w:color="auto"/>
          <w:color w:val="0000FF"/>
        </w:rPr>
      </w:pPr>
    </w:p>
    <w:p>
      <w:pPr>
        <w:ind w:right="80" w:hanging="917"/>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 xml:space="preserve"> </w:t>
      </w:r>
      <w:hyperlink r:id="rId67">
        <w:r>
          <w:rPr>
            <w:rFonts w:ascii="Arial" w:cs="Arial" w:eastAsia="Arial" w:hAnsi="Arial"/>
            <w:sz w:val="18"/>
            <w:szCs w:val="18"/>
            <w:u w:val="single" w:color="auto"/>
            <w:color w:val="0000FF"/>
          </w:rPr>
          <w:t>ISDA Master Agreement, by and between Booz Allen Hamilton Inc. and The Bank of Tokyo-Mitsubishi UFJ, Ltd. dated as of January 13, 2015</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(the “Bank of Tokyo-Mitsubishi Master Agreement”), and the Amendment to the Bank of Tokyo-Mitsubishi Master Agreement, dated as of</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April 18, 2017 (including the Schedule thereto) (Incorporated by reference to Exhibit 10.1 to the Company's Current Report on Form 8-K filed</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on May 31, 2017 (File No. 001-34972))</w:t>
        </w:r>
      </w:hyperlink>
    </w:p>
    <w:p>
      <w:pPr>
        <w:spacing w:after="0" w:line="146" w:lineRule="exact"/>
        <w:rPr>
          <w:rFonts w:ascii="Arial" w:cs="Arial" w:eastAsia="Arial" w:hAnsi="Arial"/>
          <w:sz w:val="18"/>
          <w:szCs w:val="18"/>
          <w:u w:val="single" w:color="auto"/>
          <w:color w:val="0000FF"/>
        </w:rPr>
      </w:pPr>
    </w:p>
    <w:p>
      <w:pPr>
        <w:ind w:right="220" w:hanging="917"/>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 xml:space="preserve"> </w:t>
      </w:r>
      <w:hyperlink r:id="rId68">
        <w:r>
          <w:rPr>
            <w:rFonts w:ascii="Arial" w:cs="Arial" w:eastAsia="Arial" w:hAnsi="Arial"/>
            <w:sz w:val="18"/>
            <w:szCs w:val="18"/>
            <w:u w:val="single" w:color="auto"/>
            <w:color w:val="0000FF"/>
          </w:rPr>
          <w:t>ISDA Master Agreement, by and between Booz Allen Hamilton Inc. and Barclays Bank Plc, dated as of December 11, 2014 (the “Barclays</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Master Agreement”), and the Amendment to the Barclays Master Agreement, dated as of May 18, 2017 (including the Amended and Restated</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Schedule thereto) (Incorporated by reference to Exhibit 10.2 to the Company's Current Report on Form 8-K filed on May 31, 2017 (File No.</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001-34972))</w:t>
        </w:r>
      </w:hyperlink>
    </w:p>
    <w:p>
      <w:pPr>
        <w:spacing w:after="0" w:line="146" w:lineRule="exact"/>
        <w:rPr>
          <w:rFonts w:ascii="Arial" w:cs="Arial" w:eastAsia="Arial" w:hAnsi="Arial"/>
          <w:sz w:val="18"/>
          <w:szCs w:val="18"/>
          <w:u w:val="single" w:color="auto"/>
          <w:color w:val="0000FF"/>
        </w:rPr>
      </w:pPr>
    </w:p>
    <w:p>
      <w:pPr>
        <w:ind w:right="40" w:hanging="917"/>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 xml:space="preserve"> </w:t>
      </w:r>
      <w:hyperlink r:id="rId69">
        <w:r>
          <w:rPr>
            <w:rFonts w:ascii="Arial" w:cs="Arial" w:eastAsia="Arial" w:hAnsi="Arial"/>
            <w:sz w:val="18"/>
            <w:szCs w:val="18"/>
            <w:u w:val="single" w:color="auto"/>
            <w:color w:val="0000FF"/>
          </w:rPr>
          <w:t>ISDA Master Agreement, by and between Booz Allen Hamilton Inc. and Wells Fargo Bank, N.A., dated as of February 13, 2017 (the “Wells</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Fargo Master Agreement”), including the Schedule thereto (Incorporated by reference to Exhibit 10.3 to the Company's Current Report on Form</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8-K filed on May 31, 2017 (File No. 001-34972))</w:t>
        </w:r>
      </w:hyperlink>
    </w:p>
    <w:p>
      <w:pPr>
        <w:spacing w:after="0" w:line="141" w:lineRule="exact"/>
        <w:rPr>
          <w:rFonts w:ascii="Arial" w:cs="Arial" w:eastAsia="Arial" w:hAnsi="Arial"/>
          <w:sz w:val="18"/>
          <w:szCs w:val="18"/>
          <w:u w:val="single" w:color="auto"/>
          <w:color w:val="0000FF"/>
        </w:rPr>
      </w:pPr>
    </w:p>
    <w:p>
      <w:pPr>
        <w:ind w:right="160" w:hanging="917"/>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 xml:space="preserve"> </w:t>
      </w:r>
      <w:hyperlink r:id="rId70">
        <w:r>
          <w:rPr>
            <w:rFonts w:ascii="Arial" w:cs="Arial" w:eastAsia="Arial" w:hAnsi="Arial"/>
            <w:sz w:val="18"/>
            <w:szCs w:val="18"/>
            <w:u w:val="single" w:color="auto"/>
            <w:color w:val="0000FF"/>
          </w:rPr>
          <w:t>ISDA Master Agreement, by and between Booz Allen Hamilton Inc. and SMBC Capital Markets, Inc., dated as of December 11, 2014, and the</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Amended and Restated Schedule thereto, dated as of February 6, 2017 (Incorporated by reference to Exhibit 10.1 to the Company's Current</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Report on Form 8-K filed on November 1, 2018 (File No. 001-34972))</w:t>
        </w:r>
      </w:hyperlink>
    </w:p>
    <w:p>
      <w:pPr>
        <w:spacing w:after="0" w:line="141" w:lineRule="exact"/>
        <w:rPr>
          <w:rFonts w:ascii="Arial" w:cs="Arial" w:eastAsia="Arial" w:hAnsi="Arial"/>
          <w:sz w:val="18"/>
          <w:szCs w:val="18"/>
          <w:u w:val="single" w:color="auto"/>
          <w:color w:val="0000FF"/>
        </w:rPr>
      </w:pPr>
    </w:p>
    <w:p>
      <w:pPr>
        <w:jc w:val="both"/>
        <w:ind w:right="360" w:hanging="917"/>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 xml:space="preserve"> </w:t>
      </w:r>
      <w:hyperlink r:id="rId71">
        <w:r>
          <w:rPr>
            <w:rFonts w:ascii="Arial" w:cs="Arial" w:eastAsia="Arial" w:hAnsi="Arial"/>
            <w:sz w:val="18"/>
            <w:szCs w:val="18"/>
            <w:u w:val="single" w:color="auto"/>
            <w:color w:val="0000FF"/>
          </w:rPr>
          <w:t>ISDA Master Agreement, by and between Booz Allen Hamilton Inc. and SunTrust Bank, dated as of April 10, 2017, including the Schedule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thereto (Incorporated by reference to Exhibit 10.2 to the Company's Current Report on Form 8-K filed on November 1, 2018 (File No. 001-</w:t>
        </w:r>
      </w:hyperlink>
      <w:hyperlink r:id="rId71">
        <w:r>
          <w:rPr>
            <w:rFonts w:ascii="Arial" w:cs="Arial" w:eastAsia="Arial" w:hAnsi="Arial"/>
            <w:sz w:val="18"/>
            <w:szCs w:val="18"/>
            <w:u w:val="single" w:color="auto"/>
            <w:color w:val="0000FF"/>
          </w:rPr>
          <w:t>34972))</w:t>
        </w:r>
      </w:hyperlink>
    </w:p>
    <w:p>
      <w:pPr>
        <w:sectPr>
          <w:pgSz w:w="11900" w:h="16838" w:orient="portrait"/>
          <w:cols w:equalWidth="0" w:num="1">
            <w:col w:w="10440"/>
          </w:cols>
          <w:pgMar w:left="1200" w:top="854" w:right="259" w:bottom="1440" w:gutter="0" w:footer="0" w:header="0"/>
        </w:sectPr>
      </w:pPr>
    </w:p>
    <w:p>
      <w:pPr>
        <w:spacing w:after="0" w:line="357" w:lineRule="exact"/>
        <w:rPr>
          <w:rFonts w:ascii="Arial" w:cs="Arial" w:eastAsia="Arial" w:hAnsi="Arial"/>
          <w:sz w:val="18"/>
          <w:szCs w:val="18"/>
          <w:u w:val="single" w:color="auto"/>
          <w:color w:val="0000FF"/>
        </w:rPr>
      </w:pPr>
    </w:p>
    <w:p>
      <w:pPr>
        <w:jc w:val="center"/>
        <w:ind w:right="94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440"/>
          </w:cols>
          <w:pgMar w:left="1200" w:top="854" w:right="259" w:bottom="1440" w:gutter="0" w:footer="0" w:header="0"/>
          <w:type w:val="continuous"/>
        </w:sectPr>
      </w:pPr>
    </w:p>
    <w:bookmarkStart w:id="119" w:name="page120"/>
    <w:bookmarkEnd w:id="119"/>
    <w:p>
      <w:pPr>
        <w:ind w:left="920" w:right="12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72">
        <w:r>
          <w:rPr>
            <w:rFonts w:ascii="Arial" w:cs="Arial" w:eastAsia="Arial" w:hAnsi="Arial"/>
            <w:sz w:val="18"/>
            <w:szCs w:val="18"/>
            <w:u w:val="single" w:color="auto"/>
            <w:color w:val="0000FF"/>
          </w:rPr>
          <w:t>ISDA Master Agreement, by and between Booz Allen Hamilton Inc. and U.S. Bank National Association, dated as of September 26, 2018,</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including the Schedule thereto (Incorporated by reference to Exhibit 10.3 to the Company's Current Report on Form 8-K filed on November 1,</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2018 (File No. 001-34972))</w:t>
        </w:r>
      </w:hyperlink>
    </w:p>
    <w:p>
      <w:pPr>
        <w:spacing w:after="0" w:line="141" w:lineRule="exact"/>
        <w:rPr>
          <w:rFonts w:ascii="Arial" w:cs="Arial" w:eastAsia="Arial" w:hAnsi="Arial"/>
          <w:sz w:val="18"/>
          <w:szCs w:val="18"/>
          <w:u w:val="single" w:color="auto"/>
          <w:color w:val="0000FF"/>
        </w:rPr>
      </w:pPr>
    </w:p>
    <w:p>
      <w:pPr>
        <w:ind w:left="920" w:right="8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73">
        <w:r>
          <w:rPr>
            <w:rFonts w:ascii="Arial" w:cs="Arial" w:eastAsia="Arial" w:hAnsi="Arial"/>
            <w:sz w:val="18"/>
            <w:szCs w:val="18"/>
            <w:u w:val="single" w:color="auto"/>
            <w:color w:val="0000FF"/>
          </w:rPr>
          <w:t>ISDA Master Agreement, by and between Booz Allen Hamilton Inc. and Capital One, National Association, dated as of March 27, 2019,</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including the Schedule thereto (Incorporated by reference to Exhibit 10.1 to the Company's Current Report on Form 8-K filed on April 8, 2019</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(File No. 001-34972))</w:t>
        </w:r>
      </w:hyperlink>
    </w:p>
    <w:p>
      <w:pPr>
        <w:spacing w:after="0" w:line="141" w:lineRule="exact"/>
        <w:rPr>
          <w:rFonts w:ascii="Arial" w:cs="Arial" w:eastAsia="Arial" w:hAnsi="Arial"/>
          <w:sz w:val="18"/>
          <w:szCs w:val="18"/>
          <w:u w:val="single" w:color="auto"/>
          <w:color w:val="0000FF"/>
        </w:rPr>
      </w:pPr>
    </w:p>
    <w:p>
      <w:pPr>
        <w:ind w:left="920" w:right="80" w:hanging="917"/>
        <w:spacing w:after="0" w:line="264"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74">
        <w:r>
          <w:rPr>
            <w:rFonts w:ascii="Arial" w:cs="Arial" w:eastAsia="Arial" w:hAnsi="Arial"/>
            <w:sz w:val="18"/>
            <w:szCs w:val="18"/>
            <w:u w:val="single" w:color="auto"/>
            <w:color w:val="0000FF"/>
          </w:rPr>
          <w:t>ISDA Master Agreement, by and between Booz Allen Hamilton Inc. and PNC Bank, National Association, dated as of December 11, 2018,</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including the Schedule thereto (Incorporated by reference to Exhibit 10.2 to the Company's Current Report on Form 8-K filed on April 8, 2019</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(File No. 001-34972))</w:t>
        </w:r>
      </w:hyperlink>
    </w:p>
    <w:p>
      <w:pPr>
        <w:spacing w:after="0" w:line="141" w:lineRule="exact"/>
        <w:rPr>
          <w:rFonts w:ascii="Arial" w:cs="Arial" w:eastAsia="Arial" w:hAnsi="Arial"/>
          <w:sz w:val="18"/>
          <w:szCs w:val="18"/>
          <w:u w:val="single" w:color="auto"/>
          <w:color w:val="0000FF"/>
        </w:rPr>
      </w:pPr>
    </w:p>
    <w:p>
      <w:pPr>
        <w:ind w:left="920" w:right="100" w:hanging="917"/>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10.38</w:t>
      </w:r>
      <w:r>
        <w:rPr>
          <w:sz w:val="20"/>
          <w:szCs w:val="20"/>
          <w:color w:val="auto"/>
        </w:rPr>
        <w:tab/>
      </w:r>
      <w:hyperlink r:id="rId75">
        <w:r>
          <w:rPr>
            <w:rFonts w:ascii="Arial" w:cs="Arial" w:eastAsia="Arial" w:hAnsi="Arial"/>
            <w:sz w:val="17"/>
            <w:szCs w:val="17"/>
            <w:u w:val="single" w:color="auto"/>
            <w:color w:val="0000FF"/>
          </w:rPr>
          <w:t>Confirmation of transaction, by and between Booz Allen Hamilton Inc. and Bank of America, N.A., dated as of April 6, 2017 (Incorporated by</w:t>
        </w:r>
      </w:hyperlink>
      <w:r>
        <w:rPr>
          <w:rFonts w:ascii="Arial" w:cs="Arial" w:eastAsia="Arial" w:hAnsi="Arial"/>
          <w:sz w:val="17"/>
          <w:szCs w:val="17"/>
          <w:u w:val="single" w:color="auto"/>
          <w:color w:val="0000FF"/>
        </w:rPr>
        <w:t xml:space="preserve"> </w:t>
      </w:r>
      <w:hyperlink r:id="rId75">
        <w:r>
          <w:rPr>
            <w:rFonts w:ascii="Arial" w:cs="Arial" w:eastAsia="Arial" w:hAnsi="Arial"/>
            <w:sz w:val="17"/>
            <w:szCs w:val="17"/>
            <w:u w:val="single" w:color="auto"/>
            <w:color w:val="0000FF"/>
          </w:rPr>
          <w:t>reference to Exhibit 10.4 to the Company’s Current Report on Form 8-K filed on April 11, 2017 (File No. 001-34972))</w:t>
        </w:r>
      </w:hyperlink>
    </w:p>
    <w:p>
      <w:pPr>
        <w:spacing w:after="0" w:line="106" w:lineRule="exact"/>
        <w:rPr>
          <w:sz w:val="20"/>
          <w:szCs w:val="20"/>
          <w:color w:val="auto"/>
        </w:rPr>
      </w:pPr>
    </w:p>
    <w:p>
      <w:pPr>
        <w:ind w:left="920" w:right="58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10.39</w:t>
      </w:r>
      <w:r>
        <w:rPr>
          <w:sz w:val="20"/>
          <w:szCs w:val="20"/>
          <w:color w:val="auto"/>
        </w:rPr>
        <w:tab/>
      </w:r>
      <w:hyperlink r:id="rId72">
        <w:r>
          <w:rPr>
            <w:rFonts w:ascii="Arial" w:cs="Arial" w:eastAsia="Arial" w:hAnsi="Arial"/>
            <w:sz w:val="16"/>
            <w:szCs w:val="16"/>
            <w:u w:val="single" w:color="auto"/>
            <w:color w:val="0000FF"/>
          </w:rPr>
          <w:t>Confirmation of transaction, by and between Booz Allen Hamilton Inc. and JPMorgan Chase Bank, N.A., dated as of April 6, 2017</w:t>
        </w:r>
      </w:hyperlink>
      <w:r>
        <w:rPr>
          <w:rFonts w:ascii="Arial" w:cs="Arial" w:eastAsia="Arial" w:hAnsi="Arial"/>
          <w:sz w:val="16"/>
          <w:szCs w:val="16"/>
          <w:u w:val="single" w:color="auto"/>
          <w:color w:val="0000FF"/>
        </w:rPr>
        <w:t xml:space="preserve"> </w:t>
      </w:r>
      <w:hyperlink r:id="rId72">
        <w:r>
          <w:rPr>
            <w:rFonts w:ascii="Arial" w:cs="Arial" w:eastAsia="Arial" w:hAnsi="Arial"/>
            <w:sz w:val="16"/>
            <w:szCs w:val="16"/>
            <w:u w:val="single" w:color="auto"/>
            <w:color w:val="0000FF"/>
          </w:rPr>
          <w:t>(Incorporated by reference to Exhibit 10.5 to the Company’s Current Report on Form 8-K filed on April 11, 2017 (File No. 001-34972))</w:t>
        </w:r>
      </w:hyperlink>
    </w:p>
    <w:p>
      <w:pPr>
        <w:spacing w:after="0" w:line="83" w:lineRule="exact"/>
        <w:rPr>
          <w:sz w:val="20"/>
          <w:szCs w:val="20"/>
          <w:color w:val="auto"/>
        </w:rPr>
      </w:pPr>
    </w:p>
    <w:p>
      <w:pPr>
        <w:ind w:left="920" w:right="560" w:hanging="917"/>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10.40</w:t>
      </w:r>
      <w:r>
        <w:rPr>
          <w:sz w:val="20"/>
          <w:szCs w:val="20"/>
          <w:color w:val="auto"/>
        </w:rPr>
        <w:tab/>
      </w:r>
      <w:hyperlink r:id="rId74">
        <w:r>
          <w:rPr>
            <w:rFonts w:ascii="Arial" w:cs="Arial" w:eastAsia="Arial" w:hAnsi="Arial"/>
            <w:sz w:val="17"/>
            <w:szCs w:val="17"/>
            <w:u w:val="single" w:color="auto"/>
            <w:color w:val="0000FF"/>
          </w:rPr>
          <w:t>Confirmation of transaction, by and between Booz Allen Hamilton Inc. and Fifth Third Bank, dated as of April 6, 2017 (Incorporated by</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reference to Exhibit 10.6 to the Company’s Current Report on Form 8-K filed on April 11, 2017 (File No. 001-34972))</w:t>
        </w:r>
      </w:hyperlink>
    </w:p>
    <w:p>
      <w:pPr>
        <w:spacing w:after="0" w:line="106" w:lineRule="exact"/>
        <w:rPr>
          <w:sz w:val="20"/>
          <w:szCs w:val="20"/>
          <w:color w:val="auto"/>
        </w:rPr>
      </w:pPr>
    </w:p>
    <w:p>
      <w:pPr>
        <w:ind w:left="920" w:right="2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10.41</w:t>
      </w:r>
      <w:r>
        <w:rPr>
          <w:sz w:val="20"/>
          <w:szCs w:val="20"/>
          <w:color w:val="auto"/>
        </w:rPr>
        <w:tab/>
      </w:r>
      <w:hyperlink r:id="rId76">
        <w:r>
          <w:rPr>
            <w:rFonts w:ascii="Arial" w:cs="Arial" w:eastAsia="Arial" w:hAnsi="Arial"/>
            <w:sz w:val="16"/>
            <w:szCs w:val="16"/>
            <w:u w:val="single" w:color="auto"/>
            <w:color w:val="0000FF"/>
          </w:rPr>
          <w:t>Confirmation of transaction, by and between Booz Allen Hamilton Inc. and The Bank of Tokyo-Mitsubishi UFJ, Ltd., dated as of May 26, 2017</w:t>
        </w:r>
      </w:hyperlink>
      <w:r>
        <w:rPr>
          <w:rFonts w:ascii="Arial" w:cs="Arial" w:eastAsia="Arial" w:hAnsi="Arial"/>
          <w:sz w:val="16"/>
          <w:szCs w:val="16"/>
          <w:u w:val="single" w:color="auto"/>
          <w:color w:val="0000FF"/>
        </w:rPr>
        <w:t xml:space="preserve"> </w:t>
      </w:r>
      <w:hyperlink r:id="rId76">
        <w:r>
          <w:rPr>
            <w:rFonts w:ascii="Arial" w:cs="Arial" w:eastAsia="Arial" w:hAnsi="Arial"/>
            <w:sz w:val="16"/>
            <w:szCs w:val="16"/>
            <w:u w:val="single" w:color="auto"/>
            <w:color w:val="0000FF"/>
          </w:rPr>
          <w:t>(Incorporated by reference to Exhibit 10.4 to the Company's Current Report on Form 8-K filed on May 31, 2017 (File No. 001-34972))</w:t>
        </w:r>
      </w:hyperlink>
    </w:p>
    <w:p>
      <w:pPr>
        <w:spacing w:after="0" w:line="83" w:lineRule="exact"/>
        <w:rPr>
          <w:sz w:val="20"/>
          <w:szCs w:val="20"/>
          <w:color w:val="auto"/>
        </w:rPr>
      </w:pPr>
    </w:p>
    <w:p>
      <w:pPr>
        <w:ind w:left="920" w:right="40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10.42</w:t>
      </w:r>
      <w:r>
        <w:rPr>
          <w:sz w:val="20"/>
          <w:szCs w:val="20"/>
          <w:color w:val="auto"/>
        </w:rPr>
        <w:tab/>
      </w:r>
      <w:hyperlink r:id="rId77">
        <w:r>
          <w:rPr>
            <w:rFonts w:ascii="Arial" w:cs="Arial" w:eastAsia="Arial" w:hAnsi="Arial"/>
            <w:sz w:val="16"/>
            <w:szCs w:val="16"/>
            <w:u w:val="single" w:color="auto"/>
            <w:color w:val="0000FF"/>
          </w:rPr>
          <w:t>Confirmation of transaction, by and between Booz Allen Hamilton Inc. and Barclays Bank Plc, dated as of May 30, 2017 (Incorporated by</w:t>
        </w:r>
      </w:hyperlink>
      <w:r>
        <w:rPr>
          <w:rFonts w:ascii="Arial" w:cs="Arial" w:eastAsia="Arial" w:hAnsi="Arial"/>
          <w:sz w:val="16"/>
          <w:szCs w:val="16"/>
          <w:u w:val="single" w:color="auto"/>
          <w:color w:val="0000FF"/>
        </w:rPr>
        <w:t xml:space="preserve"> </w:t>
      </w:r>
      <w:hyperlink r:id="rId77">
        <w:r>
          <w:rPr>
            <w:rFonts w:ascii="Arial" w:cs="Arial" w:eastAsia="Arial" w:hAnsi="Arial"/>
            <w:sz w:val="16"/>
            <w:szCs w:val="16"/>
            <w:u w:val="single" w:color="auto"/>
            <w:color w:val="0000FF"/>
          </w:rPr>
          <w:t>reference to Exhibit 10.5 to the Company's Current Report on Form 8-K filed on May 31, 2017 (File No. 001-34972))</w:t>
        </w:r>
      </w:hyperlink>
    </w:p>
    <w:p>
      <w:pPr>
        <w:spacing w:after="0" w:line="83" w:lineRule="exact"/>
        <w:rPr>
          <w:sz w:val="20"/>
          <w:szCs w:val="20"/>
          <w:color w:val="auto"/>
        </w:rPr>
      </w:pPr>
    </w:p>
    <w:p>
      <w:pPr>
        <w:ind w:left="920" w:hanging="917"/>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10.43</w:t>
      </w:r>
      <w:r>
        <w:rPr>
          <w:sz w:val="20"/>
          <w:szCs w:val="20"/>
          <w:color w:val="auto"/>
        </w:rPr>
        <w:tab/>
      </w:r>
      <w:hyperlink r:id="rId78">
        <w:r>
          <w:rPr>
            <w:rFonts w:ascii="Arial" w:cs="Arial" w:eastAsia="Arial" w:hAnsi="Arial"/>
            <w:sz w:val="17"/>
            <w:szCs w:val="17"/>
            <w:u w:val="single" w:color="auto"/>
            <w:color w:val="0000FF"/>
          </w:rPr>
          <w:t>Confirmation of transaction, by and between Booz Allen Hamilton Inc. and Wells Fargo Bank, N.A., dated as of May 25, 2017 (Incorporated by</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reference to Exhibit 10.6 to the Company's Current Report on Form 8-K filed on May 31, 2017 (File No. 001-34972))</w:t>
        </w:r>
      </w:hyperlink>
    </w:p>
    <w:p>
      <w:pPr>
        <w:spacing w:after="0" w:line="106" w:lineRule="exact"/>
        <w:rPr>
          <w:sz w:val="20"/>
          <w:szCs w:val="20"/>
          <w:color w:val="auto"/>
        </w:rPr>
      </w:pPr>
    </w:p>
    <w:p>
      <w:pPr>
        <w:ind w:left="920" w:right="30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10.44</w:t>
      </w:r>
      <w:r>
        <w:rPr>
          <w:sz w:val="20"/>
          <w:szCs w:val="20"/>
          <w:color w:val="auto"/>
        </w:rPr>
        <w:tab/>
      </w:r>
      <w:hyperlink r:id="rId79">
        <w:r>
          <w:rPr>
            <w:rFonts w:ascii="Arial" w:cs="Arial" w:eastAsia="Arial" w:hAnsi="Arial"/>
            <w:sz w:val="16"/>
            <w:szCs w:val="16"/>
            <w:u w:val="single" w:color="auto"/>
            <w:color w:val="0000FF"/>
          </w:rPr>
          <w:t>Confirmation of transaction, by and between Booz Allen Hamilton Inc. and SMBC Capital Markets, Inc., dated as of October 29, 2018</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(Incorporated by reference to Exhibit 10.4 to the Company's Current Report on Form 8-K filed on November 1, 2018 (File No. 001-34972))</w:t>
        </w:r>
      </w:hyperlink>
    </w:p>
    <w:p>
      <w:pPr>
        <w:spacing w:after="0" w:line="83" w:lineRule="exact"/>
        <w:rPr>
          <w:sz w:val="20"/>
          <w:szCs w:val="20"/>
          <w:color w:val="auto"/>
        </w:rPr>
      </w:pPr>
    </w:p>
    <w:p>
      <w:pPr>
        <w:ind w:left="920" w:right="40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10.45</w:t>
      </w:r>
      <w:r>
        <w:rPr>
          <w:sz w:val="20"/>
          <w:szCs w:val="20"/>
          <w:color w:val="auto"/>
        </w:rPr>
        <w:tab/>
      </w:r>
      <w:hyperlink r:id="rId80">
        <w:r>
          <w:rPr>
            <w:rFonts w:ascii="Arial" w:cs="Arial" w:eastAsia="Arial" w:hAnsi="Arial"/>
            <w:sz w:val="16"/>
            <w:szCs w:val="16"/>
            <w:u w:val="single" w:color="auto"/>
            <w:color w:val="0000FF"/>
          </w:rPr>
          <w:t>Confirmation of transaction, by and between Booz Allen Hamilton Inc. and SunTrust Bank, dated as of October 29, 2018 (Incorporated by</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reference to Exhibit 10.5 to the Company's Current Report on Form 8-K filed on November 1, 2018 (File No. 001-34972))</w:t>
        </w:r>
      </w:hyperlink>
    </w:p>
    <w:p>
      <w:pPr>
        <w:spacing w:after="0" w:line="83" w:lineRule="exact"/>
        <w:rPr>
          <w:sz w:val="20"/>
          <w:szCs w:val="20"/>
          <w:color w:val="auto"/>
        </w:rPr>
      </w:pPr>
    </w:p>
    <w:p>
      <w:pPr>
        <w:ind w:left="920" w:right="30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10.46</w:t>
      </w:r>
      <w:r>
        <w:rPr>
          <w:sz w:val="20"/>
          <w:szCs w:val="20"/>
          <w:color w:val="auto"/>
        </w:rPr>
        <w:tab/>
      </w:r>
      <w:hyperlink r:id="rId81">
        <w:r>
          <w:rPr>
            <w:rFonts w:ascii="Arial" w:cs="Arial" w:eastAsia="Arial" w:hAnsi="Arial"/>
            <w:sz w:val="16"/>
            <w:szCs w:val="16"/>
            <w:u w:val="single" w:color="auto"/>
            <w:color w:val="0000FF"/>
          </w:rPr>
          <w:t>Confirmation of transaction, by and between Booz Allen Hamilton Inc. and U.S. Bank National Association, dated as of October 29, 2018</w:t>
        </w:r>
      </w:hyperlink>
      <w:r>
        <w:rPr>
          <w:rFonts w:ascii="Arial" w:cs="Arial" w:eastAsia="Arial" w:hAnsi="Arial"/>
          <w:sz w:val="16"/>
          <w:szCs w:val="16"/>
          <w:u w:val="single" w:color="auto"/>
          <w:color w:val="0000FF"/>
        </w:rPr>
        <w:t xml:space="preserve"> </w:t>
      </w:r>
      <w:hyperlink r:id="rId81">
        <w:r>
          <w:rPr>
            <w:rFonts w:ascii="Arial" w:cs="Arial" w:eastAsia="Arial" w:hAnsi="Arial"/>
            <w:sz w:val="16"/>
            <w:szCs w:val="16"/>
            <w:u w:val="single" w:color="auto"/>
            <w:color w:val="0000FF"/>
          </w:rPr>
          <w:t>(Incorporated by reference to Exhibit 10.6 to the Company's Current Report on Form 8-K filed on November 1, 2018 (File No. 001-34972))</w:t>
        </w:r>
      </w:hyperlink>
    </w:p>
    <w:p>
      <w:pPr>
        <w:spacing w:after="0" w:line="83" w:lineRule="exact"/>
        <w:rPr>
          <w:sz w:val="20"/>
          <w:szCs w:val="20"/>
          <w:color w:val="auto"/>
        </w:rPr>
      </w:pPr>
    </w:p>
    <w:p>
      <w:pPr>
        <w:ind w:left="920" w:right="56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10.47</w:t>
      </w:r>
      <w:r>
        <w:rPr>
          <w:sz w:val="20"/>
          <w:szCs w:val="20"/>
          <w:color w:val="auto"/>
        </w:rPr>
        <w:tab/>
      </w:r>
      <w:hyperlink r:id="rId82">
        <w:r>
          <w:rPr>
            <w:rFonts w:ascii="Arial" w:cs="Arial" w:eastAsia="Arial" w:hAnsi="Arial"/>
            <w:sz w:val="16"/>
            <w:szCs w:val="16"/>
            <w:u w:val="single" w:color="auto"/>
            <w:color w:val="0000FF"/>
          </w:rPr>
          <w:t>Confirmation of transaction, by and between Booz Allen Hamilton Inc. and Capital One, National Association, dated as of April 4, 2019</w:t>
        </w:r>
      </w:hyperlink>
      <w:r>
        <w:rPr>
          <w:rFonts w:ascii="Arial" w:cs="Arial" w:eastAsia="Arial" w:hAnsi="Arial"/>
          <w:sz w:val="16"/>
          <w:szCs w:val="16"/>
          <w:u w:val="single" w:color="auto"/>
          <w:color w:val="0000FF"/>
        </w:rPr>
        <w:t xml:space="preserve"> </w:t>
      </w:r>
      <w:hyperlink r:id="rId82">
        <w:r>
          <w:rPr>
            <w:rFonts w:ascii="Arial" w:cs="Arial" w:eastAsia="Arial" w:hAnsi="Arial"/>
            <w:sz w:val="16"/>
            <w:szCs w:val="16"/>
            <w:u w:val="single" w:color="auto"/>
            <w:color w:val="0000FF"/>
          </w:rPr>
          <w:t>(Incorporated by reference to Exhibit 10.7 to the Company's Current Report on Form 8-K filed on April 8, 2019 (File No. 001-34972))</w:t>
        </w:r>
      </w:hyperlink>
    </w:p>
    <w:p>
      <w:pPr>
        <w:spacing w:after="0" w:line="83" w:lineRule="exact"/>
        <w:rPr>
          <w:sz w:val="20"/>
          <w:szCs w:val="20"/>
          <w:color w:val="auto"/>
        </w:rPr>
      </w:pPr>
    </w:p>
    <w:p>
      <w:pPr>
        <w:ind w:left="920" w:right="560" w:hanging="917"/>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10.48</w:t>
      </w:r>
      <w:r>
        <w:rPr>
          <w:sz w:val="20"/>
          <w:szCs w:val="20"/>
          <w:color w:val="auto"/>
        </w:rPr>
        <w:tab/>
      </w:r>
      <w:hyperlink r:id="rId83">
        <w:r>
          <w:rPr>
            <w:rFonts w:ascii="Arial" w:cs="Arial" w:eastAsia="Arial" w:hAnsi="Arial"/>
            <w:sz w:val="17"/>
            <w:szCs w:val="17"/>
            <w:u w:val="single" w:color="auto"/>
            <w:color w:val="0000FF"/>
          </w:rPr>
          <w:t>Confirmation of transaction, by and between Booz Allen Hamilton Inc. and Fifth Third Bank, dated as of April 2, 2019 (Incorporated by</w:t>
        </w:r>
      </w:hyperlink>
      <w:r>
        <w:rPr>
          <w:rFonts w:ascii="Arial" w:cs="Arial" w:eastAsia="Arial" w:hAnsi="Arial"/>
          <w:sz w:val="17"/>
          <w:szCs w:val="17"/>
          <w:u w:val="single" w:color="auto"/>
          <w:color w:val="0000FF"/>
        </w:rPr>
        <w:t xml:space="preserve"> </w:t>
      </w:r>
      <w:hyperlink r:id="rId83">
        <w:r>
          <w:rPr>
            <w:rFonts w:ascii="Arial" w:cs="Arial" w:eastAsia="Arial" w:hAnsi="Arial"/>
            <w:sz w:val="17"/>
            <w:szCs w:val="17"/>
            <w:u w:val="single" w:color="auto"/>
            <w:color w:val="0000FF"/>
          </w:rPr>
          <w:t>reference to Exhibit 10.8 to the Company's Current Report on Form 8-K filed on April 8, 2019 (File No. 001-34972))</w:t>
        </w:r>
      </w:hyperlink>
    </w:p>
    <w:p>
      <w:pPr>
        <w:spacing w:after="0" w:line="106" w:lineRule="exact"/>
        <w:rPr>
          <w:sz w:val="20"/>
          <w:szCs w:val="20"/>
          <w:color w:val="auto"/>
        </w:rPr>
      </w:pPr>
    </w:p>
    <w:p>
      <w:pPr>
        <w:ind w:left="920" w:right="56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10.49</w:t>
      </w:r>
      <w:r>
        <w:rPr>
          <w:sz w:val="20"/>
          <w:szCs w:val="20"/>
          <w:color w:val="auto"/>
        </w:rPr>
        <w:tab/>
      </w:r>
      <w:hyperlink r:id="rId84">
        <w:r>
          <w:rPr>
            <w:rFonts w:ascii="Arial" w:cs="Arial" w:eastAsia="Arial" w:hAnsi="Arial"/>
            <w:sz w:val="16"/>
            <w:szCs w:val="16"/>
            <w:u w:val="single" w:color="auto"/>
            <w:color w:val="0000FF"/>
          </w:rPr>
          <w:t>Confirmation of transaction, by and between Booz Allen Hamilton Inc. and Capital One, National Association, dated as of April 4, 2019</w:t>
        </w:r>
      </w:hyperlink>
      <w:r>
        <w:rPr>
          <w:rFonts w:ascii="Arial" w:cs="Arial" w:eastAsia="Arial" w:hAnsi="Arial"/>
          <w:sz w:val="16"/>
          <w:szCs w:val="16"/>
          <w:u w:val="single" w:color="auto"/>
          <w:color w:val="0000FF"/>
        </w:rPr>
        <w:t xml:space="preserve"> </w:t>
      </w:r>
      <w:hyperlink r:id="rId84">
        <w:r>
          <w:rPr>
            <w:rFonts w:ascii="Arial" w:cs="Arial" w:eastAsia="Arial" w:hAnsi="Arial"/>
            <w:sz w:val="16"/>
            <w:szCs w:val="16"/>
            <w:u w:val="single" w:color="auto"/>
            <w:color w:val="0000FF"/>
          </w:rPr>
          <w:t>(Incorporated by reference to Exhibit 10.9 to the Company's Current Report on Form 8-K filed on April 8, 2019 (File No. 001-34972))</w:t>
        </w:r>
      </w:hyperlink>
    </w:p>
    <w:p>
      <w:pPr>
        <w:spacing w:after="0" w:line="83" w:lineRule="exact"/>
        <w:rPr>
          <w:sz w:val="20"/>
          <w:szCs w:val="20"/>
          <w:color w:val="auto"/>
        </w:rPr>
      </w:pPr>
    </w:p>
    <w:p>
      <w:pPr>
        <w:jc w:val="right"/>
        <w:ind w:right="600"/>
        <w:spacing w:after="0" w:line="30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10.50      </w:t>
      </w:r>
      <w:hyperlink r:id="rId85">
        <w:r>
          <w:rPr>
            <w:rFonts w:ascii="Arial" w:cs="Arial" w:eastAsia="Arial" w:hAnsi="Arial"/>
            <w:sz w:val="17"/>
            <w:szCs w:val="17"/>
            <w:u w:val="single" w:color="auto"/>
            <w:color w:val="0000FF"/>
          </w:rPr>
          <w:t>Confirmation of transaction, by and between Booz Allen Hamilton Inc. and PNC Bank, National Association, dated as of April 2, 2019</w:t>
        </w:r>
      </w:hyperlink>
      <w:r>
        <w:rPr>
          <w:rFonts w:ascii="Arial" w:cs="Arial" w:eastAsia="Arial" w:hAnsi="Arial"/>
          <w:sz w:val="17"/>
          <w:szCs w:val="17"/>
          <w:color w:val="auto"/>
        </w:rPr>
        <w:t xml:space="preserve"> </w:t>
      </w:r>
      <w:hyperlink r:id="rId85">
        <w:r>
          <w:rPr>
            <w:rFonts w:ascii="Arial" w:cs="Arial" w:eastAsia="Arial" w:hAnsi="Arial"/>
            <w:sz w:val="17"/>
            <w:szCs w:val="17"/>
            <w:u w:val="single" w:color="auto"/>
            <w:color w:val="0000FF"/>
          </w:rPr>
          <w:t>(Incorporated by reference to Exhibit 10.10 to the Company's Current Report on Form 8-K filed on April 8, 2019 (File No. 001-34972))</w:t>
        </w:r>
      </w:hyperlink>
    </w:p>
    <w:p>
      <w:pPr>
        <w:spacing w:after="0" w:line="106" w:lineRule="exact"/>
        <w:rPr>
          <w:sz w:val="20"/>
          <w:szCs w:val="20"/>
          <w:color w:val="auto"/>
        </w:rPr>
      </w:pPr>
    </w:p>
    <w:p>
      <w:pPr>
        <w:ind w:left="920" w:right="600" w:hanging="917"/>
        <w:spacing w:after="0" w:line="342" w:lineRule="auto"/>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10.51</w:t>
      </w:r>
      <w:r>
        <w:rPr>
          <w:sz w:val="20"/>
          <w:szCs w:val="20"/>
          <w:color w:val="auto"/>
        </w:rPr>
        <w:tab/>
      </w:r>
      <w:hyperlink r:id="rId86">
        <w:r>
          <w:rPr>
            <w:rFonts w:ascii="Arial" w:cs="Arial" w:eastAsia="Arial" w:hAnsi="Arial"/>
            <w:sz w:val="16"/>
            <w:szCs w:val="16"/>
            <w:u w:val="single" w:color="auto"/>
            <w:color w:val="0000FF"/>
          </w:rPr>
          <w:t>Confirmation of transaction, by and between Booz Allen Hamilton Inc. and SMBC Capital Markets, Inc., dated as of April 2, 2019</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(Incorporated by reference to Exhibit 10.11 to the Company's Current Report on Form 8-K filed on April 8, 2019 (File No. 001-34972))</w:t>
        </w:r>
      </w:hyperlink>
    </w:p>
    <w:p>
      <w:pPr>
        <w:spacing w:after="0" w:line="83" w:lineRule="exact"/>
        <w:rPr>
          <w:sz w:val="20"/>
          <w:szCs w:val="20"/>
          <w:color w:val="auto"/>
        </w:rPr>
      </w:pPr>
    </w:p>
    <w:p>
      <w:pPr>
        <w:ind w:left="920" w:right="100" w:hanging="917"/>
        <w:spacing w:after="0" w:line="308" w:lineRule="auto"/>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10.52</w:t>
      </w:r>
      <w:r>
        <w:rPr>
          <w:sz w:val="20"/>
          <w:szCs w:val="20"/>
          <w:color w:val="auto"/>
        </w:rPr>
        <w:tab/>
      </w:r>
      <w:hyperlink r:id="rId87">
        <w:r>
          <w:rPr>
            <w:rFonts w:ascii="Arial" w:cs="Arial" w:eastAsia="Arial" w:hAnsi="Arial"/>
            <w:sz w:val="17"/>
            <w:szCs w:val="17"/>
            <w:u w:val="single" w:color="auto"/>
            <w:color w:val="0000FF"/>
          </w:rPr>
          <w:t>Confirmation of transaction, by and between Booz Allen Hamilton Inc. and Bank of America, N.A., dated as of April 3, 2019 (Incorporated by</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reference to Exhibit 10.12 to the Company's Current Report on Form 8-K filed on April 8, 2019 (File No. 001-34972))</w:t>
        </w:r>
      </w:hyperlink>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00"/>
          </w:cols>
          <w:pgMar w:left="280" w:top="854" w:right="319" w:bottom="1440" w:gutter="0" w:footer="0" w:header="0"/>
        </w:sectPr>
      </w:pPr>
    </w:p>
    <w:bookmarkStart w:id="120" w:name="page121"/>
    <w:bookmarkEnd w:id="120"/>
    <w:p>
      <w:pPr>
        <w:ind w:left="960" w:right="600" w:hanging="917"/>
        <w:spacing w:after="0" w:line="342" w:lineRule="auto"/>
        <w:tabs>
          <w:tab w:leader="none" w:pos="940" w:val="left"/>
        </w:tabs>
        <w:rPr>
          <w:rFonts w:ascii="Arial" w:cs="Arial" w:eastAsia="Arial" w:hAnsi="Arial"/>
          <w:sz w:val="16"/>
          <w:szCs w:val="16"/>
          <w:u w:val="single" w:color="auto"/>
          <w:color w:val="0000FF"/>
        </w:rPr>
      </w:pPr>
      <w:r>
        <w:rPr>
          <w:rFonts w:ascii="Arial" w:cs="Arial" w:eastAsia="Arial" w:hAnsi="Arial"/>
          <w:sz w:val="18"/>
          <w:szCs w:val="18"/>
          <w:color w:val="auto"/>
        </w:rPr>
        <w:t>10.53</w:t>
      </w:r>
      <w:r>
        <w:rPr>
          <w:sz w:val="20"/>
          <w:szCs w:val="20"/>
          <w:color w:val="auto"/>
        </w:rPr>
        <w:tab/>
      </w:r>
      <w:hyperlink r:id="rId88">
        <w:r>
          <w:rPr>
            <w:rFonts w:ascii="Arial" w:cs="Arial" w:eastAsia="Arial" w:hAnsi="Arial"/>
            <w:sz w:val="16"/>
            <w:szCs w:val="16"/>
            <w:u w:val="single" w:color="auto"/>
            <w:color w:val="0000FF"/>
          </w:rPr>
          <w:t>Confirmation of transaction, by and between Booz Allen Hamilton Inc. and U.S. Bank National Association, dated as of April 2, 2019</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(Incorporated by reference to Exhibit 10.13 to the Company's Current Report on Form 8-K filed on April 8, 2019 (File No. 001-34972))</w:t>
        </w:r>
      </w:hyperlink>
    </w:p>
    <w:p>
      <w:pPr>
        <w:spacing w:after="0" w:line="83" w:lineRule="exact"/>
        <w:rPr>
          <w:sz w:val="20"/>
          <w:szCs w:val="20"/>
          <w:color w:val="auto"/>
        </w:rPr>
      </w:pPr>
    </w:p>
    <w:p>
      <w:pPr>
        <w:ind w:left="960" w:right="560" w:hanging="917"/>
        <w:spacing w:after="0" w:line="308" w:lineRule="auto"/>
        <w:tabs>
          <w:tab w:leader="none" w:pos="940" w:val="left"/>
        </w:tabs>
        <w:rPr>
          <w:rFonts w:ascii="Arial" w:cs="Arial" w:eastAsia="Arial" w:hAnsi="Arial"/>
          <w:sz w:val="17"/>
          <w:szCs w:val="17"/>
          <w:u w:val="single" w:color="auto"/>
          <w:color w:val="0000FF"/>
        </w:rPr>
      </w:pPr>
      <w:r>
        <w:rPr>
          <w:rFonts w:ascii="Arial" w:cs="Arial" w:eastAsia="Arial" w:hAnsi="Arial"/>
          <w:sz w:val="18"/>
          <w:szCs w:val="18"/>
          <w:color w:val="auto"/>
        </w:rPr>
        <w:t>10.54</w:t>
      </w:r>
      <w:r>
        <w:rPr>
          <w:sz w:val="20"/>
          <w:szCs w:val="20"/>
          <w:color w:val="auto"/>
        </w:rPr>
        <w:tab/>
      </w:r>
      <w:hyperlink r:id="rId89">
        <w:r>
          <w:rPr>
            <w:rFonts w:ascii="Arial" w:cs="Arial" w:eastAsia="Arial" w:hAnsi="Arial"/>
            <w:sz w:val="17"/>
            <w:szCs w:val="17"/>
            <w:u w:val="single" w:color="auto"/>
            <w:color w:val="0000FF"/>
          </w:rPr>
          <w:t>Confirmation of transaction, by and between Booz Allen Hamilton Inc. and Fifth Third Bank, dated as of April 2, 2019 (Incorporated by</w:t>
        </w:r>
      </w:hyperlink>
      <w:r>
        <w:rPr>
          <w:rFonts w:ascii="Arial" w:cs="Arial" w:eastAsia="Arial" w:hAnsi="Arial"/>
          <w:sz w:val="17"/>
          <w:szCs w:val="17"/>
          <w:u w:val="single" w:color="auto"/>
          <w:color w:val="0000FF"/>
        </w:rPr>
        <w:t xml:space="preserve"> </w:t>
      </w:r>
      <w:hyperlink r:id="rId89">
        <w:r>
          <w:rPr>
            <w:rFonts w:ascii="Arial" w:cs="Arial" w:eastAsia="Arial" w:hAnsi="Arial"/>
            <w:sz w:val="17"/>
            <w:szCs w:val="17"/>
            <w:u w:val="single" w:color="auto"/>
            <w:color w:val="0000FF"/>
          </w:rPr>
          <w:t>reference to Exhibit 10.14 to the Company's Current Report on Form 8-K filed on April 8, 2019 (File No. 001-34972))</w:t>
        </w:r>
      </w:hyperlink>
    </w:p>
    <w:p>
      <w:pPr>
        <w:spacing w:after="0" w:line="106" w:lineRule="exact"/>
        <w:rPr>
          <w:sz w:val="20"/>
          <w:szCs w:val="20"/>
          <w:color w:val="auto"/>
        </w:rPr>
      </w:pPr>
    </w:p>
    <w:p>
      <w:pPr>
        <w:jc w:val="both"/>
        <w:ind w:left="960" w:right="100" w:hanging="917"/>
        <w:spacing w:after="0" w:line="286" w:lineRule="auto"/>
        <w:tabs>
          <w:tab w:leader="none" w:pos="940" w:val="left"/>
        </w:tabs>
        <w:rPr>
          <w:rFonts w:ascii="Arial" w:cs="Arial" w:eastAsia="Arial" w:hAnsi="Arial"/>
          <w:sz w:val="17"/>
          <w:szCs w:val="17"/>
          <w:u w:val="single" w:color="auto"/>
          <w:color w:val="0000FF"/>
        </w:rPr>
      </w:pPr>
      <w:r>
        <w:rPr>
          <w:rFonts w:ascii="Arial" w:cs="Arial" w:eastAsia="Arial" w:hAnsi="Arial"/>
          <w:sz w:val="18"/>
          <w:szCs w:val="18"/>
          <w:color w:val="auto"/>
        </w:rPr>
        <w:t>10.55</w:t>
      </w:r>
      <w:r>
        <w:rPr>
          <w:sz w:val="20"/>
          <w:szCs w:val="20"/>
          <w:color w:val="auto"/>
        </w:rPr>
        <w:tab/>
      </w:r>
      <w:hyperlink r:id="rId90">
        <w:r>
          <w:rPr>
            <w:rFonts w:ascii="Arial" w:cs="Arial" w:eastAsia="Arial" w:hAnsi="Arial"/>
            <w:sz w:val="17"/>
            <w:szCs w:val="17"/>
            <w:u w:val="single" w:color="auto"/>
            <w:color w:val="0000FF"/>
          </w:rPr>
          <w:t>Assumption Agreement, dated as of April 14, 2017, by eGov Holdings, Inc. and Aquilent, Inc. in favor of Bank of America, N.A., as collateral</w:t>
        </w:r>
      </w:hyperlink>
      <w:r>
        <w:rPr>
          <w:rFonts w:ascii="Arial" w:cs="Arial" w:eastAsia="Arial" w:hAnsi="Arial"/>
          <w:sz w:val="17"/>
          <w:szCs w:val="17"/>
          <w:u w:val="single" w:color="auto"/>
          <w:color w:val="0000FF"/>
        </w:rPr>
        <w:t xml:space="preserve"> </w:t>
      </w:r>
      <w:hyperlink r:id="rId90">
        <w:r>
          <w:rPr>
            <w:rFonts w:ascii="Arial" w:cs="Arial" w:eastAsia="Arial" w:hAnsi="Arial"/>
            <w:sz w:val="17"/>
            <w:szCs w:val="17"/>
            <w:u w:val="single" w:color="auto"/>
            <w:color w:val="0000FF"/>
          </w:rPr>
          <w:t>agent for the banks and other financial institutions or entities party to the Credit Agreement, as amended (Incorporated by reference to Exhibit</w:t>
        </w:r>
      </w:hyperlink>
      <w:r>
        <w:rPr>
          <w:rFonts w:ascii="Arial" w:cs="Arial" w:eastAsia="Arial" w:hAnsi="Arial"/>
          <w:sz w:val="17"/>
          <w:szCs w:val="17"/>
          <w:u w:val="single" w:color="auto"/>
          <w:color w:val="0000FF"/>
        </w:rPr>
        <w:t xml:space="preserve"> </w:t>
      </w:r>
      <w:hyperlink r:id="rId90">
        <w:r>
          <w:rPr>
            <w:rFonts w:ascii="Arial" w:cs="Arial" w:eastAsia="Arial" w:hAnsi="Arial"/>
            <w:sz w:val="17"/>
            <w:szCs w:val="17"/>
            <w:u w:val="single" w:color="auto"/>
            <w:color w:val="0000FF"/>
          </w:rPr>
          <w:t>10.10 to the Company’s Quarterly Report for the period ended June 30, 2017 on Form 10-Q (File No. 001-34972))</w:t>
        </w:r>
      </w:hyperlink>
    </w:p>
    <w:p>
      <w:pPr>
        <w:spacing w:after="0" w:line="125" w:lineRule="exact"/>
        <w:rPr>
          <w:rFonts w:ascii="Arial" w:cs="Arial" w:eastAsia="Arial" w:hAnsi="Arial"/>
          <w:sz w:val="17"/>
          <w:szCs w:val="17"/>
          <w:u w:val="single" w:color="auto"/>
          <w:color w:val="0000FF"/>
        </w:rPr>
      </w:pPr>
    </w:p>
    <w:p>
      <w:pPr>
        <w:ind w:left="960" w:right="26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10.56†</w:t>
      </w:r>
      <w:r>
        <w:rPr>
          <w:sz w:val="20"/>
          <w:szCs w:val="20"/>
          <w:color w:val="auto"/>
        </w:rPr>
        <w:tab/>
      </w:r>
      <w:hyperlink r:id="rId91">
        <w:r>
          <w:rPr>
            <w:rFonts w:ascii="Arial" w:cs="Arial" w:eastAsia="Arial" w:hAnsi="Arial"/>
            <w:sz w:val="18"/>
            <w:szCs w:val="18"/>
            <w:u w:val="single" w:color="auto"/>
            <w:color w:val="0000FF"/>
          </w:rPr>
          <w:t>Booz Allen Hamilton Inc. Nonqualified Deferred Compensation Plan (Incorporated by reference to Exhibit 10.7 to the Company’s Quarterly</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Report for the period ended December 31, 2018 on Form 10-Q (File No. 001-34972))</w:t>
        </w:r>
      </w:hyperlink>
    </w:p>
    <w:p>
      <w:pPr>
        <w:spacing w:after="0" w:line="130" w:lineRule="exact"/>
        <w:rPr>
          <w:sz w:val="20"/>
          <w:szCs w:val="20"/>
          <w:color w:val="auto"/>
        </w:rPr>
      </w:pPr>
    </w:p>
    <w:p>
      <w:pPr>
        <w:jc w:val="both"/>
        <w:ind w:left="960" w:right="300" w:hanging="917"/>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10.57†</w:t>
      </w:r>
      <w:r>
        <w:rPr>
          <w:sz w:val="20"/>
          <w:szCs w:val="20"/>
          <w:color w:val="auto"/>
        </w:rPr>
        <w:tab/>
      </w:r>
      <w:hyperlink r:id="rId92">
        <w:r>
          <w:rPr>
            <w:rFonts w:ascii="Arial" w:cs="Arial" w:eastAsia="Arial" w:hAnsi="Arial"/>
            <w:sz w:val="18"/>
            <w:szCs w:val="18"/>
            <w:u w:val="single" w:color="auto"/>
            <w:color w:val="0000FF"/>
          </w:rPr>
          <w:t>Form of Restricted Stock Unit Agreement under the Second Amended and Restated Equity Incentive Plan of Booz Allen Hamilton Holding</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Corporation (Incorporated by reference to Exhibit 10.38 to the Company’s Annual Report for the year ended March 31, 2017 on Form 10-K</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(File No. 001-34972))</w:t>
        </w:r>
      </w:hyperlink>
    </w:p>
    <w:p>
      <w:pPr>
        <w:spacing w:after="0" w:line="141" w:lineRule="exact"/>
        <w:rPr>
          <w:rFonts w:ascii="Arial" w:cs="Arial" w:eastAsia="Arial" w:hAnsi="Arial"/>
          <w:sz w:val="18"/>
          <w:szCs w:val="18"/>
          <w:u w:val="single" w:color="auto"/>
          <w:color w:val="0000FF"/>
        </w:rPr>
      </w:pPr>
    </w:p>
    <w:p>
      <w:pPr>
        <w:jc w:val="both"/>
        <w:ind w:left="960" w:right="32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10.58</w:t>
      </w:r>
      <w:r>
        <w:rPr>
          <w:sz w:val="20"/>
          <w:szCs w:val="20"/>
          <w:color w:val="auto"/>
        </w:rPr>
        <w:tab/>
      </w:r>
      <w:hyperlink w:anchor="page170">
        <w:r>
          <w:rPr>
            <w:rFonts w:ascii="Arial" w:cs="Arial" w:eastAsia="Arial" w:hAnsi="Arial"/>
            <w:sz w:val="18"/>
            <w:szCs w:val="18"/>
            <w:u w:val="single" w:color="auto"/>
            <w:color w:val="0000FF"/>
          </w:rPr>
          <w:t>Form of Restricted Stock Unit Agreement under the Second Amended and Restated Equity Incentive Plan of Booz Allen Hamilton Holding</w:t>
        </w:r>
      </w:hyperlink>
      <w:r>
        <w:rPr>
          <w:rFonts w:ascii="Arial" w:cs="Arial" w:eastAsia="Arial" w:hAnsi="Arial"/>
          <w:sz w:val="18"/>
          <w:szCs w:val="18"/>
          <w:u w:val="single" w:color="auto"/>
          <w:color w:val="0000FF"/>
        </w:rPr>
        <w:t xml:space="preserve"> </w:t>
      </w:r>
      <w:hyperlink w:anchor="page170">
        <w:r>
          <w:rPr>
            <w:rFonts w:ascii="Arial" w:cs="Arial" w:eastAsia="Arial" w:hAnsi="Arial"/>
            <w:sz w:val="18"/>
            <w:szCs w:val="18"/>
            <w:u w:val="single" w:color="auto"/>
            <w:color w:val="0000FF"/>
          </w:rPr>
          <w:t>Corporation*</w:t>
        </w:r>
      </w:hyperlink>
    </w:p>
    <w:p>
      <w:pPr>
        <w:spacing w:after="0" w:line="130" w:lineRule="exact"/>
        <w:rPr>
          <w:sz w:val="20"/>
          <w:szCs w:val="20"/>
          <w:color w:val="auto"/>
        </w:rPr>
      </w:pPr>
    </w:p>
    <w:p>
      <w:pPr>
        <w:ind w:left="960" w:right="92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10.59†</w:t>
      </w:r>
      <w:r>
        <w:rPr>
          <w:sz w:val="20"/>
          <w:szCs w:val="20"/>
          <w:color w:val="auto"/>
        </w:rPr>
        <w:tab/>
      </w:r>
      <w:hyperlink w:anchor="page178">
        <w:r>
          <w:rPr>
            <w:rFonts w:ascii="Arial" w:cs="Arial" w:eastAsia="Arial" w:hAnsi="Arial"/>
            <w:sz w:val="18"/>
            <w:szCs w:val="18"/>
            <w:u w:val="single" w:color="auto"/>
            <w:color w:val="0000FF"/>
          </w:rPr>
          <w:t>Form of Stock Option Agreement under the Second Amended and Restated Equity Incentive Plan of Booz Allen Hamilton Holding</w:t>
        </w:r>
      </w:hyperlink>
      <w:r>
        <w:rPr>
          <w:rFonts w:ascii="Arial" w:cs="Arial" w:eastAsia="Arial" w:hAnsi="Arial"/>
          <w:sz w:val="18"/>
          <w:szCs w:val="18"/>
          <w:u w:val="single" w:color="auto"/>
          <w:color w:val="0000FF"/>
        </w:rPr>
        <w:t xml:space="preserve"> </w:t>
      </w:r>
      <w:hyperlink w:anchor="page178">
        <w:r>
          <w:rPr>
            <w:rFonts w:ascii="Arial" w:cs="Arial" w:eastAsia="Arial" w:hAnsi="Arial"/>
            <w:sz w:val="18"/>
            <w:szCs w:val="18"/>
            <w:u w:val="single" w:color="auto"/>
            <w:color w:val="0000FF"/>
          </w:rPr>
          <w:t>Corporation*</w:t>
        </w:r>
      </w:hyperlink>
    </w:p>
    <w:p>
      <w:pPr>
        <w:spacing w:after="0" w:line="130" w:lineRule="exact"/>
        <w:rPr>
          <w:sz w:val="20"/>
          <w:szCs w:val="20"/>
          <w:color w:val="auto"/>
        </w:rPr>
      </w:pPr>
    </w:p>
    <w:p>
      <w:pPr>
        <w:ind w:left="96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10.60†</w:t>
      </w:r>
      <w:r>
        <w:rPr>
          <w:sz w:val="20"/>
          <w:szCs w:val="20"/>
          <w:color w:val="auto"/>
        </w:rPr>
        <w:tab/>
      </w:r>
      <w:hyperlink w:anchor="page188">
        <w:r>
          <w:rPr>
            <w:rFonts w:ascii="Arial" w:cs="Arial" w:eastAsia="Arial" w:hAnsi="Arial"/>
            <w:sz w:val="18"/>
            <w:szCs w:val="18"/>
            <w:u w:val="single" w:color="auto"/>
            <w:color w:val="0000FF"/>
          </w:rPr>
          <w:t>Form of Performance Restricted Stock Unit Agreement under the Second Amended and Restated Equity Incentive Plan of Booz Allen Hamilton</w:t>
        </w:r>
      </w:hyperlink>
      <w:r>
        <w:rPr>
          <w:rFonts w:ascii="Arial" w:cs="Arial" w:eastAsia="Arial" w:hAnsi="Arial"/>
          <w:sz w:val="18"/>
          <w:szCs w:val="18"/>
          <w:u w:val="single" w:color="auto"/>
          <w:color w:val="0000FF"/>
        </w:rPr>
        <w:t xml:space="preserve"> </w:t>
      </w:r>
      <w:hyperlink w:anchor="page188">
        <w:r>
          <w:rPr>
            <w:rFonts w:ascii="Arial" w:cs="Arial" w:eastAsia="Arial" w:hAnsi="Arial"/>
            <w:sz w:val="18"/>
            <w:szCs w:val="18"/>
            <w:u w:val="single" w:color="auto"/>
            <w:color w:val="0000FF"/>
          </w:rPr>
          <w:t>Holding Corporation*</w:t>
        </w:r>
      </w:hyperlink>
    </w:p>
    <w:p>
      <w:pPr>
        <w:spacing w:after="0" w:line="130" w:lineRule="exact"/>
        <w:rPr>
          <w:sz w:val="20"/>
          <w:szCs w:val="20"/>
          <w:color w:val="auto"/>
        </w:rPr>
      </w:pPr>
    </w:p>
    <w:p>
      <w:pPr>
        <w:ind w:left="960" w:right="80" w:hanging="917"/>
        <w:spacing w:after="0" w:line="264"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10.61†</w:t>
      </w:r>
      <w:r>
        <w:rPr>
          <w:sz w:val="20"/>
          <w:szCs w:val="20"/>
          <w:color w:val="auto"/>
        </w:rPr>
        <w:tab/>
      </w:r>
      <w:hyperlink r:id="rId93">
        <w:r>
          <w:rPr>
            <w:rFonts w:ascii="Arial" w:cs="Arial" w:eastAsia="Arial" w:hAnsi="Arial"/>
            <w:sz w:val="18"/>
            <w:szCs w:val="18"/>
            <w:u w:val="single" w:color="auto"/>
            <w:color w:val="0000FF"/>
          </w:rPr>
          <w:t>Form of Restricted Stock Agreement for Directors under the Second Amended and Restated Equity Incentive Plan of Booz Allen Hamilton</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Holding Corporation (Incorporated by reference to Exhibit 10.44 to the Company’s Annual Report for the year ended March 31, 2018 on Form</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10-K (File No. 001-34972))</w:t>
        </w:r>
      </w:hyperlink>
    </w:p>
    <w:p>
      <w:pPr>
        <w:spacing w:after="0" w:line="141" w:lineRule="exact"/>
        <w:rPr>
          <w:rFonts w:ascii="Arial" w:cs="Arial" w:eastAsia="Arial" w:hAnsi="Arial"/>
          <w:sz w:val="18"/>
          <w:szCs w:val="18"/>
          <w:u w:val="single" w:color="auto"/>
          <w:color w:val="0000FF"/>
        </w:rPr>
      </w:pPr>
    </w:p>
    <w:p>
      <w:pPr>
        <w:ind w:left="960" w:right="160" w:hanging="917"/>
        <w:spacing w:after="0" w:line="277" w:lineRule="auto"/>
        <w:tabs>
          <w:tab w:leader="none" w:pos="940" w:val="left"/>
        </w:tabs>
        <w:rPr>
          <w:rFonts w:ascii="Arial" w:cs="Arial" w:eastAsia="Arial" w:hAnsi="Arial"/>
          <w:sz w:val="18"/>
          <w:szCs w:val="18"/>
          <w:u w:val="single" w:color="auto"/>
          <w:color w:val="0000FF"/>
        </w:rPr>
      </w:pPr>
      <w:r>
        <w:rPr>
          <w:rFonts w:ascii="Arial" w:cs="Arial" w:eastAsia="Arial" w:hAnsi="Arial"/>
          <w:sz w:val="18"/>
          <w:szCs w:val="18"/>
          <w:color w:val="auto"/>
        </w:rPr>
        <w:t>10.62†</w:t>
      </w:r>
      <w:r>
        <w:rPr>
          <w:sz w:val="20"/>
          <w:szCs w:val="20"/>
          <w:color w:val="auto"/>
        </w:rPr>
        <w:tab/>
      </w:r>
      <w:hyperlink r:id="rId94">
        <w:r>
          <w:rPr>
            <w:rFonts w:ascii="Arial" w:cs="Arial" w:eastAsia="Arial" w:hAnsi="Arial"/>
            <w:sz w:val="18"/>
            <w:szCs w:val="18"/>
            <w:u w:val="single" w:color="auto"/>
            <w:color w:val="0000FF"/>
          </w:rPr>
          <w:t>Officer Perquisites Policy (Incorporated by reference to Exhibit 10.45 to the Company’s Annual Report for the year ended March 31, 2018 on</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Form 10-K (File No. 001-34972))</w:t>
        </w:r>
      </w:hyperlink>
    </w:p>
    <w:p>
      <w:pPr>
        <w:spacing w:after="0" w:line="130" w:lineRule="exact"/>
        <w:rPr>
          <w:sz w:val="20"/>
          <w:szCs w:val="20"/>
          <w:color w:val="auto"/>
        </w:rPr>
      </w:pPr>
    </w:p>
    <w:p>
      <w:pPr>
        <w:ind w:left="960" w:hanging="925"/>
        <w:spacing w:after="0"/>
        <w:tabs>
          <w:tab w:leader="none" w:pos="960" w:val="left"/>
        </w:tabs>
        <w:numPr>
          <w:ilvl w:val="0"/>
          <w:numId w:val="77"/>
        </w:numPr>
        <w:rPr>
          <w:rFonts w:ascii="Arial" w:cs="Arial" w:eastAsia="Arial" w:hAnsi="Arial"/>
          <w:sz w:val="18"/>
          <w:szCs w:val="18"/>
          <w:u w:val="single" w:color="auto"/>
          <w:color w:val="0000FF"/>
        </w:rPr>
      </w:pPr>
      <w:hyperlink w:anchor="page198">
        <w:r>
          <w:rPr>
            <w:rFonts w:ascii="Arial" w:cs="Arial" w:eastAsia="Arial" w:hAnsi="Arial"/>
            <w:sz w:val="18"/>
            <w:szCs w:val="18"/>
            <w:u w:val="single" w:color="auto"/>
            <w:color w:val="0000FF"/>
          </w:rPr>
          <w:t>Subsidiaries of the registrant*</w:t>
        </w:r>
      </w:hyperlink>
    </w:p>
    <w:p>
      <w:pPr>
        <w:spacing w:after="0" w:line="185" w:lineRule="exact"/>
        <w:rPr>
          <w:sz w:val="20"/>
          <w:szCs w:val="20"/>
          <w:color w:val="auto"/>
        </w:rPr>
      </w:pPr>
    </w:p>
    <w:p>
      <w:pPr>
        <w:ind w:left="960" w:hanging="925"/>
        <w:spacing w:after="0"/>
        <w:tabs>
          <w:tab w:leader="none" w:pos="960" w:val="left"/>
        </w:tabs>
        <w:numPr>
          <w:ilvl w:val="0"/>
          <w:numId w:val="78"/>
        </w:numPr>
        <w:rPr>
          <w:rFonts w:ascii="Arial" w:cs="Arial" w:eastAsia="Arial" w:hAnsi="Arial"/>
          <w:sz w:val="18"/>
          <w:szCs w:val="18"/>
          <w:u w:val="single" w:color="auto"/>
          <w:color w:val="0000FF"/>
        </w:rPr>
      </w:pPr>
      <w:hyperlink w:anchor="page199">
        <w:r>
          <w:rPr>
            <w:rFonts w:ascii="Arial" w:cs="Arial" w:eastAsia="Arial" w:hAnsi="Arial"/>
            <w:sz w:val="18"/>
            <w:szCs w:val="18"/>
            <w:u w:val="single" w:color="auto"/>
            <w:color w:val="0000FF"/>
          </w:rPr>
          <w:t>Consent of Ernst &amp; Young LLP, Independent Registered Public Accounting Firm*</w:t>
        </w:r>
      </w:hyperlink>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31.1</w:t>
            </w:r>
          </w:p>
        </w:tc>
        <w:tc>
          <w:tcPr>
            <w:tcW w:w="512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200">
              <w:r>
                <w:rPr>
                  <w:rFonts w:ascii="Arial" w:cs="Arial" w:eastAsia="Arial" w:hAnsi="Arial"/>
                  <w:sz w:val="18"/>
                  <w:szCs w:val="18"/>
                  <w:color w:val="0000FF"/>
                  <w:w w:val="93"/>
                </w:rPr>
                <w:t>Rule 13a-14(a)/15d-14(a) Certification of the Chief Executive Officer*</w:t>
              </w:r>
            </w:hyperlink>
          </w:p>
        </w:tc>
        <w:tc>
          <w:tcPr>
            <w:tcW w:w="4960" w:type="dxa"/>
            <w:vAlign w:val="bottom"/>
            <w:gridSpan w:val="2"/>
          </w:tcPr>
          <w:p>
            <w:pPr>
              <w:spacing w:after="0"/>
              <w:rPr>
                <w:sz w:val="18"/>
                <w:szCs w:val="18"/>
                <w:color w:val="auto"/>
              </w:rPr>
            </w:pPr>
          </w:p>
        </w:tc>
      </w:tr>
      <w:tr>
        <w:trPr>
          <w:trHeight w:val="372"/>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31.2</w:t>
            </w:r>
          </w:p>
        </w:tc>
        <w:tc>
          <w:tcPr>
            <w:tcW w:w="10080" w:type="dxa"/>
            <w:vAlign w:val="bottom"/>
            <w:gridSpan w:val="5"/>
          </w:tcPr>
          <w:p>
            <w:pPr>
              <w:spacing w:after="0"/>
              <w:rPr>
                <w:rFonts w:ascii="Arial" w:cs="Arial" w:eastAsia="Arial" w:hAnsi="Arial"/>
                <w:sz w:val="18"/>
                <w:szCs w:val="18"/>
                <w:color w:val="0000FF"/>
              </w:rPr>
            </w:pPr>
            <w:hyperlink w:anchor="page201">
              <w:r>
                <w:rPr>
                  <w:rFonts w:ascii="Arial" w:cs="Arial" w:eastAsia="Arial" w:hAnsi="Arial"/>
                  <w:sz w:val="18"/>
                  <w:szCs w:val="18"/>
                  <w:color w:val="0000FF"/>
                </w:rPr>
                <w:t>Rule 13a-14(a)/15d-14(a) Certification of the Chief Financial Officer*</w:t>
              </w:r>
            </w:hyperlink>
          </w:p>
        </w:tc>
      </w:tr>
      <w:tr>
        <w:trPr>
          <w:trHeight w:val="20"/>
        </w:trPr>
        <w:tc>
          <w:tcPr>
            <w:tcW w:w="9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32.1</w:t>
            </w:r>
          </w:p>
        </w:tc>
        <w:tc>
          <w:tcPr>
            <w:tcW w:w="1008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202">
              <w:r>
                <w:rPr>
                  <w:rFonts w:ascii="Arial" w:cs="Arial" w:eastAsia="Arial" w:hAnsi="Arial"/>
                  <w:sz w:val="18"/>
                  <w:szCs w:val="18"/>
                  <w:color w:val="0000FF"/>
                  <w:w w:val="92"/>
                </w:rPr>
                <w:t>Certification of the Chief Executive Officer required by Rule 13a-14(b) or Rule 15d-14(b) and Section 1350 of Chapter 63 of Title 18 of the</w:t>
              </w:r>
            </w:hyperlink>
          </w:p>
        </w:tc>
      </w:tr>
      <w:tr>
        <w:trPr>
          <w:trHeight w:val="196"/>
        </w:trPr>
        <w:tc>
          <w:tcPr>
            <w:tcW w:w="920" w:type="dxa"/>
            <w:vAlign w:val="bottom"/>
          </w:tcPr>
          <w:p>
            <w:pPr>
              <w:spacing w:after="0"/>
              <w:rPr>
                <w:sz w:val="17"/>
                <w:szCs w:val="17"/>
                <w:color w:val="auto"/>
              </w:rPr>
            </w:pPr>
          </w:p>
        </w:tc>
        <w:tc>
          <w:tcPr>
            <w:tcW w:w="276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202">
              <w:r>
                <w:rPr>
                  <w:rFonts w:ascii="Arial" w:cs="Arial" w:eastAsia="Arial" w:hAnsi="Arial"/>
                  <w:sz w:val="18"/>
                  <w:szCs w:val="18"/>
                  <w:color w:val="0000FF"/>
                  <w:w w:val="90"/>
                </w:rPr>
                <w:t>United States Code (18 U.S.C. 1350)*</w:t>
              </w:r>
            </w:hyperlink>
          </w:p>
        </w:tc>
        <w:tc>
          <w:tcPr>
            <w:tcW w:w="7320" w:type="dxa"/>
            <w:vAlign w:val="bottom"/>
            <w:gridSpan w:val="4"/>
          </w:tcPr>
          <w:p>
            <w:pPr>
              <w:spacing w:after="0"/>
              <w:rPr>
                <w:sz w:val="17"/>
                <w:szCs w:val="17"/>
                <w:color w:val="auto"/>
              </w:rPr>
            </w:pPr>
          </w:p>
        </w:tc>
      </w:tr>
      <w:tr>
        <w:trPr>
          <w:trHeight w:val="372"/>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32.2</w:t>
            </w:r>
          </w:p>
        </w:tc>
        <w:tc>
          <w:tcPr>
            <w:tcW w:w="10080" w:type="dxa"/>
            <w:vAlign w:val="bottom"/>
            <w:gridSpan w:val="5"/>
          </w:tcPr>
          <w:p>
            <w:pPr>
              <w:spacing w:after="0"/>
              <w:rPr>
                <w:rFonts w:ascii="Arial" w:cs="Arial" w:eastAsia="Arial" w:hAnsi="Arial"/>
                <w:sz w:val="18"/>
                <w:szCs w:val="18"/>
                <w:color w:val="0000FF"/>
                <w:w w:val="92"/>
              </w:rPr>
            </w:pPr>
            <w:hyperlink w:anchor="page203">
              <w:r>
                <w:rPr>
                  <w:rFonts w:ascii="Arial" w:cs="Arial" w:eastAsia="Arial" w:hAnsi="Arial"/>
                  <w:sz w:val="18"/>
                  <w:szCs w:val="18"/>
                  <w:color w:val="0000FF"/>
                  <w:w w:val="92"/>
                </w:rPr>
                <w:t>Certification of the Chief Financial Officer required by Rule 13a-14(b) or Rule 15d-14(b) and Section 1350 of Chapter 63 of Title 18 of the</w:t>
              </w:r>
            </w:hyperlink>
          </w:p>
        </w:tc>
      </w:tr>
      <w:tr>
        <w:trPr>
          <w:trHeight w:val="196"/>
        </w:trPr>
        <w:tc>
          <w:tcPr>
            <w:tcW w:w="920" w:type="dxa"/>
            <w:vAlign w:val="bottom"/>
          </w:tcPr>
          <w:p>
            <w:pPr>
              <w:spacing w:after="0"/>
              <w:rPr>
                <w:sz w:val="17"/>
                <w:szCs w:val="17"/>
                <w:color w:val="auto"/>
              </w:rPr>
            </w:pPr>
          </w:p>
        </w:tc>
        <w:tc>
          <w:tcPr>
            <w:tcW w:w="27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203">
              <w:r>
                <w:rPr>
                  <w:rFonts w:ascii="Arial" w:cs="Arial" w:eastAsia="Arial" w:hAnsi="Arial"/>
                  <w:sz w:val="18"/>
                  <w:szCs w:val="18"/>
                  <w:color w:val="0000FF"/>
                  <w:w w:val="90"/>
                </w:rPr>
                <w:t>United States Code (18 U.S.C. 1350)*</w:t>
              </w:r>
            </w:hyperlink>
          </w:p>
        </w:tc>
        <w:tc>
          <w:tcPr>
            <w:tcW w:w="7260" w:type="dxa"/>
            <w:vAlign w:val="bottom"/>
            <w:tcBorders>
              <w:top w:val="single" w:sz="8" w:color="0000FF"/>
            </w:tcBorders>
            <w:gridSpan w:val="3"/>
          </w:tcPr>
          <w:p>
            <w:pPr>
              <w:spacing w:after="0"/>
              <w:rPr>
                <w:sz w:val="17"/>
                <w:szCs w:val="17"/>
                <w:color w:val="auto"/>
              </w:rPr>
            </w:pPr>
          </w:p>
        </w:tc>
        <w:tc>
          <w:tcPr>
            <w:tcW w:w="60" w:type="dxa"/>
            <w:vAlign w:val="bottom"/>
          </w:tcPr>
          <w:p>
            <w:pPr>
              <w:spacing w:after="0"/>
              <w:rPr>
                <w:sz w:val="17"/>
                <w:szCs w:val="17"/>
                <w:color w:val="auto"/>
              </w:rPr>
            </w:pPr>
          </w:p>
        </w:tc>
      </w:tr>
    </w:tbl>
    <w:p>
      <w:pPr>
        <w:spacing w:after="0" w:line="188" w:lineRule="exact"/>
        <w:rPr>
          <w:sz w:val="20"/>
          <w:szCs w:val="20"/>
          <w:color w:val="auto"/>
        </w:rPr>
      </w:pPr>
    </w:p>
    <w:p>
      <w:pPr>
        <w:ind w:left="960" w:right="220" w:hanging="925"/>
        <w:spacing w:after="0" w:line="270" w:lineRule="auto"/>
        <w:tabs>
          <w:tab w:leader="none" w:pos="9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following materials from Booz Allen Hamilton Holding Corporation’s Annual Report on Form 10-K for the fiscal year ended March 31, 2019, formatted in XBRL (eXtensible Business Reporting Language): (i) Consolidated Balance Sheets as of March 31, 2019 and 2018; (ii) Consolidated Statements of Operations for the fiscal years ended March 31, 2019, 2018 and 2017; (iii) Consolidated Statements of Comprehensive Income for the fiscal years ended March 31, 2019, 2018 and 2017; (iv) Consolidated Statements of Cash Flows for the fiscal years ended March 31, 2019, 2018 and 2017; (v) Consolidated Statements of Stockholders' Equity for the fiscal years ended March 31, 2019, 2018 and 2017; and (vi) Notes to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63"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Management contract or compensatory arrangement.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Form 10-K Summary.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40"/>
          </w:cols>
          <w:pgMar w:left="240" w:top="854" w:right="31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340"/>
          </w:cols>
          <w:pgMar w:left="240" w:top="854" w:right="319" w:bottom="1440" w:gutter="0" w:footer="0" w:header="0"/>
          <w:type w:val="continuous"/>
        </w:sectPr>
      </w:pPr>
    </w:p>
    <w:bookmarkStart w:id="121" w:name="page122"/>
    <w:bookmarkEnd w:id="121"/>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28th day of May,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000"/>
        <w:spacing w:after="0"/>
        <w:rPr>
          <w:sz w:val="20"/>
          <w:szCs w:val="20"/>
          <w:color w:val="auto"/>
        </w:rPr>
      </w:pPr>
      <w:r>
        <w:rPr>
          <w:rFonts w:ascii="Arial" w:cs="Arial" w:eastAsia="Arial" w:hAnsi="Arial"/>
          <w:sz w:val="18"/>
          <w:szCs w:val="18"/>
          <w:color w:val="auto"/>
        </w:rPr>
        <w:t>BOOZ ALLEN HAMILTON HOLDING CORPORATION</w:t>
      </w:r>
    </w:p>
    <w:p>
      <w:pPr>
        <w:spacing w:after="0" w:line="23" w:lineRule="exact"/>
        <w:rPr>
          <w:sz w:val="20"/>
          <w:szCs w:val="20"/>
          <w:color w:val="auto"/>
        </w:rPr>
      </w:pPr>
    </w:p>
    <w:p>
      <w:pPr>
        <w:jc w:val="center"/>
        <w:ind w:left="200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58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31750</wp:posOffset>
            </wp:positionV>
            <wp:extent cx="21697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Horacio D. Rozanski</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President and Chief Executive Officer</w:t>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the requirements of the Securities Act of 1934, this report has been signed by the following persons in the capacities and on the dates indicated.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ind w:left="1820"/>
              <w:spacing w:after="0"/>
              <w:rPr>
                <w:sz w:val="20"/>
                <w:szCs w:val="20"/>
                <w:color w:val="auto"/>
              </w:rPr>
            </w:pPr>
            <w:r>
              <w:rPr>
                <w:rFonts w:ascii="Arial" w:cs="Arial" w:eastAsia="Arial" w:hAnsi="Arial"/>
                <w:sz w:val="14"/>
                <w:szCs w:val="14"/>
                <w:b w:val="1"/>
                <w:bCs w:val="1"/>
                <w:color w:val="auto"/>
              </w:rPr>
              <w:t>Signature</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580" w:type="dxa"/>
            <w:vAlign w:val="bottom"/>
          </w:tcPr>
          <w:p>
            <w:pPr>
              <w:jc w:val="center"/>
              <w:ind w:left="47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65"/>
        </w:trPr>
        <w:tc>
          <w:tcPr>
            <w:tcW w:w="4240" w:type="dxa"/>
            <w:vAlign w:val="bottom"/>
          </w:tcPr>
          <w:p>
            <w:pPr>
              <w:ind w:left="40"/>
              <w:spacing w:after="0"/>
              <w:rPr>
                <w:sz w:val="20"/>
                <w:szCs w:val="20"/>
                <w:color w:val="auto"/>
              </w:rPr>
            </w:pPr>
            <w:r>
              <w:rPr>
                <w:rFonts w:ascii="Arial" w:cs="Arial" w:eastAsia="Arial" w:hAnsi="Arial"/>
                <w:sz w:val="18"/>
                <w:szCs w:val="18"/>
                <w:color w:val="auto"/>
              </w:rPr>
              <w:t>/s/ Horacio D. Rozanski</w:t>
            </w: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Director</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28, 2019</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508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Horacio D. Rozanski</w:t>
            </w:r>
          </w:p>
        </w:tc>
        <w:tc>
          <w:tcPr>
            <w:tcW w:w="508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50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5"/>
        </w:trPr>
        <w:tc>
          <w:tcPr>
            <w:tcW w:w="4240" w:type="dxa"/>
            <w:vAlign w:val="bottom"/>
          </w:tcPr>
          <w:p>
            <w:pPr>
              <w:ind w:left="40"/>
              <w:spacing w:after="0"/>
              <w:rPr>
                <w:sz w:val="20"/>
                <w:szCs w:val="20"/>
                <w:color w:val="auto"/>
              </w:rPr>
            </w:pPr>
            <w:r>
              <w:rPr>
                <w:rFonts w:ascii="Arial" w:cs="Arial" w:eastAsia="Arial" w:hAnsi="Arial"/>
                <w:sz w:val="18"/>
                <w:szCs w:val="18"/>
                <w:color w:val="auto"/>
              </w:rPr>
              <w:t>/s/ Lloyd W. Howell, Jr.</w:t>
            </w: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Executive Vice President, Chief Financial Officer and</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28, 2019</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5080" w:type="dxa"/>
            <w:vAlign w:val="bottom"/>
            <w:vMerge w:val="restart"/>
          </w:tcPr>
          <w:p>
            <w:pPr>
              <w:jc w:val="center"/>
              <w:spacing w:after="0"/>
              <w:rPr>
                <w:sz w:val="20"/>
                <w:szCs w:val="20"/>
                <w:color w:val="auto"/>
              </w:rPr>
            </w:pPr>
            <w:r>
              <w:rPr>
                <w:rFonts w:ascii="Arial" w:cs="Arial" w:eastAsia="Arial" w:hAnsi="Arial"/>
                <w:sz w:val="18"/>
                <w:szCs w:val="18"/>
                <w:color w:val="auto"/>
                <w:w w:val="92"/>
              </w:rPr>
              <w:t>Treasurer (Principal Financial Officer)</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Lloyd W. Howell, Jr.</w:t>
            </w:r>
          </w:p>
        </w:tc>
        <w:tc>
          <w:tcPr>
            <w:tcW w:w="508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50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5"/>
        </w:trPr>
        <w:tc>
          <w:tcPr>
            <w:tcW w:w="4240" w:type="dxa"/>
            <w:vAlign w:val="bottom"/>
          </w:tcPr>
          <w:p>
            <w:pPr>
              <w:ind w:left="40"/>
              <w:spacing w:after="0"/>
              <w:rPr>
                <w:sz w:val="20"/>
                <w:szCs w:val="20"/>
                <w:color w:val="auto"/>
              </w:rPr>
            </w:pPr>
            <w:r>
              <w:rPr>
                <w:rFonts w:ascii="Arial" w:cs="Arial" w:eastAsia="Arial" w:hAnsi="Arial"/>
                <w:sz w:val="18"/>
                <w:szCs w:val="18"/>
                <w:color w:val="auto"/>
              </w:rPr>
              <w:t>/s/ Laura S. Adams</w:t>
            </w: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Vice President, Corporate Controller and Chief</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28, 2019</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5080" w:type="dxa"/>
            <w:vAlign w:val="bottom"/>
            <w:vMerge w:val="restart"/>
          </w:tcPr>
          <w:p>
            <w:pPr>
              <w:jc w:val="center"/>
              <w:spacing w:after="0"/>
              <w:rPr>
                <w:sz w:val="20"/>
                <w:szCs w:val="20"/>
                <w:color w:val="auto"/>
              </w:rPr>
            </w:pPr>
            <w:r>
              <w:rPr>
                <w:rFonts w:ascii="Arial" w:cs="Arial" w:eastAsia="Arial" w:hAnsi="Arial"/>
                <w:sz w:val="18"/>
                <w:szCs w:val="18"/>
                <w:color w:val="auto"/>
                <w:w w:val="95"/>
              </w:rPr>
              <w:t>Accounting Officer (Principal Accounting Officer)</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Laura S. Adams</w:t>
            </w:r>
          </w:p>
        </w:tc>
        <w:tc>
          <w:tcPr>
            <w:tcW w:w="508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50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Ralph W. Shrader</w:t>
            </w:r>
          </w:p>
        </w:tc>
        <w:tc>
          <w:tcPr>
            <w:tcW w:w="508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28, 2019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Ralph W. Shrader</w:t>
            </w:r>
          </w:p>
        </w:tc>
        <w:tc>
          <w:tcPr>
            <w:tcW w:w="5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Joan Lordi C. Amble</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28, 2019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Joan Lordi C. Amble</w:t>
            </w:r>
          </w:p>
        </w:tc>
        <w:tc>
          <w:tcPr>
            <w:tcW w:w="5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Melody C. Barnes</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28, 2019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Melody C. Barnes</w:t>
            </w:r>
          </w:p>
        </w:tc>
        <w:tc>
          <w:tcPr>
            <w:tcW w:w="5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Peter Clare</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28, 2019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Peter Clare</w:t>
            </w:r>
          </w:p>
        </w:tc>
        <w:tc>
          <w:tcPr>
            <w:tcW w:w="5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Michèle A. Flournoy</w:t>
            </w:r>
          </w:p>
        </w:tc>
        <w:tc>
          <w:tcPr>
            <w:tcW w:w="50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80" w:type="dxa"/>
            <w:vAlign w:val="bottom"/>
          </w:tcPr>
          <w:p>
            <w:pPr>
              <w:jc w:val="center"/>
              <w:ind w:left="492"/>
              <w:spacing w:after="0"/>
              <w:rPr>
                <w:sz w:val="20"/>
                <w:szCs w:val="20"/>
                <w:color w:val="auto"/>
              </w:rPr>
            </w:pPr>
            <w:r>
              <w:rPr>
                <w:rFonts w:ascii="Arial" w:cs="Arial" w:eastAsia="Arial" w:hAnsi="Arial"/>
                <w:sz w:val="18"/>
                <w:szCs w:val="18"/>
                <w:color w:val="auto"/>
                <w:w w:val="91"/>
              </w:rPr>
              <w:t>May 28, 2019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Michèle A. Flournoy</w:t>
            </w:r>
          </w:p>
        </w:tc>
        <w:tc>
          <w:tcPr>
            <w:tcW w:w="5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240" w:top="68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200"/>
          </w:cols>
          <w:pgMar w:left="240" w:top="688" w:right="45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/s/ Ian Fujiyama</w:t>
            </w:r>
          </w:p>
        </w:tc>
        <w:tc>
          <w:tcPr>
            <w:tcW w:w="426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400"/>
              <w:spacing w:after="0"/>
              <w:rPr>
                <w:sz w:val="20"/>
                <w:szCs w:val="20"/>
                <w:color w:val="auto"/>
              </w:rPr>
            </w:pPr>
            <w:r>
              <w:rPr>
                <w:rFonts w:ascii="Arial" w:cs="Arial" w:eastAsia="Arial" w:hAnsi="Arial"/>
                <w:sz w:val="18"/>
                <w:szCs w:val="18"/>
                <w:color w:val="auto"/>
                <w:w w:val="89"/>
              </w:rPr>
              <w:t>May 28, 2019</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Ian Fujiyama</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Mark E. Gaumond</w:t>
            </w:r>
          </w:p>
        </w:tc>
        <w:tc>
          <w:tcPr>
            <w:tcW w:w="426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400"/>
              <w:spacing w:after="0"/>
              <w:rPr>
                <w:sz w:val="20"/>
                <w:szCs w:val="20"/>
                <w:color w:val="auto"/>
              </w:rPr>
            </w:pPr>
            <w:r>
              <w:rPr>
                <w:rFonts w:ascii="Arial" w:cs="Arial" w:eastAsia="Arial" w:hAnsi="Arial"/>
                <w:sz w:val="18"/>
                <w:szCs w:val="18"/>
                <w:color w:val="auto"/>
                <w:w w:val="89"/>
              </w:rPr>
              <w:t>May 28, 2019</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Mark E. Gaumond</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Ellen Jewett</w:t>
            </w:r>
          </w:p>
        </w:tc>
        <w:tc>
          <w:tcPr>
            <w:tcW w:w="426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400"/>
              <w:spacing w:after="0"/>
              <w:rPr>
                <w:sz w:val="20"/>
                <w:szCs w:val="20"/>
                <w:color w:val="auto"/>
              </w:rPr>
            </w:pPr>
            <w:r>
              <w:rPr>
                <w:rFonts w:ascii="Arial" w:cs="Arial" w:eastAsia="Arial" w:hAnsi="Arial"/>
                <w:sz w:val="18"/>
                <w:szCs w:val="18"/>
                <w:color w:val="auto"/>
                <w:w w:val="89"/>
              </w:rPr>
              <w:t>May 28, 2019</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Ellen Jewett</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Arthur E. Johnson</w:t>
            </w:r>
          </w:p>
        </w:tc>
        <w:tc>
          <w:tcPr>
            <w:tcW w:w="426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400"/>
              <w:spacing w:after="0"/>
              <w:rPr>
                <w:sz w:val="20"/>
                <w:szCs w:val="20"/>
                <w:color w:val="auto"/>
              </w:rPr>
            </w:pPr>
            <w:r>
              <w:rPr>
                <w:rFonts w:ascii="Arial" w:cs="Arial" w:eastAsia="Arial" w:hAnsi="Arial"/>
                <w:sz w:val="18"/>
                <w:szCs w:val="18"/>
                <w:color w:val="auto"/>
                <w:w w:val="89"/>
              </w:rPr>
              <w:t>May 28, 2019</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Arthur E. Johnson</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Gretchen W. McClain</w:t>
            </w:r>
          </w:p>
        </w:tc>
        <w:tc>
          <w:tcPr>
            <w:tcW w:w="426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400"/>
              <w:spacing w:after="0"/>
              <w:rPr>
                <w:sz w:val="20"/>
                <w:szCs w:val="20"/>
                <w:color w:val="auto"/>
              </w:rPr>
            </w:pPr>
            <w:r>
              <w:rPr>
                <w:rFonts w:ascii="Arial" w:cs="Arial" w:eastAsia="Arial" w:hAnsi="Arial"/>
                <w:sz w:val="18"/>
                <w:szCs w:val="18"/>
                <w:color w:val="auto"/>
                <w:w w:val="89"/>
              </w:rPr>
              <w:t>May 28, 2019</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Gretchen W. McClain</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Charles O. Rossotti</w:t>
            </w:r>
          </w:p>
        </w:tc>
        <w:tc>
          <w:tcPr>
            <w:tcW w:w="426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400"/>
              <w:spacing w:after="0"/>
              <w:rPr>
                <w:sz w:val="20"/>
                <w:szCs w:val="20"/>
                <w:color w:val="auto"/>
              </w:rPr>
            </w:pPr>
            <w:r>
              <w:rPr>
                <w:rFonts w:ascii="Arial" w:cs="Arial" w:eastAsia="Arial" w:hAnsi="Arial"/>
                <w:sz w:val="18"/>
                <w:szCs w:val="18"/>
                <w:color w:val="auto"/>
                <w:w w:val="89"/>
              </w:rPr>
              <w:t>May 28, 2019</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Charles O. Rossotti</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702"/>
        </w:trPr>
        <w:tc>
          <w:tcPr>
            <w:tcW w:w="4240" w:type="dxa"/>
            <w:vAlign w:val="bottom"/>
          </w:tcPr>
          <w:p>
            <w:pPr>
              <w:spacing w:after="0"/>
              <w:rPr>
                <w:sz w:val="24"/>
                <w:szCs w:val="24"/>
                <w:color w:val="auto"/>
              </w:rPr>
            </w:pPr>
          </w:p>
        </w:tc>
        <w:tc>
          <w:tcPr>
            <w:tcW w:w="4260" w:type="dxa"/>
            <w:vAlign w:val="bottom"/>
          </w:tcPr>
          <w:p>
            <w:pPr>
              <w:ind w:left="1380"/>
              <w:spacing w:after="0"/>
              <w:rPr>
                <w:sz w:val="20"/>
                <w:szCs w:val="20"/>
                <w:color w:val="auto"/>
              </w:rPr>
            </w:pPr>
            <w:r>
              <w:rPr>
                <w:rFonts w:ascii="Arial" w:cs="Arial" w:eastAsia="Arial" w:hAnsi="Arial"/>
                <w:sz w:val="18"/>
                <w:szCs w:val="18"/>
                <w:color w:val="auto"/>
              </w:rPr>
              <w:t>76</w:t>
            </w:r>
          </w:p>
        </w:tc>
        <w:tc>
          <w:tcPr>
            <w:tcW w:w="2400" w:type="dxa"/>
            <w:vAlign w:val="bottom"/>
          </w:tcPr>
          <w:p>
            <w:pPr>
              <w:spacing w:after="0"/>
              <w:rPr>
                <w:sz w:val="24"/>
                <w:szCs w:val="24"/>
                <w:color w:val="auto"/>
              </w:rPr>
            </w:pPr>
          </w:p>
        </w:tc>
      </w:tr>
    </w:tbl>
    <w:p>
      <w:pPr>
        <w:sectPr>
          <w:pgSz w:w="11900" w:h="16838" w:orient="portrait"/>
          <w:cols w:equalWidth="0" w:num="1">
            <w:col w:w="10900"/>
          </w:cols>
          <w:pgMar w:left="240" w:top="1017" w:right="7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4.5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35" w:lineRule="exact"/>
        <w:rPr>
          <w:sz w:val="20"/>
          <w:szCs w:val="20"/>
          <w:color w:val="auto"/>
        </w:rPr>
      </w:pPr>
    </w:p>
    <w:p>
      <w:pPr>
        <w:ind w:right="520"/>
        <w:spacing w:after="0" w:line="257" w:lineRule="auto"/>
        <w:rPr>
          <w:sz w:val="20"/>
          <w:szCs w:val="20"/>
          <w:color w:val="auto"/>
        </w:rPr>
      </w:pPr>
      <w:r>
        <w:rPr>
          <w:rFonts w:ascii="Arial" w:cs="Arial" w:eastAsia="Arial" w:hAnsi="Arial"/>
          <w:sz w:val="18"/>
          <w:szCs w:val="18"/>
          <w:color w:val="auto"/>
        </w:rPr>
        <w:t>The following descriptions of our capital stock and provisions of our third amended and restated certificate of incorporation, which we refer to as our amended and restated certificate of incorporation, and third amended and restated bylaws, which we refer to as our amended and restated bylaws, are summaries of their material terms and provisions. For a complete description of our capital stock, amended and restated certificate of incorporation and amended and restated bylaws, please refer to our amended and restated certificate of incorporation, amended and restated bylaws and the applicable provisions of the Delaware General Corporation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“Company”, “we”, “us”, and “our” refer to Booz Allen Hamilton Holding Corporation.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authorizes the issuance of 646,000,000 shares of common stock, which includes:</w:t>
      </w:r>
    </w:p>
    <w:p>
      <w:pPr>
        <w:spacing w:after="0" w:line="293" w:lineRule="exact"/>
        <w:rPr>
          <w:sz w:val="20"/>
          <w:szCs w:val="20"/>
          <w:color w:val="auto"/>
        </w:rPr>
      </w:pPr>
    </w:p>
    <w:p>
      <w:pPr>
        <w:ind w:left="380" w:hanging="223"/>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600,000,000 shares of Class A common stock, par value $0.01 per share;</w:t>
      </w:r>
    </w:p>
    <w:p>
      <w:pPr>
        <w:spacing w:after="0" w:line="360" w:lineRule="exact"/>
        <w:rPr>
          <w:rFonts w:ascii="Arial" w:cs="Arial" w:eastAsia="Arial" w:hAnsi="Arial"/>
          <w:sz w:val="18"/>
          <w:szCs w:val="18"/>
          <w:color w:val="auto"/>
        </w:rPr>
      </w:pPr>
    </w:p>
    <w:p>
      <w:pPr>
        <w:ind w:left="380" w:hanging="223"/>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16,000,000 shares of Class B non-voting common stock, par value $0.01 per share;</w:t>
      </w:r>
    </w:p>
    <w:p>
      <w:pPr>
        <w:spacing w:after="0" w:line="360" w:lineRule="exact"/>
        <w:rPr>
          <w:rFonts w:ascii="Arial" w:cs="Arial" w:eastAsia="Arial" w:hAnsi="Arial"/>
          <w:sz w:val="18"/>
          <w:szCs w:val="18"/>
          <w:color w:val="auto"/>
        </w:rPr>
      </w:pPr>
    </w:p>
    <w:p>
      <w:pPr>
        <w:ind w:left="380" w:hanging="223"/>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5,000,000 shares of Class C restricted common stock, par value $0.01 per share; and</w:t>
      </w:r>
    </w:p>
    <w:p>
      <w:pPr>
        <w:spacing w:after="0" w:line="360" w:lineRule="exact"/>
        <w:rPr>
          <w:rFonts w:ascii="Arial" w:cs="Arial" w:eastAsia="Arial" w:hAnsi="Arial"/>
          <w:sz w:val="18"/>
          <w:szCs w:val="18"/>
          <w:color w:val="auto"/>
        </w:rPr>
      </w:pPr>
    </w:p>
    <w:p>
      <w:pPr>
        <w:ind w:right="4760" w:firstLine="157"/>
        <w:spacing w:after="0" w:line="559" w:lineRule="auto"/>
        <w:tabs>
          <w:tab w:leader="none" w:pos="378" w:val="left"/>
        </w:tabs>
        <w:numPr>
          <w:ilvl w:val="0"/>
          <w:numId w:val="82"/>
        </w:numPr>
        <w:rPr>
          <w:rFonts w:ascii="Arial" w:cs="Arial" w:eastAsia="Arial" w:hAnsi="Arial"/>
          <w:sz w:val="18"/>
          <w:szCs w:val="18"/>
          <w:color w:val="auto"/>
        </w:rPr>
      </w:pPr>
      <w:r>
        <w:rPr>
          <w:rFonts w:ascii="Arial" w:cs="Arial" w:eastAsia="Arial" w:hAnsi="Arial"/>
          <w:sz w:val="18"/>
          <w:szCs w:val="18"/>
          <w:color w:val="auto"/>
        </w:rPr>
        <w:t>25,000,000 shares of Class E special voting common stock, par value $0.003 per share. The shares of common stock issued and outstanding are as follows: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As of May 22,</w:t>
            </w:r>
          </w:p>
        </w:tc>
      </w:tr>
      <w:tr>
        <w:trPr>
          <w:trHeight w:val="276"/>
        </w:trPr>
        <w:tc>
          <w:tcPr>
            <w:tcW w:w="8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Class A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140,030,725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Class B non-voting common stock</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Class C restricted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Class E special voting common stock</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440" w:type="dxa"/>
            <w:vAlign w:val="bottom"/>
            <w:shd w:val="clear" w:color="auto" w:fill="CCEEFF"/>
          </w:tcPr>
          <w:p>
            <w:pPr>
              <w:ind w:left="200"/>
              <w:spacing w:after="0"/>
              <w:rPr>
                <w:sz w:val="20"/>
                <w:szCs w:val="20"/>
                <w:color w:val="auto"/>
              </w:rPr>
            </w:pPr>
            <w:r>
              <w:rPr>
                <w:rFonts w:ascii="Arial" w:cs="Arial" w:eastAsia="Arial" w:hAnsi="Arial"/>
                <w:sz w:val="18"/>
                <w:szCs w:val="18"/>
                <w:color w:val="auto"/>
                <w:shd w:val="clear" w:color="auto" w:fill="CCEEFF"/>
              </w:rPr>
              <w:t>Total shares outstanding</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shd w:val="clear" w:color="auto" w:fill="CCEEFF"/>
              </w:rPr>
              <w:t>140,030,725</w:t>
            </w:r>
          </w:p>
        </w:tc>
        <w:tc>
          <w:tcPr>
            <w:tcW w:w="100" w:type="dxa"/>
            <w:vAlign w:val="bottom"/>
            <w:shd w:val="clear" w:color="auto" w:fill="CCEEFF"/>
          </w:tcPr>
          <w:p>
            <w:pPr>
              <w:spacing w:after="0"/>
              <w:rPr>
                <w:sz w:val="19"/>
                <w:szCs w:val="19"/>
                <w:color w:val="auto"/>
              </w:rPr>
            </w:pPr>
          </w:p>
        </w:tc>
      </w:tr>
      <w:tr>
        <w:trPr>
          <w:trHeight w:val="41"/>
        </w:trPr>
        <w:tc>
          <w:tcPr>
            <w:tcW w:w="8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r>
    </w:tbl>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amended and restated certificate of incorporation currently authorizes the issuance of shares of Class A common stock, Class B non-voting common stock, Class C restricted common stock and Class E special voting common stock. At our annual meeting of stockholders held on July 31, 2014, our stockholders approved a proposal to amend and restate our certificate of incorporation, which had the effect of converting all issued and outstanding shares of Class B non-voting common stock and Class C restricted common stock into shares of Class A common stock on a one-for-one basis. The conversion was effected on August 13, 2014 when we filed our third amended and restated certificate of incorporation with the Secretary of State of the State of Delaware. As a result of the conversion, there were no shares of Class B non-voting common stock and Class C restricted common stock outstanding at the time that the third amended and restated certificate of incorporation was filed, and no shares of Class B non-voting common stock or Class C restricted common stock have been issued since such time.</w:t>
      </w:r>
    </w:p>
    <w:p>
      <w:pPr>
        <w:sectPr>
          <w:pgSz w:w="11900" w:h="16838" w:orient="portrait"/>
          <w:cols w:equalWidth="0" w:num="1">
            <w:col w:w="11420"/>
          </w:cols>
          <w:pgMar w:left="240" w:top="125" w:right="239" w:bottom="1440" w:gutter="0" w:footer="0" w:header="0"/>
        </w:sectPr>
      </w:pPr>
    </w:p>
    <w:bookmarkStart w:id="124" w:name="page125"/>
    <w:bookmarkEnd w:id="124"/>
    <w:p>
      <w:pPr>
        <w:jc w:val="both"/>
        <w:spacing w:after="0" w:line="259" w:lineRule="auto"/>
        <w:rPr>
          <w:sz w:val="20"/>
          <w:szCs w:val="20"/>
          <w:color w:val="auto"/>
        </w:rPr>
      </w:pPr>
      <w:r>
        <w:rPr>
          <w:rFonts w:ascii="Arial" w:cs="Arial" w:eastAsia="Arial" w:hAnsi="Arial"/>
          <w:sz w:val="18"/>
          <w:szCs w:val="18"/>
          <w:color w:val="auto"/>
        </w:rPr>
        <w:t>On September 30, 2015, we purchased, at par value, all issued and outstanding shares of Class E special voting common stock in connection with the exercise of the final tranche of rollover options during the second quarter of fiscal 2016, and no shares of Class E special voting common stock have been issued since such purchase. Accordingly, there are no shares outstanding nor is there an established trading market for any of our Class B non-voting common stock, Class C restricted common stock, or Class E special voting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rights and privileges of holders of our common stock are subject to any series of preferred stock that we may issue in the future.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Holders of Class A common stock, Class C restricted common stock and Class E special voting common stock are entitled to one vote for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on all matters to be voted on by stockholders. Except as otherwise provided by the Delaware General Corporation Law, the holders of the voting common stock, as such, shall vote together as a single class. Except as required by the Delaware General Corporation Law, the holders of Class B non-voting common stock will have no voting rights of any nature whatsoever.</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b w:val="1"/>
          <w:bCs w:val="1"/>
          <w:i w:val="1"/>
          <w:iCs w:val="1"/>
          <w:color w:val="auto"/>
        </w:rPr>
        <w:t>Election of Directors</w:t>
      </w:r>
      <w:r>
        <w:rPr>
          <w:rFonts w:ascii="Arial" w:cs="Arial" w:eastAsia="Arial" w:hAnsi="Arial"/>
          <w:sz w:val="17"/>
          <w:szCs w:val="17"/>
          <w:color w:val="auto"/>
        </w:rPr>
        <w:t>. Directors are elected by the vote of the majority of the votes cast (as defined in Section 2.02 of the amended and restated bylaws)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 to such director’s election; unless the director has been duly nominated by a stockholder in accordance with the amended and restated bylaws. Where a director has been duly nominated by a stockholder in accordance with the amended and restated bylaws, such directors shall be elected by the vote of a plurality of votes cast in connection with the election of directors at any meeting of stockholders. Any nominee who is an incumbent director and does not receive a majority of the votes cast in an election where the director was not duly nominated by a stockholder in accordance with the amended and restated bylaws must promptly tender his or her resignation contingent on the acceptance of that resignation by the Company’s Board of Directors (the “Board”) pursuant to the procedure established in the amended and restated bylaws.</w:t>
      </w:r>
    </w:p>
    <w:p>
      <w:pPr>
        <w:spacing w:after="0" w:line="8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Dividend Rights</w:t>
      </w:r>
      <w:r>
        <w:rPr>
          <w:rFonts w:ascii="Arial" w:cs="Arial" w:eastAsia="Arial" w:hAnsi="Arial"/>
          <w:sz w:val="16"/>
          <w:szCs w:val="16"/>
          <w:color w:val="auto"/>
        </w:rPr>
        <w:t>. Each share of common stock, except for Class E special voting common stock, is entitled to participate equally, when and if declared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from time to time, in such dividends and other distributions in cash, stock, or property from the Company’s assets or funds as may become legally available for such purposes subject to any dividend preferences that may be attributable to preferred stock that may be authorized and outstanding.</w:t>
      </w:r>
    </w:p>
    <w:p>
      <w:pPr>
        <w:spacing w:after="0" w:line="14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b w:val="1"/>
          <w:bCs w:val="1"/>
          <w:i w:val="1"/>
          <w:iCs w:val="1"/>
          <w:color w:val="auto"/>
        </w:rPr>
        <w:t>Right to Receive Liquidation Distributions</w:t>
      </w:r>
      <w:r>
        <w:rPr>
          <w:rFonts w:ascii="Arial" w:cs="Arial" w:eastAsia="Arial" w:hAnsi="Arial"/>
          <w:sz w:val="16"/>
          <w:szCs w:val="16"/>
          <w:color w:val="auto"/>
        </w:rPr>
        <w:t>. In the event of our liquidation, dissolution or winding up, holders of our common stock, except for Class 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 voting common stock (other than to the extent of its par value), will be entitled to receive proportionately any of our assets remaining after the payment of liabilities and subject to the prior rights of any outstanding preferred stock. Because we are a holding company, our ability to pay dividends is subject to our subsidiaries’ ability to pay dividends to us, which is in turn subject to the restrictions set forth in our debt agreements.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 Shares of our Class A common stock are not convertible into any other series or class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registered on the New York Stock Exchange under the symbol “BAH”.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54,000,000 shares of preferred stock, par value $0.01 per share, the terms and conditions of which are determined by the Board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00" w:right="259" w:bottom="1440" w:gutter="0" w:footer="0" w:header="0"/>
        </w:sectPr>
      </w:pPr>
    </w:p>
    <w:bookmarkStart w:id="125" w:name="page126"/>
    <w:bookmarkEnd w:id="125"/>
    <w:p>
      <w:pPr>
        <w:spacing w:after="0" w:line="264" w:lineRule="auto"/>
        <w:rPr>
          <w:sz w:val="20"/>
          <w:szCs w:val="20"/>
          <w:color w:val="auto"/>
        </w:rPr>
      </w:pPr>
      <w:r>
        <w:rPr>
          <w:rFonts w:ascii="Arial" w:cs="Arial" w:eastAsia="Arial" w:hAnsi="Arial"/>
          <w:sz w:val="18"/>
          <w:szCs w:val="18"/>
          <w:color w:val="auto"/>
        </w:rPr>
        <w:t>upon issuance. The rights, preferences and privileges of holders of common stock are subject to, and may be adversely affected by, the rights of holders of any shares of preferred stock that we may designate and issue in the future. As of May 22, 2019, there were no shares of preferred stock outstanding. We have no present plans to issue any shares of preferred stock.</w:t>
      </w:r>
    </w:p>
    <w:p>
      <w:pPr>
        <w:spacing w:after="0" w:line="19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Change of Control Related Provisions of Our Amended and Restated Certificate of Incorporation, Amended and Restated Bylaws and Delaware Law</w:t>
      </w:r>
    </w:p>
    <w:p>
      <w:pPr>
        <w:spacing w:after="0" w:line="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and in the Delaware General Corporation Law, may make it difficult, expensive and time-consuming for a third party to pursue a takeover attempt even if a change in control of the Company would be beneficial to the interests of our stockholders. 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These provisions are intended to:</w:t>
      </w:r>
    </w:p>
    <w:p>
      <w:pPr>
        <w:spacing w:after="0" w:line="226" w:lineRule="exact"/>
        <w:rPr>
          <w:sz w:val="20"/>
          <w:szCs w:val="20"/>
          <w:color w:val="auto"/>
        </w:rPr>
      </w:pPr>
    </w:p>
    <w:p>
      <w:pPr>
        <w:ind w:left="720" w:hanging="22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enhance the likelihood of continuity and stability in the composition of our Board;</w:t>
      </w:r>
    </w:p>
    <w:p>
      <w:pPr>
        <w:spacing w:after="0" w:line="360" w:lineRule="exact"/>
        <w:rPr>
          <w:rFonts w:ascii="Arial" w:cs="Arial" w:eastAsia="Arial" w:hAnsi="Arial"/>
          <w:sz w:val="18"/>
          <w:szCs w:val="18"/>
          <w:color w:val="auto"/>
        </w:rPr>
      </w:pPr>
    </w:p>
    <w:p>
      <w:pPr>
        <w:ind w:left="720" w:hanging="22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discourage some types of transactions that may involve an actual or threatened change in control of the Company;</w:t>
      </w:r>
    </w:p>
    <w:p>
      <w:pPr>
        <w:spacing w:after="0" w:line="360" w:lineRule="exact"/>
        <w:rPr>
          <w:rFonts w:ascii="Arial" w:cs="Arial" w:eastAsia="Arial" w:hAnsi="Arial"/>
          <w:sz w:val="18"/>
          <w:szCs w:val="18"/>
          <w:color w:val="auto"/>
        </w:rPr>
      </w:pPr>
    </w:p>
    <w:p>
      <w:pPr>
        <w:ind w:left="720" w:hanging="22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discourage certain tactics that may be used in proxy fights;</w:t>
      </w:r>
    </w:p>
    <w:p>
      <w:pPr>
        <w:spacing w:after="0" w:line="360" w:lineRule="exact"/>
        <w:rPr>
          <w:rFonts w:ascii="Arial" w:cs="Arial" w:eastAsia="Arial" w:hAnsi="Arial"/>
          <w:sz w:val="18"/>
          <w:szCs w:val="18"/>
          <w:color w:val="auto"/>
        </w:rPr>
      </w:pPr>
    </w:p>
    <w:p>
      <w:pPr>
        <w:ind w:left="720" w:hanging="226"/>
        <w:spacing w:after="0"/>
        <w:tabs>
          <w:tab w:leader="none" w:pos="7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ensure that our Board will have sufficient time to act in what our Board believes to be the best interests of us and our stockholders; and</w:t>
      </w:r>
    </w:p>
    <w:p>
      <w:pPr>
        <w:spacing w:after="0" w:line="371" w:lineRule="exact"/>
        <w:rPr>
          <w:rFonts w:ascii="Arial" w:cs="Arial" w:eastAsia="Arial" w:hAnsi="Arial"/>
          <w:sz w:val="17"/>
          <w:szCs w:val="17"/>
          <w:color w:val="auto"/>
        </w:rPr>
      </w:pPr>
    </w:p>
    <w:p>
      <w:pPr>
        <w:ind w:left="720" w:right="580" w:hanging="226"/>
        <w:spacing w:after="0" w:line="277" w:lineRule="auto"/>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encourage persons seeking to acquire control of our company to first consult with our Board to negotiate the terms of any proposed business combination or offer.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Unissued Shares of Capital Stock</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May 22, 2019, 140,030,725 shares of our Class A common stock were issued and outstanding. The remaining shares of authorized and unissued Class A common stock are available for future issuance without additional stockholder approval, subject to the requirements of applicable law or regulation, including any listing requirement of the principal stock exchange on which our Class A common stock is then listed. While the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in opposing a hostile takeover bid.</w:t>
      </w:r>
    </w:p>
    <w:p>
      <w:pPr>
        <w:spacing w:after="0" w:line="9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addition, our amended and restated certificate of incorporation provides our Board with the authority, without any further vote or action by our stockholders, to designate and issue one or more series of preferred stock at their sole discretion and to fix the number of shares and the preferences, limitations and relative rights of the shares constituting any series. This provision makes it possible for our Board to issue preferred stock with super voting, special approval, dividend or other rights or preferences which could impede any attempt to acquire us. These and other provisions may have the effect of deferring, delaying or discouraging hostile takeovers or changes in control or management of our company, discouraging bids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126" w:name="page127"/>
    <w:bookmarkEnd w:id="126"/>
    <w:p>
      <w:pPr>
        <w:ind w:right="220"/>
        <w:spacing w:after="0" w:line="277" w:lineRule="auto"/>
        <w:rPr>
          <w:sz w:val="20"/>
          <w:szCs w:val="20"/>
          <w:color w:val="auto"/>
        </w:rPr>
      </w:pPr>
      <w:r>
        <w:rPr>
          <w:rFonts w:ascii="Arial" w:cs="Arial" w:eastAsia="Arial" w:hAnsi="Arial"/>
          <w:sz w:val="18"/>
          <w:szCs w:val="18"/>
          <w:color w:val="auto"/>
        </w:rPr>
        <w:t>the Class A common stock at a premium over the market price of the common stock and may adversely affect the market price of, and the voting and other rights of the holder of, Class A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Vacancies and Removal of Directors</w:t>
      </w:r>
    </w:p>
    <w:p>
      <w:pPr>
        <w:spacing w:after="0" w:line="13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our Board is divided into three classes whose members serve three-year terms expiring in successive years. Any effort to obtain control of our Board by causing the election of a majority of the Board may require more time than would be required without such a staggered election structure.</w:t>
      </w:r>
    </w:p>
    <w:p>
      <w:pPr>
        <w:spacing w:after="0" w:line="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directors may only be removed from office for cause upon the affirmative vote of holders of at least a majority of the votes which all the stockholders would be entitled to cast. Our amended and restated certificate of incorporation and amended and restated bylaws also provide that vacancies in our Board may be filled only by our Board. Any director elected to fill a vacancy will hold office for the remainder of the full term of the class of directors in which the vacancy occurred (including a vacancy created by increasing the size of the Board) and until such director’s successor shall have been duly elected and qualified. No decrease in the number of directors will shorten the term of any incumbent director. The number of directors shall be fixed and modified, but not reduced to less than three, from time to time by resolution of our Board.</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These provisions may have the effect of slowing or impeding a third party from initiating a proxy contest, making a tender offer or otherwise attempting a change in the membership of our Board that would effect a change of control.</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of Directors and Stockholder Proposals</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amended and restated bylaws establish an advance notice procedure for stockholders to make nominations of candidates for election as director or to bring other business before an annual meeting of our stockholders. This procedure provides that, except as otherwise required by applicable law, only persons who are nominated by the Board, a committee appointed by the Board, or by a stockholder who (i) is entitled to vote at the meeting, (ii) has given timely written notice to our secretary prior to the meeting and (iii) is a stockholder of record when the required notice is delivered and at the date of the meeting, will be eligible for election as directors, and only business that has been brought before an annual meeting by the Board, any committee appointed by the Board, or by a stockholder who has given timely written notice to our secretary prior to the meeting, may be conducted. Under the procedure, to be timely, notice must be received by the secretary at our principal executive offices not less than 90 days and not more than 120 days prior to the first anniversary date of the annual meeting of the preceding year. In addition, a stockholder’s notice proposing to nominate a person for election as director must, among other things, contain specific information about the nominating stockholder and the proposed nominee as well as the proposed nominee’s written consent to be named in the proxy statement as a nominee and to serving as a director if elected. A stockholder’s notice relating to the conduct of business other than the nomination of directors must contain, among other things, specific information about the proposing stockholder, the text of the proposal, the reasons for conducting such business at the meeting and any material interest in such business of such stockholder and beneficial owner, if any, on whose behalf the proposal is made.</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Requiring advance notice of nominations by stockholders allows our Board an opportunity to consider the qualifications of the proposed nominees and also provides a more orderly procedure for conducting annual meetings of stockholders. It also provides the Board with the opportunity to inform stockholders of proposed business prior to the meeting, so that stockholders can better decide whether to attend the meeting or to grant a proxy regarding the disposition of the business. These provisions may also have the effect of</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84" w:right="279" w:bottom="1440" w:gutter="0" w:footer="0" w:header="0"/>
        </w:sectPr>
      </w:pPr>
    </w:p>
    <w:bookmarkStart w:id="127" w:name="page128"/>
    <w:bookmarkEnd w:id="127"/>
    <w:p>
      <w:pPr>
        <w:spacing w:after="0" w:line="264" w:lineRule="auto"/>
        <w:rPr>
          <w:sz w:val="20"/>
          <w:szCs w:val="20"/>
          <w:color w:val="auto"/>
        </w:rPr>
      </w:pPr>
      <w:r>
        <w:rPr>
          <w:rFonts w:ascii="Arial" w:cs="Arial" w:eastAsia="Arial" w:hAnsi="Arial"/>
          <w:sz w:val="18"/>
          <w:szCs w:val="18"/>
          <w:color w:val="auto"/>
        </w:rPr>
        <w:t>precluding a contest for the election of directors or the consideration of stockholder proposals and of discouraging or deterring a third party from conducting a solicitation of proxies to elect its own slate of directors or to approve its own proposal without regard to whether consideration of the nominees or proposals might be harmful or beneficial to us or our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Special Stockholder Meetings; Stockholder Action by Written Consent</w:t>
      </w:r>
    </w:p>
    <w:p>
      <w:pPr>
        <w:spacing w:after="0" w:line="13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 special meeting of stockholders may only be called by our Board. Our amended and restated bylaws provide that any action taken by the stockholders must be effected at a duly called annual or special meeting, which may be called only by the Board.</w:t>
      </w:r>
    </w:p>
    <w:p>
      <w:pPr>
        <w:spacing w:after="0" w:line="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These provisions make it procedurally more difficult for a stockholder to take action without a meeting and therefore may reduce the likelihood that a stockholder will seek to take independent action with respect to matters that are not supported by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 Requirements for Amendment of Certain Provisions of Our Amended and Restated Bylaws</w:t>
      </w:r>
    </w:p>
    <w:p>
      <w:pPr>
        <w:spacing w:after="0" w:line="13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amended and restated bylaws provide that our bylaws may be amended, altered or repealed at any regular or special meeting of the stockholders only if the amendment is approved by the vote of holders of at least two-thirds of the shares then entitled to vote at a general election of directors. In addition, amendments may be instituted by resolutions adopted by a majority of the Board at any special or regular meeting of the Board. These provisions make it more difficult for stockholders to remove or amend any provisions that may have an anti-takeover effect.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13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amended and restated certificate of incorporation provides that The Carlyle Group (“Carlyle”) has no obligation to offer us an opportunity to participate in business opportunities presented to Carlyle or its affiliates, including its respective officers, directors, agents, members, partners and affiliates even if the opportunity is one that we might reasonably have pursued, and that neither Carlyle nor its respective officers, directors, agents, members, partners or affiliates is liable to us or our stockholders for breach of any duty by reason of any such activities unless, in the case of any person who is a director or officer of our company, such business opportunity is expressly offered to such director or officer in writing solely in his or her capacity as an officer or director of our company. Stockholders will be deemed to have notice of and consented to this provision of our amended and restated certificate of incorporation.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of Directors; Indemnification of Directors and Officers</w:t>
      </w:r>
    </w:p>
    <w:p>
      <w:pPr>
        <w:spacing w:after="0" w:line="13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amended and restated certificate of incorporation contains provisions permitted under Delaware General Corporation Law relating to the liability of directors. These provisions eliminate a director’s personal liability for monetary damages resulting from a breach of fiduciary duty, except in circumstances involving or related to:</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4" w:right="259" w:bottom="1440" w:gutter="0" w:footer="0" w:header="0"/>
        </w:sectPr>
      </w:pPr>
    </w:p>
    <w:bookmarkStart w:id="128" w:name="page129"/>
    <w:bookmarkEnd w:id="128"/>
    <w:p>
      <w:pPr>
        <w:ind w:left="380" w:hanging="223"/>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breach of the director’s duty of loyalty;</w:t>
      </w:r>
    </w:p>
    <w:p>
      <w:pPr>
        <w:spacing w:after="0" w:line="360" w:lineRule="exact"/>
        <w:rPr>
          <w:rFonts w:ascii="Arial" w:cs="Arial" w:eastAsia="Arial" w:hAnsi="Arial"/>
          <w:sz w:val="18"/>
          <w:szCs w:val="18"/>
          <w:color w:val="auto"/>
        </w:rPr>
      </w:pPr>
    </w:p>
    <w:p>
      <w:pPr>
        <w:ind w:left="380" w:hanging="223"/>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360" w:lineRule="exact"/>
        <w:rPr>
          <w:rFonts w:ascii="Arial" w:cs="Arial" w:eastAsia="Arial" w:hAnsi="Arial"/>
          <w:sz w:val="18"/>
          <w:szCs w:val="18"/>
          <w:color w:val="auto"/>
        </w:rPr>
      </w:pPr>
    </w:p>
    <w:p>
      <w:pPr>
        <w:ind w:left="380" w:hanging="223"/>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violation of Section 174 of the Delaware General Corporation Law (including, among other things, unlawful payment of dividends); or</w:t>
      </w:r>
    </w:p>
    <w:p>
      <w:pPr>
        <w:spacing w:after="0" w:line="360" w:lineRule="exact"/>
        <w:rPr>
          <w:rFonts w:ascii="Arial" w:cs="Arial" w:eastAsia="Arial" w:hAnsi="Arial"/>
          <w:sz w:val="18"/>
          <w:szCs w:val="18"/>
          <w:color w:val="auto"/>
        </w:rPr>
      </w:pPr>
    </w:p>
    <w:p>
      <w:pPr>
        <w:ind w:left="380" w:hanging="223"/>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principal effect of the limitation on liability provision is that a stockholder will be unable to prosecute an action for monetary damages against a director unless the stockholder can demonstrate a basis for liability for which indemnification is not available under the Delaware General Corporation Law. These provisions, however, should not limit or eliminate our rights or any stockholder’s rights to seek non-monetary relief, such as an injunction or rescission, in the event of a breach of director’s fiduciary duty. These provisions will not alter a director’s liability under federal securities laws. The inclusion of this provision in our certificate of incorporation may discourage or deter stockholders or management from bringing a lawsuit against directors for a breach of their fiduciary duties, even though such an action, if successful, might otherwise have benefited us and our stockholders.</w:t>
      </w:r>
    </w:p>
    <w:p>
      <w:pPr>
        <w:spacing w:after="0" w:line="8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amended and restated bylaws require us to indemnify and advance expenses to our directors and officers to the fullest extent not prohibited by the Delaware General Corporation Law and other applicable law, except in the case of a proceeding instituted by the director without the approval of our Board. Our amended and restated bylaws also provide that we are required to indemnify our directors and officers, to the fullest extent permitted by law, for all judgments, fines, settlements, legal fees 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had no reasonable cause to believe his or her conduct was unlawful.</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entered into an indemnification agreement with each of our directors and officers. The indemnification agreements provide our directors and officers with contractual rights to the indemnification and expense advancement rights provided under our amended and restated bylaws, as well as contractual rights to additional indemnification as provided in the indemnification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Computershare Limited serves as transfer agent and registrar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746" w:right="279" w:bottom="1440" w:gutter="0" w:footer="0" w:header="0"/>
        </w:sectPr>
      </w:pPr>
    </w:p>
    <w:bookmarkStart w:id="129" w:name="page130"/>
    <w:bookmarkEnd w:id="129"/>
    <w:p>
      <w:pPr>
        <w:jc w:val="right"/>
        <w:ind w:right="240"/>
        <w:spacing w:after="0"/>
        <w:rPr>
          <w:sz w:val="20"/>
          <w:szCs w:val="20"/>
          <w:color w:val="auto"/>
        </w:rPr>
      </w:pPr>
      <w:r>
        <w:rPr>
          <w:rFonts w:ascii="Arial" w:cs="Arial" w:eastAsia="Arial" w:hAnsi="Arial"/>
          <w:sz w:val="18"/>
          <w:szCs w:val="18"/>
          <w:b w:val="1"/>
          <w:bCs w:val="1"/>
          <w:color w:val="auto"/>
        </w:rPr>
        <w:t>Exhibit 10.10</w:t>
      </w:r>
    </w:p>
    <w:p>
      <w:pPr>
        <w:spacing w:after="0" w:line="133" w:lineRule="exact"/>
        <w:rPr>
          <w:sz w:val="20"/>
          <w:szCs w:val="20"/>
          <w:color w:val="auto"/>
        </w:rPr>
      </w:pPr>
    </w:p>
    <w:p>
      <w:pPr>
        <w:ind w:left="5000"/>
        <w:spacing w:after="0"/>
        <w:rPr>
          <w:sz w:val="20"/>
          <w:szCs w:val="20"/>
          <w:color w:val="auto"/>
        </w:rPr>
      </w:pPr>
      <w:r>
        <w:rPr>
          <w:rFonts w:ascii="Arial" w:cs="Arial" w:eastAsia="Arial" w:hAnsi="Arial"/>
          <w:sz w:val="22"/>
          <w:szCs w:val="22"/>
          <w:b w:val="1"/>
          <w:bCs w:val="1"/>
          <w:i w:val="1"/>
          <w:iCs w:val="1"/>
          <w:color w:val="383836"/>
        </w:rPr>
        <w:t xml:space="preserve">Group Personal </w:t>
      </w:r>
      <w:r>
        <w:rPr>
          <w:rFonts w:ascii="Arial" w:cs="Arial" w:eastAsia="Arial" w:hAnsi="Arial"/>
          <w:sz w:val="22"/>
          <w:szCs w:val="22"/>
          <w:b w:val="1"/>
          <w:bCs w:val="1"/>
          <w:color w:val="383836"/>
        </w:rPr>
        <w:t>Excess</w:t>
      </w:r>
      <w:r>
        <w:rPr>
          <w:rFonts w:ascii="Arial" w:cs="Arial" w:eastAsia="Arial" w:hAnsi="Arial"/>
          <w:sz w:val="22"/>
          <w:szCs w:val="22"/>
          <w:b w:val="1"/>
          <w:bCs w:val="1"/>
          <w:i w:val="1"/>
          <w:iCs w:val="1"/>
          <w:color w:val="383836"/>
        </w:rPr>
        <w:t xml:space="preserve">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08077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6">
                      <a:extLst>
                        <a:ext uri="{28A0092B-C50C-407E-A947-70E740481C1C}"/>
                      </a:extLst>
                    </a:blip>
                    <a:srcRect/>
                    <a:stretch>
                      <a:fillRect/>
                    </a:stretch>
                  </pic:blipFill>
                  <pic:spPr bwMode="auto">
                    <a:xfrm>
                      <a:off x="0" y="0"/>
                      <a:ext cx="1080770" cy="137160"/>
                    </a:xfrm>
                    <a:prstGeom prst="rect">
                      <a:avLst/>
                    </a:prstGeom>
                    <a:noFill/>
                  </pic:spPr>
                </pic:pic>
              </a:graphicData>
            </a:graphic>
          </wp:anchor>
        </w:drawing>
      </w:r>
    </w:p>
    <w:p>
      <w:pPr>
        <w:spacing w:after="0" w:line="345" w:lineRule="exact"/>
        <w:rPr>
          <w:sz w:val="20"/>
          <w:szCs w:val="20"/>
          <w:color w:val="auto"/>
        </w:rPr>
      </w:pPr>
    </w:p>
    <w:p>
      <w:pPr>
        <w:ind w:left="2600"/>
        <w:spacing w:after="0"/>
        <w:rPr>
          <w:sz w:val="20"/>
          <w:szCs w:val="20"/>
          <w:color w:val="auto"/>
        </w:rPr>
      </w:pPr>
      <w:r>
        <w:rPr>
          <w:rFonts w:ascii="Arial" w:cs="Arial" w:eastAsia="Arial" w:hAnsi="Arial"/>
          <w:sz w:val="22"/>
          <w:szCs w:val="22"/>
          <w:b w:val="1"/>
          <w:bCs w:val="1"/>
          <w:i w:val="1"/>
          <w:iCs w:val="1"/>
          <w:color w:val="383836"/>
        </w:rPr>
        <w:t>Coverage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20"/>
        <w:spacing w:after="0"/>
        <w:rPr>
          <w:sz w:val="20"/>
          <w:szCs w:val="20"/>
          <w:color w:val="auto"/>
        </w:rPr>
      </w:pPr>
      <w:r>
        <w:rPr>
          <w:rFonts w:ascii="Arial" w:cs="Arial" w:eastAsia="Arial" w:hAnsi="Arial"/>
          <w:sz w:val="17"/>
          <w:szCs w:val="17"/>
          <w:b w:val="1"/>
          <w:bCs w:val="1"/>
          <w:i w:val="1"/>
          <w:iCs w:val="1"/>
          <w:color w:val="383836"/>
        </w:rPr>
        <w:t>Chubb Group of Insurance Companies</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b w:val="1"/>
          <w:bCs w:val="1"/>
          <w:i w:val="1"/>
          <w:iCs w:val="1"/>
          <w:color w:val="383836"/>
        </w:rPr>
        <w:t xml:space="preserve">PO BOX </w:t>
      </w:r>
      <w:r>
        <w:rPr>
          <w:rFonts w:ascii="Arial" w:cs="Arial" w:eastAsia="Arial" w:hAnsi="Arial"/>
          <w:sz w:val="17"/>
          <w:szCs w:val="17"/>
          <w:b w:val="1"/>
          <w:bCs w:val="1"/>
          <w:i w:val="1"/>
          <w:iCs w:val="1"/>
          <w:color w:val="383836"/>
        </w:rPr>
        <w:t>1600,</w:t>
      </w:r>
    </w:p>
    <w:p>
      <w:pPr>
        <w:ind w:left="6420"/>
        <w:spacing w:after="0"/>
        <w:rPr>
          <w:sz w:val="20"/>
          <w:szCs w:val="20"/>
          <w:color w:val="auto"/>
        </w:rPr>
      </w:pPr>
      <w:r>
        <w:rPr>
          <w:rFonts w:ascii="Arial" w:cs="Arial" w:eastAsia="Arial" w:hAnsi="Arial"/>
          <w:sz w:val="17"/>
          <w:szCs w:val="17"/>
          <w:b w:val="1"/>
          <w:bCs w:val="1"/>
          <w:i w:val="1"/>
          <w:iCs w:val="1"/>
          <w:color w:val="383836"/>
        </w:rPr>
        <w:t>Whitehouse Station, NJ 08889-1600</w:t>
      </w:r>
    </w:p>
    <w:p>
      <w:pPr>
        <w:sectPr>
          <w:pgSz w:w="11900" w:h="16838" w:orient="portrait"/>
          <w:cols w:equalWidth="0" w:num="1">
            <w:col w:w="10680"/>
          </w:cols>
          <w:pgMar w:left="240" w:top="634" w:right="97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383836"/>
        </w:rPr>
        <w:t xml:space="preserve">Name </w:t>
      </w:r>
      <w:r>
        <w:rPr>
          <w:rFonts w:ascii="Arial" w:cs="Arial" w:eastAsia="Arial" w:hAnsi="Arial"/>
          <w:sz w:val="17"/>
          <w:szCs w:val="17"/>
          <w:i w:val="1"/>
          <w:iCs w:val="1"/>
          <w:color w:val="4B4B49"/>
        </w:rPr>
        <w:t>and address of Insured</w:t>
      </w:r>
    </w:p>
    <w:p>
      <w:pPr>
        <w:spacing w:after="0" w:line="336" w:lineRule="exact"/>
        <w:rPr>
          <w:sz w:val="20"/>
          <w:szCs w:val="20"/>
          <w:color w:val="auto"/>
        </w:rPr>
      </w:pPr>
    </w:p>
    <w:p>
      <w:pPr>
        <w:ind w:left="660"/>
        <w:spacing w:after="0"/>
        <w:rPr>
          <w:sz w:val="20"/>
          <w:szCs w:val="20"/>
          <w:color w:val="auto"/>
        </w:rPr>
      </w:pPr>
      <w:r>
        <w:rPr>
          <w:rFonts w:ascii="Arial" w:cs="Arial" w:eastAsia="Arial" w:hAnsi="Arial"/>
          <w:sz w:val="17"/>
          <w:szCs w:val="17"/>
          <w:color w:val="383836"/>
        </w:rPr>
        <w:t xml:space="preserve">BOOZ ALLEN </w:t>
      </w:r>
      <w:r>
        <w:rPr>
          <w:rFonts w:ascii="Arial" w:cs="Arial" w:eastAsia="Arial" w:hAnsi="Arial"/>
          <w:sz w:val="17"/>
          <w:szCs w:val="17"/>
          <w:color w:val="4B4B49"/>
        </w:rPr>
        <w:t>HAMILTON</w:t>
      </w:r>
      <w:r>
        <w:rPr>
          <w:rFonts w:ascii="Arial" w:cs="Arial" w:eastAsia="Arial" w:hAnsi="Arial"/>
          <w:sz w:val="17"/>
          <w:szCs w:val="17"/>
          <w:color w:val="383836"/>
        </w:rPr>
        <w:t xml:space="preserve"> INC</w:t>
      </w:r>
    </w:p>
    <w:p>
      <w:pPr>
        <w:spacing w:after="0" w:line="304" w:lineRule="exact"/>
        <w:rPr>
          <w:sz w:val="20"/>
          <w:szCs w:val="20"/>
          <w:color w:val="auto"/>
        </w:rPr>
      </w:pPr>
    </w:p>
    <w:p>
      <w:pPr>
        <w:ind w:left="660"/>
        <w:spacing w:after="0"/>
        <w:rPr>
          <w:sz w:val="20"/>
          <w:szCs w:val="20"/>
          <w:color w:val="auto"/>
        </w:rPr>
      </w:pPr>
      <w:r>
        <w:rPr>
          <w:rFonts w:ascii="Arial" w:cs="Arial" w:eastAsia="Arial" w:hAnsi="Arial"/>
          <w:sz w:val="17"/>
          <w:szCs w:val="17"/>
          <w:color w:val="383836"/>
        </w:rPr>
        <w:t xml:space="preserve">Group Personal Excess </w:t>
      </w:r>
      <w:r>
        <w:rPr>
          <w:rFonts w:ascii="Arial" w:cs="Arial" w:eastAsia="Arial" w:hAnsi="Arial"/>
          <w:sz w:val="17"/>
          <w:szCs w:val="17"/>
          <w:color w:val="4B4B49"/>
        </w:rPr>
        <w:t>Program</w:t>
      </w:r>
    </w:p>
    <w:p>
      <w:pPr>
        <w:spacing w:after="0" w:line="102" w:lineRule="exact"/>
        <w:rPr>
          <w:sz w:val="20"/>
          <w:szCs w:val="20"/>
          <w:color w:val="auto"/>
        </w:rPr>
      </w:pPr>
    </w:p>
    <w:p>
      <w:pPr>
        <w:ind w:left="660" w:right="1580"/>
        <w:spacing w:after="0" w:line="243" w:lineRule="auto"/>
        <w:rPr>
          <w:sz w:val="20"/>
          <w:szCs w:val="20"/>
          <w:color w:val="auto"/>
        </w:rPr>
      </w:pPr>
      <w:r>
        <w:rPr>
          <w:rFonts w:ascii="Arial" w:cs="Arial" w:eastAsia="Arial" w:hAnsi="Arial"/>
          <w:sz w:val="17"/>
          <w:szCs w:val="17"/>
          <w:color w:val="383836"/>
        </w:rPr>
        <w:t xml:space="preserve">GREENSBORO DRIVE </w:t>
      </w:r>
      <w:r>
        <w:rPr>
          <w:rFonts w:ascii="Arial" w:cs="Arial" w:eastAsia="Arial" w:hAnsi="Arial"/>
          <w:sz w:val="17"/>
          <w:szCs w:val="17"/>
          <w:color w:val="4B4B49"/>
        </w:rPr>
        <w:t>MC</w:t>
      </w:r>
      <w:r>
        <w:rPr>
          <w:rFonts w:ascii="Arial" w:cs="Arial" w:eastAsia="Arial" w:hAnsi="Arial"/>
          <w:sz w:val="17"/>
          <w:szCs w:val="17"/>
          <w:color w:val="383836"/>
        </w:rPr>
        <w:t>LEAN</w:t>
      </w:r>
      <w:r>
        <w:rPr>
          <w:rFonts w:ascii="Arial" w:cs="Arial" w:eastAsia="Arial" w:hAnsi="Arial"/>
          <w:sz w:val="17"/>
          <w:szCs w:val="17"/>
          <w:color w:val="626260"/>
        </w:rPr>
        <w:t>,</w:t>
      </w:r>
      <w:r>
        <w:rPr>
          <w:rFonts w:ascii="Arial" w:cs="Arial" w:eastAsia="Arial" w:hAnsi="Arial"/>
          <w:sz w:val="17"/>
          <w:szCs w:val="17"/>
          <w:color w:val="383836"/>
        </w:rPr>
        <w:t xml:space="preserve"> VIRGINIA </w:t>
      </w:r>
      <w:r>
        <w:rPr>
          <w:rFonts w:ascii="Arial" w:cs="Arial" w:eastAsia="Arial" w:hAnsi="Arial"/>
          <w:sz w:val="17"/>
          <w:szCs w:val="17"/>
          <w:color w:val="4B4B49"/>
        </w:rPr>
        <w:t>22102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383836"/>
        </w:rPr>
        <w:t xml:space="preserve">Producer No.: </w:t>
      </w:r>
      <w:r>
        <w:rPr>
          <w:rFonts w:ascii="Arial" w:cs="Arial" w:eastAsia="Arial" w:hAnsi="Arial"/>
          <w:sz w:val="17"/>
          <w:szCs w:val="17"/>
          <w:color w:val="4B4B49"/>
        </w:rPr>
        <w:t>0017811</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4B4B49"/>
        </w:rPr>
        <w:t xml:space="preserve">Sponsoring Organization </w:t>
      </w:r>
      <w:r>
        <w:rPr>
          <w:rFonts w:ascii="Arial" w:cs="Arial" w:eastAsia="Arial" w:hAnsi="Arial"/>
          <w:sz w:val="17"/>
          <w:szCs w:val="17"/>
          <w:i w:val="1"/>
          <w:iCs w:val="1"/>
          <w:color w:val="383836"/>
        </w:rPr>
        <w:t>and</w:t>
      </w:r>
      <w:r>
        <w:rPr>
          <w:rFonts w:ascii="Arial" w:cs="Arial" w:eastAsia="Arial" w:hAnsi="Arial"/>
          <w:sz w:val="17"/>
          <w:szCs w:val="17"/>
          <w:i w:val="1"/>
          <w:iCs w:val="1"/>
          <w:color w:val="4B4B49"/>
        </w:rPr>
        <w:t xml:space="preserve"> Address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7"/>
          <w:szCs w:val="17"/>
          <w:color w:val="383836"/>
        </w:rPr>
        <w:t>Booz Allen Hamilton Inc.</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7"/>
          <w:szCs w:val="17"/>
          <w:color w:val="383836"/>
        </w:rPr>
        <w:t>8283 Greensboro Dr.</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7"/>
          <w:szCs w:val="17"/>
          <w:color w:val="4B4B49"/>
        </w:rPr>
        <w:t xml:space="preserve">McLean, </w:t>
      </w:r>
      <w:r>
        <w:rPr>
          <w:rFonts w:ascii="Arial" w:cs="Arial" w:eastAsia="Arial" w:hAnsi="Arial"/>
          <w:sz w:val="17"/>
          <w:szCs w:val="17"/>
          <w:color w:val="383836"/>
        </w:rPr>
        <w:t>VA</w:t>
      </w:r>
      <w:r>
        <w:rPr>
          <w:rFonts w:ascii="Arial" w:cs="Arial" w:eastAsia="Arial" w:hAnsi="Arial"/>
          <w:sz w:val="17"/>
          <w:szCs w:val="17"/>
          <w:color w:val="4B4B49"/>
        </w:rPr>
        <w:t xml:space="preserve"> 22102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383836"/>
        </w:rPr>
        <w:t>Policy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65" w:lineRule="auto"/>
        <w:rPr>
          <w:sz w:val="20"/>
          <w:szCs w:val="20"/>
          <w:color w:val="auto"/>
        </w:rPr>
      </w:pPr>
      <w:r>
        <w:rPr>
          <w:rFonts w:ascii="Arial" w:cs="Arial" w:eastAsia="Arial" w:hAnsi="Arial"/>
          <w:sz w:val="17"/>
          <w:szCs w:val="17"/>
          <w:i w:val="1"/>
          <w:iCs w:val="1"/>
          <w:color w:val="4B4B49"/>
        </w:rPr>
        <w:t xml:space="preserve">Issued by </w:t>
      </w:r>
      <w:r>
        <w:rPr>
          <w:rFonts w:ascii="Arial" w:cs="Arial" w:eastAsia="Arial" w:hAnsi="Arial"/>
          <w:sz w:val="17"/>
          <w:szCs w:val="17"/>
          <w:i w:val="1"/>
          <w:iCs w:val="1"/>
          <w:color w:val="383836"/>
        </w:rPr>
        <w:t>the</w:t>
      </w:r>
      <w:r>
        <w:rPr>
          <w:rFonts w:ascii="Arial" w:cs="Arial" w:eastAsia="Arial" w:hAnsi="Arial"/>
          <w:sz w:val="17"/>
          <w:szCs w:val="17"/>
          <w:i w:val="1"/>
          <w:iCs w:val="1"/>
          <w:color w:val="4B4B49"/>
        </w:rPr>
        <w:t xml:space="preserve"> stock </w:t>
      </w:r>
      <w:r>
        <w:rPr>
          <w:rFonts w:ascii="Arial" w:cs="Arial" w:eastAsia="Arial" w:hAnsi="Arial"/>
          <w:sz w:val="17"/>
          <w:szCs w:val="17"/>
          <w:i w:val="1"/>
          <w:iCs w:val="1"/>
          <w:color w:val="626260"/>
        </w:rPr>
        <w:t>insurance</w:t>
      </w:r>
      <w:r>
        <w:rPr>
          <w:rFonts w:ascii="Arial" w:cs="Arial" w:eastAsia="Arial" w:hAnsi="Arial"/>
          <w:sz w:val="17"/>
          <w:szCs w:val="17"/>
          <w:i w:val="1"/>
          <w:iCs w:val="1"/>
          <w:color w:val="4B4B49"/>
        </w:rPr>
        <w:t xml:space="preserve"> company </w:t>
      </w:r>
      <w:r>
        <w:rPr>
          <w:rFonts w:ascii="Arial" w:cs="Arial" w:eastAsia="Arial" w:hAnsi="Arial"/>
          <w:sz w:val="17"/>
          <w:szCs w:val="17"/>
          <w:i w:val="1"/>
          <w:iCs w:val="1"/>
          <w:color w:val="626260"/>
        </w:rPr>
        <w:t>indicated</w:t>
      </w:r>
      <w:r>
        <w:rPr>
          <w:rFonts w:ascii="Arial" w:cs="Arial" w:eastAsia="Arial" w:hAnsi="Arial"/>
          <w:sz w:val="17"/>
          <w:szCs w:val="17"/>
          <w:i w:val="1"/>
          <w:iCs w:val="1"/>
          <w:color w:val="4B4B49"/>
        </w:rPr>
        <w:t xml:space="preserve"> below</w:t>
      </w:r>
      <w:r>
        <w:rPr>
          <w:rFonts w:ascii="Arial" w:cs="Arial" w:eastAsia="Arial" w:hAnsi="Arial"/>
          <w:sz w:val="17"/>
          <w:szCs w:val="17"/>
          <w:i w:val="1"/>
          <w:iCs w:val="1"/>
          <w:color w:val="777575"/>
        </w:rPr>
        <w:t>,</w:t>
      </w:r>
      <w:r>
        <w:rPr>
          <w:rFonts w:ascii="Arial" w:cs="Arial" w:eastAsia="Arial" w:hAnsi="Arial"/>
          <w:sz w:val="17"/>
          <w:szCs w:val="17"/>
          <w:i w:val="1"/>
          <w:iCs w:val="1"/>
          <w:color w:val="4B4B49"/>
        </w:rPr>
        <w:t xml:space="preserve"> herein called the company.</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383836"/>
        </w:rPr>
        <w:t>FEDERAL INSURANCE COMPANY</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i w:val="1"/>
          <w:iCs w:val="1"/>
          <w:color w:val="4B4B49"/>
        </w:rPr>
        <w:t>Incorporated under the laws of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1529080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1" w:lineRule="exact"/>
        <w:rPr>
          <w:sz w:val="20"/>
          <w:szCs w:val="20"/>
          <w:color w:val="auto"/>
        </w:rPr>
      </w:pPr>
    </w:p>
    <w:p>
      <w:pPr>
        <w:sectPr>
          <w:pgSz w:w="11900" w:h="16838" w:orient="portrait"/>
          <w:cols w:equalWidth="0" w:num="2">
            <w:col w:w="5700" w:space="720"/>
            <w:col w:w="4260"/>
          </w:cols>
          <w:pgMar w:left="240" w:top="634"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383836"/>
        </w:rPr>
        <w:t>Policy Period</w:t>
      </w:r>
    </w:p>
    <w:p>
      <w:pPr>
        <w:spacing w:after="0" w:line="278" w:lineRule="exact"/>
        <w:rPr>
          <w:sz w:val="20"/>
          <w:szCs w:val="20"/>
          <w:color w:val="auto"/>
        </w:rPr>
      </w:pPr>
    </w:p>
    <w:p>
      <w:pPr>
        <w:ind w:left="1000"/>
        <w:spacing w:after="0"/>
        <w:rPr>
          <w:sz w:val="20"/>
          <w:szCs w:val="20"/>
          <w:color w:val="auto"/>
        </w:rPr>
      </w:pPr>
      <w:r>
        <w:rPr>
          <w:rFonts w:ascii="Arial" w:cs="Arial" w:eastAsia="Arial" w:hAnsi="Arial"/>
          <w:sz w:val="17"/>
          <w:szCs w:val="17"/>
          <w:color w:val="383836"/>
        </w:rPr>
        <w:t xml:space="preserve">From: JANUARY </w:t>
      </w:r>
      <w:r>
        <w:rPr>
          <w:rFonts w:ascii="Arial" w:cs="Arial" w:eastAsia="Arial" w:hAnsi="Arial"/>
          <w:sz w:val="17"/>
          <w:szCs w:val="17"/>
          <w:color w:val="4B4B49"/>
        </w:rPr>
        <w:t>01, 2019</w:t>
      </w:r>
      <w:r>
        <w:rPr>
          <w:rFonts w:ascii="Arial" w:cs="Arial" w:eastAsia="Arial" w:hAnsi="Arial"/>
          <w:sz w:val="17"/>
          <w:szCs w:val="17"/>
          <w:color w:val="383836"/>
        </w:rPr>
        <w:t xml:space="preserve"> To: JANUARY </w:t>
      </w:r>
      <w:r>
        <w:rPr>
          <w:rFonts w:ascii="Arial" w:cs="Arial" w:eastAsia="Arial" w:hAnsi="Arial"/>
          <w:sz w:val="17"/>
          <w:szCs w:val="17"/>
          <w:color w:val="4B4B49"/>
        </w:rPr>
        <w:t>01, 2020</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7"/>
          <w:szCs w:val="17"/>
          <w:color w:val="383836"/>
        </w:rPr>
        <w:t>12:01 A.M</w:t>
      </w:r>
      <w:r>
        <w:rPr>
          <w:rFonts w:ascii="Arial" w:cs="Arial" w:eastAsia="Arial" w:hAnsi="Arial"/>
          <w:sz w:val="17"/>
          <w:szCs w:val="17"/>
          <w:color w:val="1F1F1F"/>
        </w:rPr>
        <w:t>.</w:t>
      </w:r>
      <w:r>
        <w:rPr>
          <w:rFonts w:ascii="Arial" w:cs="Arial" w:eastAsia="Arial" w:hAnsi="Arial"/>
          <w:sz w:val="17"/>
          <w:szCs w:val="17"/>
          <w:color w:val="383836"/>
        </w:rPr>
        <w:t xml:space="preserve"> Standard Time at the Named </w:t>
      </w:r>
      <w:r>
        <w:rPr>
          <w:rFonts w:ascii="Arial" w:cs="Arial" w:eastAsia="Arial" w:hAnsi="Arial"/>
          <w:sz w:val="17"/>
          <w:szCs w:val="17"/>
          <w:color w:val="1F1F1F"/>
        </w:rPr>
        <w:t>l</w:t>
      </w:r>
      <w:r>
        <w:rPr>
          <w:rFonts w:ascii="Arial" w:cs="Arial" w:eastAsia="Arial" w:hAnsi="Arial"/>
          <w:sz w:val="17"/>
          <w:szCs w:val="17"/>
          <w:color w:val="383836"/>
        </w:rPr>
        <w:t>nsured' s 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383836"/>
        </w:rPr>
        <w:t>Premium</w:t>
      </w:r>
    </w:p>
    <w:p>
      <w:pPr>
        <w:spacing w:after="0" w:line="224" w:lineRule="exact"/>
        <w:rPr>
          <w:sz w:val="20"/>
          <w:szCs w:val="20"/>
          <w:color w:val="auto"/>
        </w:rPr>
      </w:pPr>
    </w:p>
    <w:p>
      <w:pPr>
        <w:ind w:left="1000"/>
        <w:spacing w:after="0"/>
        <w:rPr>
          <w:sz w:val="20"/>
          <w:szCs w:val="20"/>
          <w:color w:val="auto"/>
        </w:rPr>
      </w:pPr>
      <w:r>
        <w:rPr>
          <w:rFonts w:ascii="Arial" w:cs="Arial" w:eastAsia="Arial" w:hAnsi="Arial"/>
          <w:sz w:val="17"/>
          <w:szCs w:val="17"/>
          <w:color w:val="383836"/>
        </w:rPr>
        <w:t>Amount</w:t>
      </w:r>
    </w:p>
    <w:p>
      <w:pPr>
        <w:spacing w:after="0" w:line="7" w:lineRule="exact"/>
        <w:rPr>
          <w:sz w:val="20"/>
          <w:szCs w:val="20"/>
          <w:color w:val="auto"/>
        </w:rPr>
      </w:pPr>
    </w:p>
    <w:p>
      <w:pPr>
        <w:ind w:left="1000"/>
        <w:spacing w:after="0"/>
        <w:rPr>
          <w:sz w:val="20"/>
          <w:szCs w:val="20"/>
          <w:color w:val="auto"/>
        </w:rPr>
      </w:pPr>
      <w:r>
        <w:rPr>
          <w:rFonts w:ascii="Arial" w:cs="Arial" w:eastAsia="Arial" w:hAnsi="Arial"/>
          <w:sz w:val="17"/>
          <w:szCs w:val="17"/>
          <w:color w:val="4B4B49"/>
        </w:rPr>
        <w:t>$178,307.00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383836"/>
        </w:rPr>
        <w:t>Limit Of Liability</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00" w:type="dxa"/>
            <w:vAlign w:val="bottom"/>
            <w:gridSpan w:val="5"/>
          </w:tcPr>
          <w:p>
            <w:pPr>
              <w:ind w:left="300"/>
              <w:spacing w:after="0"/>
              <w:rPr>
                <w:sz w:val="20"/>
                <w:szCs w:val="20"/>
                <w:color w:val="auto"/>
              </w:rPr>
            </w:pPr>
            <w:r>
              <w:rPr>
                <w:rFonts w:ascii="Arial" w:cs="Arial" w:eastAsia="Arial" w:hAnsi="Arial"/>
                <w:sz w:val="17"/>
                <w:szCs w:val="17"/>
                <w:color w:val="4B4B49"/>
              </w:rPr>
              <w:t xml:space="preserve">SEE </w:t>
            </w:r>
            <w:r>
              <w:rPr>
                <w:rFonts w:ascii="Arial" w:cs="Arial" w:eastAsia="Arial" w:hAnsi="Arial"/>
                <w:sz w:val="17"/>
                <w:szCs w:val="17"/>
                <w:color w:val="383836"/>
              </w:rPr>
              <w:t>ENDT</w:t>
            </w:r>
          </w:p>
        </w:tc>
        <w:tc>
          <w:tcPr>
            <w:tcW w:w="2880" w:type="dxa"/>
            <w:vAlign w:val="bottom"/>
            <w:gridSpan w:val="2"/>
          </w:tcPr>
          <w:p>
            <w:pPr>
              <w:spacing w:after="0"/>
              <w:rPr>
                <w:sz w:val="20"/>
                <w:szCs w:val="20"/>
                <w:color w:val="auto"/>
              </w:rPr>
            </w:pPr>
            <w:r>
              <w:rPr>
                <w:rFonts w:ascii="Arial" w:cs="Arial" w:eastAsia="Arial" w:hAnsi="Arial"/>
                <w:sz w:val="17"/>
                <w:szCs w:val="17"/>
                <w:color w:val="383836"/>
              </w:rPr>
              <w:t xml:space="preserve">Each </w:t>
            </w:r>
            <w:r>
              <w:rPr>
                <w:rFonts w:ascii="Arial" w:cs="Arial" w:eastAsia="Arial" w:hAnsi="Arial"/>
                <w:sz w:val="17"/>
                <w:szCs w:val="17"/>
                <w:color w:val="4B4B49"/>
              </w:rPr>
              <w:t>Occurrence</w:t>
            </w:r>
          </w:p>
        </w:tc>
      </w:tr>
      <w:tr>
        <w:trPr>
          <w:trHeight w:val="297"/>
        </w:trPr>
        <w:tc>
          <w:tcPr>
            <w:tcW w:w="1600" w:type="dxa"/>
            <w:vAlign w:val="bottom"/>
            <w:gridSpan w:val="3"/>
          </w:tcPr>
          <w:p>
            <w:pPr>
              <w:ind w:left="300"/>
              <w:spacing w:after="0"/>
              <w:rPr>
                <w:sz w:val="20"/>
                <w:szCs w:val="20"/>
                <w:color w:val="auto"/>
              </w:rPr>
            </w:pPr>
            <w:r>
              <w:rPr>
                <w:rFonts w:ascii="Arial" w:cs="Arial" w:eastAsia="Arial" w:hAnsi="Arial"/>
                <w:sz w:val="18"/>
                <w:szCs w:val="18"/>
                <w:color w:val="auto"/>
              </w:rPr>
              <w:t>$2,000,000</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7"/>
                <w:szCs w:val="17"/>
                <w:color w:val="4B4B49"/>
              </w:rPr>
              <w:t xml:space="preserve">Excess </w:t>
            </w:r>
            <w:r>
              <w:rPr>
                <w:rFonts w:ascii="Arial" w:cs="Arial" w:eastAsia="Arial" w:hAnsi="Arial"/>
                <w:sz w:val="17"/>
                <w:szCs w:val="17"/>
                <w:color w:val="383836"/>
              </w:rPr>
              <w:t>Uninsured</w:t>
            </w:r>
            <w:r>
              <w:rPr>
                <w:rFonts w:ascii="Arial" w:cs="Arial" w:eastAsia="Arial" w:hAnsi="Arial"/>
                <w:sz w:val="17"/>
                <w:szCs w:val="17"/>
                <w:color w:val="4B4B49"/>
              </w:rPr>
              <w:t xml:space="preserve"> </w:t>
            </w:r>
            <w:r>
              <w:rPr>
                <w:rFonts w:ascii="Arial" w:cs="Arial" w:eastAsia="Arial" w:hAnsi="Arial"/>
                <w:sz w:val="17"/>
                <w:szCs w:val="17"/>
                <w:color w:val="898787"/>
              </w:rPr>
              <w:t>/</w:t>
            </w:r>
            <w:r>
              <w:rPr>
                <w:rFonts w:ascii="Arial" w:cs="Arial" w:eastAsia="Arial" w:hAnsi="Arial"/>
                <w:sz w:val="17"/>
                <w:szCs w:val="17"/>
                <w:color w:val="4B4B49"/>
              </w:rPr>
              <w:t xml:space="preserve"> </w:t>
            </w:r>
            <w:r>
              <w:rPr>
                <w:rFonts w:ascii="Arial" w:cs="Arial" w:eastAsia="Arial" w:hAnsi="Arial"/>
                <w:sz w:val="17"/>
                <w:szCs w:val="17"/>
                <w:color w:val="383836"/>
              </w:rPr>
              <w:t>Underin</w:t>
            </w:r>
            <w:r>
              <w:rPr>
                <w:rFonts w:ascii="Arial" w:cs="Arial" w:eastAsia="Arial" w:hAnsi="Arial"/>
                <w:sz w:val="17"/>
                <w:szCs w:val="17"/>
                <w:color w:val="626260"/>
              </w:rPr>
              <w:t>su</w:t>
            </w:r>
            <w:r>
              <w:rPr>
                <w:rFonts w:ascii="Arial" w:cs="Arial" w:eastAsia="Arial" w:hAnsi="Arial"/>
                <w:sz w:val="17"/>
                <w:szCs w:val="17"/>
                <w:color w:val="383836"/>
              </w:rPr>
              <w:t>red</w:t>
            </w:r>
          </w:p>
        </w:tc>
      </w:tr>
      <w:tr>
        <w:trPr>
          <w:trHeight w:val="297"/>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7"/>
                <w:szCs w:val="17"/>
                <w:color w:val="4B4B49"/>
                <w:w w:val="99"/>
              </w:rPr>
              <w:t xml:space="preserve">Motorists </w:t>
            </w:r>
            <w:r>
              <w:rPr>
                <w:rFonts w:ascii="Arial" w:cs="Arial" w:eastAsia="Arial" w:hAnsi="Arial"/>
                <w:sz w:val="17"/>
                <w:szCs w:val="17"/>
                <w:color w:val="383836"/>
                <w:w w:val="99"/>
              </w:rPr>
              <w:t>Protection</w:t>
            </w:r>
            <w:r>
              <w:rPr>
                <w:rFonts w:ascii="Arial" w:cs="Arial" w:eastAsia="Arial" w:hAnsi="Arial"/>
                <w:sz w:val="17"/>
                <w:szCs w:val="17"/>
                <w:color w:val="4B4B49"/>
                <w:w w:val="99"/>
              </w:rPr>
              <w:t xml:space="preserve"> Each Occurrence</w:t>
            </w:r>
          </w:p>
        </w:tc>
      </w:tr>
      <w:tr>
        <w:trPr>
          <w:trHeight w:val="747"/>
        </w:trPr>
        <w:tc>
          <w:tcPr>
            <w:tcW w:w="2500" w:type="dxa"/>
            <w:vAlign w:val="bottom"/>
            <w:gridSpan w:val="5"/>
          </w:tcPr>
          <w:p>
            <w:pPr>
              <w:spacing w:after="0"/>
              <w:rPr>
                <w:sz w:val="20"/>
                <w:szCs w:val="20"/>
                <w:color w:val="auto"/>
              </w:rPr>
            </w:pPr>
            <w:r>
              <w:rPr>
                <w:rFonts w:ascii="Arial" w:cs="Arial" w:eastAsia="Arial" w:hAnsi="Arial"/>
                <w:sz w:val="14"/>
                <w:szCs w:val="14"/>
                <w:i w:val="1"/>
                <w:iCs w:val="1"/>
                <w:color w:val="464644"/>
              </w:rPr>
              <w:t xml:space="preserve">Group </w:t>
            </w:r>
            <w:r>
              <w:rPr>
                <w:rFonts w:ascii="Arial" w:cs="Arial" w:eastAsia="Arial" w:hAnsi="Arial"/>
                <w:sz w:val="14"/>
                <w:szCs w:val="14"/>
                <w:i w:val="1"/>
                <w:iCs w:val="1"/>
                <w:color w:val="363636"/>
              </w:rPr>
              <w:t>Personal</w:t>
            </w:r>
            <w:r>
              <w:rPr>
                <w:rFonts w:ascii="Arial" w:cs="Arial" w:eastAsia="Arial" w:hAnsi="Arial"/>
                <w:sz w:val="14"/>
                <w:szCs w:val="14"/>
                <w:i w:val="1"/>
                <w:iCs w:val="1"/>
                <w:color w:val="464644"/>
              </w:rPr>
              <w:t xml:space="preserve"> </w:t>
            </w:r>
            <w:r>
              <w:rPr>
                <w:rFonts w:ascii="Arial" w:cs="Arial" w:eastAsia="Arial" w:hAnsi="Arial"/>
                <w:sz w:val="15"/>
                <w:szCs w:val="15"/>
                <w:color w:val="464644"/>
              </w:rPr>
              <w:t>Excess</w:t>
            </w:r>
            <w:r>
              <w:rPr>
                <w:rFonts w:ascii="Arial" w:cs="Arial" w:eastAsia="Arial" w:hAnsi="Arial"/>
                <w:sz w:val="14"/>
                <w:szCs w:val="14"/>
                <w:i w:val="1"/>
                <w:iCs w:val="1"/>
                <w:color w:val="464644"/>
              </w:rPr>
              <w:t xml:space="preserve"> </w:t>
            </w:r>
            <w:r>
              <w:rPr>
                <w:rFonts w:ascii="Arial" w:cs="Arial" w:eastAsia="Arial" w:hAnsi="Arial"/>
                <w:sz w:val="14"/>
                <w:szCs w:val="14"/>
                <w:i w:val="1"/>
                <w:iCs w:val="1"/>
                <w:color w:val="363636"/>
              </w:rPr>
              <w:t>Liability</w:t>
            </w:r>
            <w:r>
              <w:rPr>
                <w:rFonts w:ascii="Arial" w:cs="Arial" w:eastAsia="Arial" w:hAnsi="Arial"/>
                <w:sz w:val="14"/>
                <w:szCs w:val="14"/>
                <w:i w:val="1"/>
                <w:iCs w:val="1"/>
                <w:color w:val="464644"/>
              </w:rPr>
              <w:t xml:space="preserve"> Policy</w:t>
            </w:r>
          </w:p>
        </w:tc>
        <w:tc>
          <w:tcPr>
            <w:tcW w:w="2880" w:type="dxa"/>
            <w:vAlign w:val="bottom"/>
            <w:gridSpan w:val="2"/>
          </w:tcPr>
          <w:p>
            <w:pPr>
              <w:ind w:left="1440"/>
              <w:spacing w:after="0"/>
              <w:rPr>
                <w:sz w:val="20"/>
                <w:szCs w:val="20"/>
                <w:color w:val="auto"/>
              </w:rPr>
            </w:pPr>
            <w:r>
              <w:rPr>
                <w:rFonts w:ascii="Arial" w:cs="Arial" w:eastAsia="Arial" w:hAnsi="Arial"/>
                <w:sz w:val="14"/>
                <w:szCs w:val="14"/>
                <w:i w:val="1"/>
                <w:iCs w:val="1"/>
                <w:color w:val="464644"/>
              </w:rPr>
              <w:t>continued</w:t>
            </w:r>
          </w:p>
        </w:tc>
      </w:tr>
      <w:tr>
        <w:trPr>
          <w:trHeight w:val="20"/>
        </w:trPr>
        <w:tc>
          <w:tcPr>
            <w:tcW w:w="440" w:type="dxa"/>
            <w:vAlign w:val="bottom"/>
            <w:shd w:val="clear" w:color="auto" w:fill="464644"/>
          </w:tcPr>
          <w:p>
            <w:pPr>
              <w:spacing w:after="0" w:line="20" w:lineRule="exact"/>
              <w:rPr>
                <w:sz w:val="1"/>
                <w:szCs w:val="1"/>
                <w:color w:val="auto"/>
              </w:rPr>
            </w:pPr>
          </w:p>
        </w:tc>
        <w:tc>
          <w:tcPr>
            <w:tcW w:w="620" w:type="dxa"/>
            <w:vAlign w:val="bottom"/>
            <w:shd w:val="clear" w:color="auto" w:fill="363636"/>
          </w:tcPr>
          <w:p>
            <w:pPr>
              <w:spacing w:after="0" w:line="20" w:lineRule="exact"/>
              <w:rPr>
                <w:sz w:val="1"/>
                <w:szCs w:val="1"/>
                <w:color w:val="auto"/>
              </w:rPr>
            </w:pPr>
          </w:p>
        </w:tc>
        <w:tc>
          <w:tcPr>
            <w:tcW w:w="540" w:type="dxa"/>
            <w:vAlign w:val="bottom"/>
            <w:shd w:val="clear" w:color="auto" w:fill="464644"/>
          </w:tcPr>
          <w:p>
            <w:pPr>
              <w:spacing w:after="0" w:line="20" w:lineRule="exact"/>
              <w:rPr>
                <w:sz w:val="1"/>
                <w:szCs w:val="1"/>
                <w:color w:val="auto"/>
              </w:rPr>
            </w:pPr>
          </w:p>
        </w:tc>
        <w:tc>
          <w:tcPr>
            <w:tcW w:w="520" w:type="dxa"/>
            <w:vAlign w:val="bottom"/>
            <w:shd w:val="clear" w:color="auto" w:fill="363636"/>
          </w:tcPr>
          <w:p>
            <w:pPr>
              <w:spacing w:after="0" w:line="20" w:lineRule="exact"/>
              <w:rPr>
                <w:sz w:val="1"/>
                <w:szCs w:val="1"/>
                <w:color w:val="auto"/>
              </w:rPr>
            </w:pPr>
          </w:p>
        </w:tc>
        <w:tc>
          <w:tcPr>
            <w:tcW w:w="380" w:type="dxa"/>
            <w:vAlign w:val="bottom"/>
            <w:shd w:val="clear" w:color="auto" w:fill="464644"/>
          </w:tcPr>
          <w:p>
            <w:pPr>
              <w:spacing w:after="0" w:line="20" w:lineRule="exact"/>
              <w:rPr>
                <w:sz w:val="1"/>
                <w:szCs w:val="1"/>
                <w:color w:val="auto"/>
              </w:rPr>
            </w:pPr>
          </w:p>
        </w:tc>
        <w:tc>
          <w:tcPr>
            <w:tcW w:w="2060" w:type="dxa"/>
            <w:vAlign w:val="bottom"/>
            <w:shd w:val="clear" w:color="auto" w:fill="46464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45" w:lineRule="exact"/>
        <w:rPr>
          <w:sz w:val="20"/>
          <w:szCs w:val="20"/>
          <w:color w:val="auto"/>
        </w:rPr>
      </w:pPr>
    </w:p>
    <w:p>
      <w:pPr>
        <w:sectPr>
          <w:pgSz w:w="11900" w:h="16838" w:orient="portrait"/>
          <w:cols w:equalWidth="0" w:num="1">
            <w:col w:w="10680"/>
          </w:cols>
          <w:pgMar w:left="240" w:top="634" w:right="979" w:bottom="1440" w:gutter="0" w:footer="0" w:header="0"/>
          <w:type w:val="continuous"/>
        </w:sectPr>
      </w:pPr>
    </w:p>
    <w:p>
      <w:pPr>
        <w:spacing w:after="0"/>
        <w:tabs>
          <w:tab w:leader="none" w:pos="2000" w:val="left"/>
          <w:tab w:leader="none" w:pos="3840" w:val="left"/>
        </w:tabs>
        <w:rPr>
          <w:sz w:val="20"/>
          <w:szCs w:val="20"/>
          <w:color w:val="auto"/>
        </w:rPr>
      </w:pPr>
      <w:r>
        <w:rPr>
          <w:rFonts w:ascii="Arial" w:cs="Arial" w:eastAsia="Arial" w:hAnsi="Arial"/>
          <w:sz w:val="14"/>
          <w:szCs w:val="14"/>
          <w:i w:val="1"/>
          <w:iCs w:val="1"/>
          <w:color w:val="464644"/>
        </w:rPr>
        <w:t xml:space="preserve">Form </w:t>
      </w:r>
      <w:r>
        <w:rPr>
          <w:rFonts w:ascii="Arial" w:cs="Arial" w:eastAsia="Arial" w:hAnsi="Arial"/>
          <w:sz w:val="14"/>
          <w:szCs w:val="14"/>
          <w:i w:val="1"/>
          <w:iCs w:val="1"/>
          <w:color w:val="363636"/>
        </w:rPr>
        <w:t>10-02-0690</w:t>
      </w:r>
      <w:r>
        <w:rPr>
          <w:rFonts w:ascii="Arial" w:cs="Arial" w:eastAsia="Arial" w:hAnsi="Arial"/>
          <w:sz w:val="14"/>
          <w:szCs w:val="14"/>
          <w:i w:val="1"/>
          <w:iCs w:val="1"/>
          <w:color w:val="464644"/>
        </w:rPr>
        <w:t xml:space="preserve"> (Rev. 8-07)</w:t>
      </w:r>
      <w:r>
        <w:rPr>
          <w:rFonts w:ascii="Arial" w:cs="Arial" w:eastAsia="Arial" w:hAnsi="Arial"/>
          <w:sz w:val="14"/>
          <w:szCs w:val="14"/>
          <w:i w:val="1"/>
          <w:iCs w:val="1"/>
          <w:color w:val="363636"/>
        </w:rPr>
        <w:tab/>
        <w:t>Declarations</w:t>
      </w:r>
      <w:r>
        <w:rPr>
          <w:sz w:val="20"/>
          <w:szCs w:val="20"/>
          <w:color w:val="auto"/>
        </w:rPr>
        <w:tab/>
      </w:r>
      <w:r>
        <w:rPr>
          <w:rFonts w:ascii="Arial" w:cs="Arial" w:eastAsia="Arial" w:hAnsi="Arial"/>
          <w:sz w:val="14"/>
          <w:szCs w:val="14"/>
          <w:i w:val="1"/>
          <w:iCs w:val="1"/>
          <w:color w:val="363636"/>
        </w:rPr>
        <w:t>Page 1</w:t>
      </w:r>
    </w:p>
    <w:p>
      <w:pPr>
        <w:sectPr>
          <w:pgSz w:w="11900" w:h="16838" w:orient="portrait"/>
          <w:cols w:equalWidth="0" w:num="1">
            <w:col w:w="10680"/>
          </w:cols>
          <w:pgMar w:left="240" w:top="634" w:right="97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b w:val="1"/>
          <w:bCs w:val="1"/>
          <w:i w:val="1"/>
          <w:iCs w:val="1"/>
          <w:color w:val="383836"/>
        </w:rPr>
        <w:drawing>
          <wp:anchor simplePos="0" relativeHeight="251657728" behindDoc="1" locked="0" layoutInCell="0" allowOverlap="1">
            <wp:simplePos x="0" y="0"/>
            <wp:positionH relativeFrom="page">
              <wp:posOffset>157480</wp:posOffset>
            </wp:positionH>
            <wp:positionV relativeFrom="page">
              <wp:posOffset>680720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Required Primary Underlying Insurance</w:t>
      </w:r>
    </w:p>
    <w:p>
      <w:pPr>
        <w:spacing w:after="0" w:line="332" w:lineRule="exact"/>
        <w:rPr>
          <w:sz w:val="20"/>
          <w:szCs w:val="20"/>
          <w:color w:val="auto"/>
        </w:rPr>
      </w:pPr>
    </w:p>
    <w:p>
      <w:pPr>
        <w:ind w:right="2460"/>
        <w:spacing w:after="0" w:line="315" w:lineRule="auto"/>
        <w:rPr>
          <w:sz w:val="20"/>
          <w:szCs w:val="20"/>
          <w:color w:val="auto"/>
        </w:rPr>
      </w:pPr>
      <w:r>
        <w:rPr>
          <w:rFonts w:ascii="Arial" w:cs="Arial" w:eastAsia="Arial" w:hAnsi="Arial"/>
          <w:sz w:val="17"/>
          <w:szCs w:val="17"/>
          <w:color w:val="383836"/>
        </w:rPr>
        <w:t>Personal Liabi</w:t>
      </w:r>
      <w:r>
        <w:rPr>
          <w:rFonts w:ascii="Arial" w:cs="Arial" w:eastAsia="Arial" w:hAnsi="Arial"/>
          <w:sz w:val="17"/>
          <w:szCs w:val="17"/>
          <w:color w:val="1F1F1F"/>
        </w:rPr>
        <w:t>l</w:t>
      </w:r>
      <w:r>
        <w:rPr>
          <w:rFonts w:ascii="Arial" w:cs="Arial" w:eastAsia="Arial" w:hAnsi="Arial"/>
          <w:sz w:val="17"/>
          <w:szCs w:val="17"/>
          <w:color w:val="383836"/>
        </w:rPr>
        <w:t xml:space="preserve">ity </w:t>
      </w:r>
      <w:r>
        <w:rPr>
          <w:rFonts w:ascii="Arial" w:cs="Arial" w:eastAsia="Arial" w:hAnsi="Arial"/>
          <w:sz w:val="17"/>
          <w:szCs w:val="17"/>
          <w:color w:val="4B4B49"/>
        </w:rPr>
        <w:t>(Homeowners) for</w:t>
      </w:r>
      <w:r>
        <w:rPr>
          <w:rFonts w:ascii="Arial" w:cs="Arial" w:eastAsia="Arial" w:hAnsi="Arial"/>
          <w:sz w:val="17"/>
          <w:szCs w:val="17"/>
          <w:color w:val="383836"/>
        </w:rPr>
        <w:t xml:space="preserve"> personal injury </w:t>
      </w:r>
      <w:r>
        <w:rPr>
          <w:rFonts w:ascii="Arial" w:cs="Arial" w:eastAsia="Arial" w:hAnsi="Arial"/>
          <w:sz w:val="17"/>
          <w:szCs w:val="17"/>
          <w:color w:val="4B4B49"/>
        </w:rPr>
        <w:t>and</w:t>
      </w:r>
      <w:r>
        <w:rPr>
          <w:rFonts w:ascii="Arial" w:cs="Arial" w:eastAsia="Arial" w:hAnsi="Arial"/>
          <w:sz w:val="17"/>
          <w:szCs w:val="17"/>
          <w:color w:val="383836"/>
        </w:rPr>
        <w:t xml:space="preserve"> property </w:t>
      </w:r>
      <w:r>
        <w:rPr>
          <w:rFonts w:ascii="Arial" w:cs="Arial" w:eastAsia="Arial" w:hAnsi="Arial"/>
          <w:sz w:val="17"/>
          <w:szCs w:val="17"/>
          <w:color w:val="4B4B49"/>
        </w:rPr>
        <w:t>damage</w:t>
      </w:r>
      <w:r>
        <w:rPr>
          <w:rFonts w:ascii="Arial" w:cs="Arial" w:eastAsia="Arial" w:hAnsi="Arial"/>
          <w:sz w:val="17"/>
          <w:szCs w:val="17"/>
          <w:color w:val="383836"/>
        </w:rPr>
        <w:t xml:space="preserve"> in the </w:t>
      </w:r>
      <w:r>
        <w:rPr>
          <w:rFonts w:ascii="Arial" w:cs="Arial" w:eastAsia="Arial" w:hAnsi="Arial"/>
          <w:sz w:val="17"/>
          <w:szCs w:val="17"/>
          <w:color w:val="4B4B49"/>
        </w:rPr>
        <w:t>minimum amount of $300,000</w:t>
      </w:r>
      <w:r>
        <w:rPr>
          <w:rFonts w:ascii="Arial" w:cs="Arial" w:eastAsia="Arial" w:hAnsi="Arial"/>
          <w:sz w:val="17"/>
          <w:szCs w:val="17"/>
          <w:color w:val="383836"/>
        </w:rPr>
        <w:t xml:space="preserve"> each </w:t>
      </w:r>
      <w:r>
        <w:rPr>
          <w:rFonts w:ascii="Arial" w:cs="Arial" w:eastAsia="Arial" w:hAnsi="Arial"/>
          <w:sz w:val="17"/>
          <w:szCs w:val="17"/>
          <w:color w:val="4B4B49"/>
        </w:rPr>
        <w:t>occurrence</w:t>
      </w:r>
      <w:r>
        <w:rPr>
          <w:rFonts w:ascii="Arial" w:cs="Arial" w:eastAsia="Arial" w:hAnsi="Arial"/>
          <w:sz w:val="19"/>
          <w:szCs w:val="19"/>
          <w:color w:val="1F1F1F"/>
        </w:rPr>
        <w:t>.</w:t>
      </w:r>
    </w:p>
    <w:p>
      <w:pPr>
        <w:spacing w:after="0" w:line="241" w:lineRule="exact"/>
        <w:rPr>
          <w:sz w:val="20"/>
          <w:szCs w:val="20"/>
          <w:color w:val="auto"/>
        </w:rPr>
      </w:pPr>
    </w:p>
    <w:p>
      <w:pPr>
        <w:spacing w:after="0" w:line="344" w:lineRule="auto"/>
        <w:rPr>
          <w:sz w:val="20"/>
          <w:szCs w:val="20"/>
          <w:color w:val="auto"/>
        </w:rPr>
      </w:pPr>
      <w:r>
        <w:rPr>
          <w:rFonts w:ascii="Arial" w:cs="Arial" w:eastAsia="Arial" w:hAnsi="Arial"/>
          <w:sz w:val="17"/>
          <w:szCs w:val="17"/>
          <w:color w:val="383836"/>
        </w:rPr>
        <w:t xml:space="preserve">Registered </w:t>
      </w:r>
      <w:r>
        <w:rPr>
          <w:rFonts w:ascii="Arial" w:cs="Arial" w:eastAsia="Arial" w:hAnsi="Arial"/>
          <w:sz w:val="17"/>
          <w:szCs w:val="17"/>
          <w:color w:val="4B4B49"/>
        </w:rPr>
        <w:t>vehic</w:t>
      </w:r>
      <w:r>
        <w:rPr>
          <w:rFonts w:ascii="Arial" w:cs="Arial" w:eastAsia="Arial" w:hAnsi="Arial"/>
          <w:sz w:val="17"/>
          <w:szCs w:val="17"/>
          <w:color w:val="1F1F1F"/>
        </w:rPr>
        <w:t>l</w:t>
      </w:r>
      <w:r>
        <w:rPr>
          <w:rFonts w:ascii="Arial" w:cs="Arial" w:eastAsia="Arial" w:hAnsi="Arial"/>
          <w:sz w:val="17"/>
          <w:szCs w:val="17"/>
          <w:color w:val="4B4B49"/>
        </w:rPr>
        <w:t>es</w:t>
      </w:r>
      <w:r>
        <w:rPr>
          <w:rFonts w:ascii="Arial" w:cs="Arial" w:eastAsia="Arial" w:hAnsi="Arial"/>
          <w:sz w:val="17"/>
          <w:szCs w:val="17"/>
          <w:color w:val="383836"/>
        </w:rPr>
        <w:t xml:space="preserve"> in the </w:t>
      </w:r>
      <w:r>
        <w:rPr>
          <w:rFonts w:ascii="Arial" w:cs="Arial" w:eastAsia="Arial" w:hAnsi="Arial"/>
          <w:sz w:val="17"/>
          <w:szCs w:val="17"/>
          <w:color w:val="4B4B49"/>
        </w:rPr>
        <w:t>minimum amount of $250,000</w:t>
      </w:r>
      <w:r>
        <w:rPr>
          <w:rFonts w:ascii="Arial" w:cs="Arial" w:eastAsia="Arial" w:hAnsi="Arial"/>
          <w:sz w:val="17"/>
          <w:szCs w:val="17"/>
          <w:color w:val="383836"/>
        </w:rPr>
        <w:t xml:space="preserve"> </w:t>
      </w:r>
      <w:r>
        <w:rPr>
          <w:rFonts w:ascii="Arial" w:cs="Arial" w:eastAsia="Arial" w:hAnsi="Arial"/>
          <w:sz w:val="18"/>
          <w:szCs w:val="18"/>
          <w:i w:val="1"/>
          <w:iCs w:val="1"/>
          <w:color w:val="898787"/>
        </w:rPr>
        <w:t>I</w:t>
      </w:r>
      <w:r>
        <w:rPr>
          <w:rFonts w:ascii="Arial" w:cs="Arial" w:eastAsia="Arial" w:hAnsi="Arial"/>
          <w:sz w:val="17"/>
          <w:szCs w:val="17"/>
          <w:color w:val="383836"/>
        </w:rPr>
        <w:t xml:space="preserve"> </w:t>
      </w:r>
      <w:r>
        <w:rPr>
          <w:rFonts w:ascii="Arial" w:cs="Arial" w:eastAsia="Arial" w:hAnsi="Arial"/>
          <w:sz w:val="17"/>
          <w:szCs w:val="17"/>
          <w:color w:val="4B4B49"/>
        </w:rPr>
        <w:t>$500,000 bodily injury and</w:t>
      </w:r>
      <w:r>
        <w:rPr>
          <w:rFonts w:ascii="Arial" w:cs="Arial" w:eastAsia="Arial" w:hAnsi="Arial"/>
          <w:sz w:val="17"/>
          <w:szCs w:val="17"/>
          <w:color w:val="383836"/>
        </w:rPr>
        <w:t xml:space="preserve"> </w:t>
      </w:r>
      <w:r>
        <w:rPr>
          <w:rFonts w:ascii="Arial" w:cs="Arial" w:eastAsia="Arial" w:hAnsi="Arial"/>
          <w:sz w:val="17"/>
          <w:szCs w:val="17"/>
          <w:color w:val="626260"/>
        </w:rPr>
        <w:t>$100,</w:t>
      </w:r>
      <w:r>
        <w:rPr>
          <w:rFonts w:ascii="Arial" w:cs="Arial" w:eastAsia="Arial" w:hAnsi="Arial"/>
          <w:sz w:val="17"/>
          <w:szCs w:val="17"/>
          <w:color w:val="383836"/>
        </w:rPr>
        <w:t xml:space="preserve">000 </w:t>
      </w:r>
      <w:r>
        <w:rPr>
          <w:rFonts w:ascii="Arial" w:cs="Arial" w:eastAsia="Arial" w:hAnsi="Arial"/>
          <w:sz w:val="17"/>
          <w:szCs w:val="17"/>
          <w:color w:val="4B4B49"/>
        </w:rPr>
        <w:t>property damage; or $300,000 single</w:t>
      </w:r>
      <w:r>
        <w:rPr>
          <w:rFonts w:ascii="Arial" w:cs="Arial" w:eastAsia="Arial" w:hAnsi="Arial"/>
          <w:sz w:val="17"/>
          <w:szCs w:val="17"/>
          <w:color w:val="383836"/>
        </w:rPr>
        <w:t xml:space="preserve"> limit </w:t>
      </w:r>
      <w:r>
        <w:rPr>
          <w:rFonts w:ascii="Arial" w:cs="Arial" w:eastAsia="Arial" w:hAnsi="Arial"/>
          <w:sz w:val="17"/>
          <w:szCs w:val="17"/>
          <w:color w:val="4B4B49"/>
        </w:rPr>
        <w:t>each</w:t>
      </w:r>
      <w:r>
        <w:rPr>
          <w:rFonts w:ascii="Arial" w:cs="Arial" w:eastAsia="Arial" w:hAnsi="Arial"/>
          <w:sz w:val="17"/>
          <w:szCs w:val="17"/>
          <w:color w:val="383836"/>
        </w:rPr>
        <w:t xml:space="preserve"> occurrence.</w:t>
      </w:r>
    </w:p>
    <w:p>
      <w:pPr>
        <w:sectPr>
          <w:pgSz w:w="11900" w:h="16838" w:orient="portrait"/>
          <w:cols w:equalWidth="0" w:num="1">
            <w:col w:w="10780"/>
          </w:cols>
          <w:pgMar w:left="240" w:top="1179" w:right="879" w:bottom="1440" w:gutter="0" w:footer="0" w:header="0"/>
        </w:sectPr>
      </w:pPr>
    </w:p>
    <w:bookmarkStart w:id="131" w:name="page132"/>
    <w:bookmarkEnd w:id="131"/>
    <w:p>
      <w:pPr>
        <w:ind w:left="120"/>
        <w:spacing w:after="0"/>
        <w:rPr>
          <w:sz w:val="20"/>
          <w:szCs w:val="20"/>
          <w:color w:val="auto"/>
        </w:rPr>
      </w:pPr>
      <w:r>
        <w:rPr>
          <w:rFonts w:ascii="Arial" w:cs="Arial" w:eastAsia="Arial" w:hAnsi="Arial"/>
          <w:sz w:val="21"/>
          <w:szCs w:val="21"/>
          <w:b w:val="1"/>
          <w:bCs w:val="1"/>
          <w:i w:val="1"/>
          <w:iCs w:val="1"/>
          <w:color w:val="363636"/>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Required Primary Underlying Insurance</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363636"/>
        </w:rPr>
        <w:t>(continued)</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7"/>
          <w:szCs w:val="17"/>
          <w:color w:val="464644"/>
        </w:rPr>
        <w:t xml:space="preserve">Unregistered vehicles in the </w:t>
      </w:r>
      <w:r>
        <w:rPr>
          <w:rFonts w:ascii="Arial" w:cs="Arial" w:eastAsia="Arial" w:hAnsi="Arial"/>
          <w:sz w:val="17"/>
          <w:szCs w:val="17"/>
          <w:color w:val="363636"/>
        </w:rPr>
        <w:t>minimum amount of</w:t>
      </w:r>
      <w:r>
        <w:rPr>
          <w:rFonts w:ascii="Arial" w:cs="Arial" w:eastAsia="Arial" w:hAnsi="Arial"/>
          <w:sz w:val="17"/>
          <w:szCs w:val="17"/>
          <w:color w:val="464644"/>
        </w:rPr>
        <w:t xml:space="preserve"> $300,000 bodily </w:t>
      </w:r>
      <w:r>
        <w:rPr>
          <w:rFonts w:ascii="Arial" w:cs="Arial" w:eastAsia="Arial" w:hAnsi="Arial"/>
          <w:sz w:val="17"/>
          <w:szCs w:val="17"/>
          <w:color w:val="363636"/>
        </w:rPr>
        <w:t>injury and property damage each</w:t>
      </w:r>
      <w:r>
        <w:rPr>
          <w:rFonts w:ascii="Arial" w:cs="Arial" w:eastAsia="Arial" w:hAnsi="Arial"/>
          <w:sz w:val="17"/>
          <w:szCs w:val="17"/>
          <w:color w:val="464644"/>
        </w:rPr>
        <w:t xml:space="preserve"> occurrence.</w:t>
      </w:r>
    </w:p>
    <w:p>
      <w:pPr>
        <w:spacing w:after="0" w:line="304" w:lineRule="exact"/>
        <w:rPr>
          <w:sz w:val="20"/>
          <w:szCs w:val="20"/>
          <w:color w:val="auto"/>
        </w:rPr>
      </w:pPr>
    </w:p>
    <w:p>
      <w:pPr>
        <w:ind w:left="120" w:right="180"/>
        <w:spacing w:after="0" w:line="309" w:lineRule="auto"/>
        <w:rPr>
          <w:sz w:val="20"/>
          <w:szCs w:val="20"/>
          <w:color w:val="auto"/>
        </w:rPr>
      </w:pPr>
      <w:r>
        <w:rPr>
          <w:rFonts w:ascii="Arial" w:cs="Arial" w:eastAsia="Arial" w:hAnsi="Arial"/>
          <w:sz w:val="17"/>
          <w:szCs w:val="17"/>
          <w:color w:val="363636"/>
        </w:rPr>
        <w:t xml:space="preserve">Registered vehicles with less than four wheels and </w:t>
      </w:r>
      <w:r>
        <w:rPr>
          <w:rFonts w:ascii="Arial" w:cs="Arial" w:eastAsia="Arial" w:hAnsi="Arial"/>
          <w:sz w:val="17"/>
          <w:szCs w:val="17"/>
          <w:color w:val="464644"/>
        </w:rPr>
        <w:t>motorhomes</w:t>
      </w:r>
      <w:r>
        <w:rPr>
          <w:rFonts w:ascii="Arial" w:cs="Arial" w:eastAsia="Arial" w:hAnsi="Arial"/>
          <w:sz w:val="17"/>
          <w:szCs w:val="17"/>
          <w:color w:val="363636"/>
        </w:rPr>
        <w:t xml:space="preserve"> in the </w:t>
      </w:r>
      <w:r>
        <w:rPr>
          <w:rFonts w:ascii="Arial" w:cs="Arial" w:eastAsia="Arial" w:hAnsi="Arial"/>
          <w:sz w:val="17"/>
          <w:szCs w:val="17"/>
          <w:color w:val="464644"/>
        </w:rPr>
        <w:t>minimum</w:t>
      </w:r>
      <w:r>
        <w:rPr>
          <w:rFonts w:ascii="Arial" w:cs="Arial" w:eastAsia="Arial" w:hAnsi="Arial"/>
          <w:sz w:val="17"/>
          <w:szCs w:val="17"/>
          <w:color w:val="363636"/>
        </w:rPr>
        <w:t xml:space="preserve"> amount </w:t>
      </w:r>
      <w:r>
        <w:rPr>
          <w:rFonts w:ascii="Arial" w:cs="Arial" w:eastAsia="Arial" w:hAnsi="Arial"/>
          <w:sz w:val="17"/>
          <w:szCs w:val="17"/>
          <w:color w:val="464644"/>
        </w:rPr>
        <w:t>$250,000</w:t>
      </w:r>
      <w:r>
        <w:rPr>
          <w:rFonts w:ascii="Arial" w:cs="Arial" w:eastAsia="Arial" w:hAnsi="Arial"/>
          <w:sz w:val="17"/>
          <w:szCs w:val="17"/>
          <w:color w:val="363636"/>
        </w:rPr>
        <w:t xml:space="preserve"> </w:t>
      </w:r>
      <w:r>
        <w:rPr>
          <w:rFonts w:ascii="Arial" w:cs="Arial" w:eastAsia="Arial" w:hAnsi="Arial"/>
          <w:sz w:val="17"/>
          <w:szCs w:val="17"/>
          <w:color w:val="777775"/>
        </w:rPr>
        <w:t>/</w:t>
      </w:r>
      <w:r>
        <w:rPr>
          <w:rFonts w:ascii="Arial" w:cs="Arial" w:eastAsia="Arial" w:hAnsi="Arial"/>
          <w:sz w:val="17"/>
          <w:szCs w:val="17"/>
          <w:color w:val="363636"/>
        </w:rPr>
        <w:t xml:space="preserve"> $500,000 bodily injury and </w:t>
      </w:r>
      <w:r>
        <w:rPr>
          <w:rFonts w:ascii="Arial" w:cs="Arial" w:eastAsia="Arial" w:hAnsi="Arial"/>
          <w:sz w:val="17"/>
          <w:szCs w:val="17"/>
          <w:color w:val="464644"/>
        </w:rPr>
        <w:t>$100,000</w:t>
      </w:r>
      <w:r>
        <w:rPr>
          <w:rFonts w:ascii="Arial" w:cs="Arial" w:eastAsia="Arial" w:hAnsi="Arial"/>
          <w:sz w:val="17"/>
          <w:szCs w:val="17"/>
          <w:color w:val="363636"/>
        </w:rPr>
        <w:t xml:space="preserve"> property damage; or </w:t>
      </w:r>
      <w:r>
        <w:rPr>
          <w:rFonts w:ascii="Arial" w:cs="Arial" w:eastAsia="Arial" w:hAnsi="Arial"/>
          <w:sz w:val="17"/>
          <w:szCs w:val="17"/>
          <w:color w:val="464644"/>
        </w:rPr>
        <w:t>$300,000 single</w:t>
      </w:r>
      <w:r>
        <w:rPr>
          <w:rFonts w:ascii="Arial" w:cs="Arial" w:eastAsia="Arial" w:hAnsi="Arial"/>
          <w:sz w:val="17"/>
          <w:szCs w:val="17"/>
          <w:color w:val="363636"/>
        </w:rPr>
        <w:t xml:space="preserve"> limit </w:t>
      </w:r>
      <w:r>
        <w:rPr>
          <w:rFonts w:ascii="Arial" w:cs="Arial" w:eastAsia="Arial" w:hAnsi="Arial"/>
          <w:sz w:val="17"/>
          <w:szCs w:val="17"/>
          <w:color w:val="464644"/>
        </w:rPr>
        <w:t>each occurrence.</w:t>
      </w:r>
    </w:p>
    <w:p>
      <w:pPr>
        <w:spacing w:after="0" w:line="266" w:lineRule="exact"/>
        <w:rPr>
          <w:sz w:val="20"/>
          <w:szCs w:val="20"/>
          <w:color w:val="auto"/>
        </w:rPr>
      </w:pPr>
    </w:p>
    <w:p>
      <w:pPr>
        <w:ind w:left="120" w:right="420"/>
        <w:spacing w:after="0" w:line="326" w:lineRule="auto"/>
        <w:rPr>
          <w:sz w:val="20"/>
          <w:szCs w:val="20"/>
          <w:color w:val="auto"/>
        </w:rPr>
      </w:pPr>
      <w:r>
        <w:rPr>
          <w:rFonts w:ascii="Arial" w:cs="Arial" w:eastAsia="Arial" w:hAnsi="Arial"/>
          <w:sz w:val="17"/>
          <w:szCs w:val="17"/>
          <w:color w:val="363636"/>
        </w:rPr>
        <w:t xml:space="preserve">Watercraft less than 26 feet and 50 </w:t>
      </w:r>
      <w:r>
        <w:rPr>
          <w:rFonts w:ascii="Arial" w:cs="Arial" w:eastAsia="Arial" w:hAnsi="Arial"/>
          <w:sz w:val="17"/>
          <w:szCs w:val="17"/>
          <w:color w:val="464644"/>
        </w:rPr>
        <w:t>engine rated</w:t>
      </w:r>
      <w:r>
        <w:rPr>
          <w:rFonts w:ascii="Arial" w:cs="Arial" w:eastAsia="Arial" w:hAnsi="Arial"/>
          <w:sz w:val="17"/>
          <w:szCs w:val="17"/>
          <w:color w:val="363636"/>
        </w:rPr>
        <w:t xml:space="preserve"> horsepower or less for bodily and property damage in the minimum amount of $</w:t>
      </w:r>
      <w:r>
        <w:rPr>
          <w:rFonts w:ascii="Arial" w:cs="Arial" w:eastAsia="Arial" w:hAnsi="Arial"/>
          <w:sz w:val="17"/>
          <w:szCs w:val="17"/>
          <w:color w:val="464644"/>
        </w:rPr>
        <w:t>300,000 each</w:t>
      </w:r>
      <w:r>
        <w:rPr>
          <w:rFonts w:ascii="Arial" w:cs="Arial" w:eastAsia="Arial" w:hAnsi="Arial"/>
          <w:sz w:val="17"/>
          <w:szCs w:val="17"/>
          <w:color w:val="363636"/>
        </w:rPr>
        <w:t xml:space="preserve"> occurrence.</w:t>
      </w:r>
    </w:p>
    <w:p>
      <w:pPr>
        <w:spacing w:after="0" w:line="225" w:lineRule="exact"/>
        <w:rPr>
          <w:sz w:val="20"/>
          <w:szCs w:val="20"/>
          <w:color w:val="auto"/>
        </w:rPr>
      </w:pPr>
    </w:p>
    <w:p>
      <w:pPr>
        <w:ind w:left="120" w:right="260"/>
        <w:spacing w:after="0" w:line="326" w:lineRule="auto"/>
        <w:rPr>
          <w:sz w:val="20"/>
          <w:szCs w:val="20"/>
          <w:color w:val="auto"/>
        </w:rPr>
      </w:pPr>
      <w:r>
        <w:rPr>
          <w:rFonts w:ascii="Arial" w:cs="Arial" w:eastAsia="Arial" w:hAnsi="Arial"/>
          <w:sz w:val="17"/>
          <w:szCs w:val="17"/>
          <w:color w:val="363636"/>
        </w:rPr>
        <w:t xml:space="preserve">Watercraft 26 feet or longer </w:t>
      </w:r>
      <w:r>
        <w:rPr>
          <w:rFonts w:ascii="Arial" w:cs="Arial" w:eastAsia="Arial" w:hAnsi="Arial"/>
          <w:sz w:val="17"/>
          <w:szCs w:val="17"/>
          <w:color w:val="464644"/>
        </w:rPr>
        <w:t>or</w:t>
      </w:r>
      <w:r>
        <w:rPr>
          <w:rFonts w:ascii="Arial" w:cs="Arial" w:eastAsia="Arial" w:hAnsi="Arial"/>
          <w:sz w:val="17"/>
          <w:szCs w:val="17"/>
          <w:color w:val="363636"/>
        </w:rPr>
        <w:t xml:space="preserve"> more </w:t>
      </w:r>
      <w:r>
        <w:rPr>
          <w:rFonts w:ascii="Arial" w:cs="Arial" w:eastAsia="Arial" w:hAnsi="Arial"/>
          <w:sz w:val="17"/>
          <w:szCs w:val="17"/>
          <w:color w:val="464644"/>
        </w:rPr>
        <w:t>than</w:t>
      </w:r>
      <w:r>
        <w:rPr>
          <w:rFonts w:ascii="Arial" w:cs="Arial" w:eastAsia="Arial" w:hAnsi="Arial"/>
          <w:sz w:val="17"/>
          <w:szCs w:val="17"/>
          <w:color w:val="363636"/>
        </w:rPr>
        <w:t xml:space="preserve"> 50 </w:t>
      </w:r>
      <w:r>
        <w:rPr>
          <w:rFonts w:ascii="Arial" w:cs="Arial" w:eastAsia="Arial" w:hAnsi="Arial"/>
          <w:sz w:val="17"/>
          <w:szCs w:val="17"/>
          <w:color w:val="464644"/>
        </w:rPr>
        <w:t>engine rated</w:t>
      </w:r>
      <w:r>
        <w:rPr>
          <w:rFonts w:ascii="Arial" w:cs="Arial" w:eastAsia="Arial" w:hAnsi="Arial"/>
          <w:sz w:val="17"/>
          <w:szCs w:val="17"/>
          <w:color w:val="363636"/>
        </w:rPr>
        <w:t xml:space="preserve"> horsepower </w:t>
      </w:r>
      <w:r>
        <w:rPr>
          <w:rFonts w:ascii="Arial" w:cs="Arial" w:eastAsia="Arial" w:hAnsi="Arial"/>
          <w:sz w:val="17"/>
          <w:szCs w:val="17"/>
          <w:color w:val="464644"/>
        </w:rPr>
        <w:t>for</w:t>
      </w:r>
      <w:r>
        <w:rPr>
          <w:rFonts w:ascii="Arial" w:cs="Arial" w:eastAsia="Arial" w:hAnsi="Arial"/>
          <w:sz w:val="17"/>
          <w:szCs w:val="17"/>
          <w:color w:val="363636"/>
        </w:rPr>
        <w:t xml:space="preserve"> bodily </w:t>
      </w:r>
      <w:r>
        <w:rPr>
          <w:rFonts w:ascii="Arial" w:cs="Arial" w:eastAsia="Arial" w:hAnsi="Arial"/>
          <w:sz w:val="17"/>
          <w:szCs w:val="17"/>
          <w:color w:val="464644"/>
        </w:rPr>
        <w:t>injury</w:t>
      </w:r>
      <w:r>
        <w:rPr>
          <w:rFonts w:ascii="Arial" w:cs="Arial" w:eastAsia="Arial" w:hAnsi="Arial"/>
          <w:sz w:val="17"/>
          <w:szCs w:val="17"/>
          <w:color w:val="363636"/>
        </w:rPr>
        <w:t xml:space="preserve"> and property </w:t>
      </w:r>
      <w:r>
        <w:rPr>
          <w:rFonts w:ascii="Arial" w:cs="Arial" w:eastAsia="Arial" w:hAnsi="Arial"/>
          <w:sz w:val="17"/>
          <w:szCs w:val="17"/>
          <w:color w:val="464644"/>
        </w:rPr>
        <w:t>damage</w:t>
      </w:r>
      <w:r>
        <w:rPr>
          <w:rFonts w:ascii="Arial" w:cs="Arial" w:eastAsia="Arial" w:hAnsi="Arial"/>
          <w:sz w:val="17"/>
          <w:szCs w:val="17"/>
          <w:color w:val="363636"/>
        </w:rPr>
        <w:t xml:space="preserve"> in the minimum amount of $500</w:t>
      </w:r>
      <w:r>
        <w:rPr>
          <w:rFonts w:ascii="Arial" w:cs="Arial" w:eastAsia="Arial" w:hAnsi="Arial"/>
          <w:sz w:val="17"/>
          <w:szCs w:val="17"/>
          <w:color w:val="777775"/>
        </w:rPr>
        <w:t>,</w:t>
      </w:r>
      <w:r>
        <w:rPr>
          <w:rFonts w:ascii="Arial" w:cs="Arial" w:eastAsia="Arial" w:hAnsi="Arial"/>
          <w:sz w:val="17"/>
          <w:szCs w:val="17"/>
          <w:color w:val="363636"/>
        </w:rPr>
        <w:t xml:space="preserve">000 each </w:t>
      </w:r>
      <w:r>
        <w:rPr>
          <w:rFonts w:ascii="Arial" w:cs="Arial" w:eastAsia="Arial" w:hAnsi="Arial"/>
          <w:sz w:val="17"/>
          <w:szCs w:val="17"/>
          <w:color w:val="464644"/>
        </w:rPr>
        <w:t>occurrence.</w:t>
      </w:r>
    </w:p>
    <w:p>
      <w:pPr>
        <w:spacing w:after="0" w:line="252" w:lineRule="exact"/>
        <w:rPr>
          <w:sz w:val="20"/>
          <w:szCs w:val="20"/>
          <w:color w:val="auto"/>
        </w:rPr>
      </w:pPr>
    </w:p>
    <w:p>
      <w:pPr>
        <w:ind w:left="120"/>
        <w:spacing w:after="0" w:line="326" w:lineRule="auto"/>
        <w:rPr>
          <w:sz w:val="20"/>
          <w:szCs w:val="20"/>
          <w:color w:val="auto"/>
        </w:rPr>
      </w:pPr>
      <w:r>
        <w:rPr>
          <w:rFonts w:ascii="Arial" w:cs="Arial" w:eastAsia="Arial" w:hAnsi="Arial"/>
          <w:sz w:val="17"/>
          <w:szCs w:val="17"/>
          <w:color w:val="363636"/>
        </w:rPr>
        <w:t>Uninsured motorists</w:t>
      </w:r>
      <w:r>
        <w:rPr>
          <w:rFonts w:ascii="Arial" w:cs="Arial" w:eastAsia="Arial" w:hAnsi="Arial"/>
          <w:sz w:val="17"/>
          <w:szCs w:val="17"/>
          <w:color w:val="777775"/>
        </w:rPr>
        <w:t>/</w:t>
      </w:r>
      <w:r>
        <w:rPr>
          <w:rFonts w:ascii="Arial" w:cs="Arial" w:eastAsia="Arial" w:hAnsi="Arial"/>
          <w:sz w:val="17"/>
          <w:szCs w:val="17"/>
          <w:color w:val="363636"/>
        </w:rPr>
        <w:t xml:space="preserve">underinsured motorists </w:t>
      </w:r>
      <w:r>
        <w:rPr>
          <w:rFonts w:ascii="Arial" w:cs="Arial" w:eastAsia="Arial" w:hAnsi="Arial"/>
          <w:sz w:val="17"/>
          <w:szCs w:val="17"/>
          <w:color w:val="464644"/>
        </w:rPr>
        <w:t>protection in the</w:t>
      </w:r>
      <w:r>
        <w:rPr>
          <w:rFonts w:ascii="Arial" w:cs="Arial" w:eastAsia="Arial" w:hAnsi="Arial"/>
          <w:sz w:val="17"/>
          <w:szCs w:val="17"/>
          <w:color w:val="363636"/>
        </w:rPr>
        <w:t xml:space="preserve"> minimum amount of </w:t>
      </w:r>
      <w:r>
        <w:rPr>
          <w:rFonts w:ascii="Arial" w:cs="Arial" w:eastAsia="Arial" w:hAnsi="Arial"/>
          <w:sz w:val="17"/>
          <w:szCs w:val="17"/>
          <w:color w:val="464644"/>
        </w:rPr>
        <w:t>$250,000</w:t>
      </w:r>
      <w:r>
        <w:rPr>
          <w:rFonts w:ascii="Arial" w:cs="Arial" w:eastAsia="Arial" w:hAnsi="Arial"/>
          <w:sz w:val="17"/>
          <w:szCs w:val="17"/>
          <w:color w:val="363636"/>
        </w:rPr>
        <w:t xml:space="preserve"> </w:t>
      </w:r>
      <w:r>
        <w:rPr>
          <w:rFonts w:ascii="Arial" w:cs="Arial" w:eastAsia="Arial" w:hAnsi="Arial"/>
          <w:sz w:val="17"/>
          <w:szCs w:val="17"/>
          <w:color w:val="777775"/>
        </w:rPr>
        <w:t>/</w:t>
      </w:r>
      <w:r>
        <w:rPr>
          <w:rFonts w:ascii="Arial" w:cs="Arial" w:eastAsia="Arial" w:hAnsi="Arial"/>
          <w:sz w:val="17"/>
          <w:szCs w:val="17"/>
          <w:color w:val="363636"/>
        </w:rPr>
        <w:t xml:space="preserve"> </w:t>
      </w:r>
      <w:r>
        <w:rPr>
          <w:rFonts w:ascii="Arial" w:cs="Arial" w:eastAsia="Arial" w:hAnsi="Arial"/>
          <w:sz w:val="17"/>
          <w:szCs w:val="17"/>
          <w:color w:val="464644"/>
        </w:rPr>
        <w:t>$500,000</w:t>
      </w:r>
      <w:r>
        <w:rPr>
          <w:rFonts w:ascii="Arial" w:cs="Arial" w:eastAsia="Arial" w:hAnsi="Arial"/>
          <w:sz w:val="17"/>
          <w:szCs w:val="17"/>
          <w:color w:val="363636"/>
        </w:rPr>
        <w:t xml:space="preserve"> bodily injury and $100,000 property damage; </w:t>
      </w:r>
      <w:r>
        <w:rPr>
          <w:rFonts w:ascii="Arial" w:cs="Arial" w:eastAsia="Arial" w:hAnsi="Arial"/>
          <w:sz w:val="17"/>
          <w:szCs w:val="17"/>
          <w:color w:val="464644"/>
        </w:rPr>
        <w:t xml:space="preserve">or </w:t>
      </w:r>
      <w:r>
        <w:rPr>
          <w:rFonts w:ascii="Arial" w:cs="Arial" w:eastAsia="Arial" w:hAnsi="Arial"/>
          <w:sz w:val="17"/>
          <w:szCs w:val="17"/>
          <w:color w:val="363636"/>
        </w:rPr>
        <w:t>$300,000 single limit occurrence.</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363636"/>
        </w:rPr>
        <w:t xml:space="preserve">FAILURE TO COMPLY WITH THE REQUIRED PRIMARY UNDERLYING </w:t>
      </w:r>
      <w:r>
        <w:rPr>
          <w:rFonts w:ascii="Arial" w:cs="Arial" w:eastAsia="Arial" w:hAnsi="Arial"/>
          <w:sz w:val="16"/>
          <w:szCs w:val="16"/>
          <w:b w:val="1"/>
          <w:bCs w:val="1"/>
          <w:color w:val="464644"/>
        </w:rPr>
        <w:t>INSURANCE</w:t>
      </w:r>
      <w:r>
        <w:rPr>
          <w:rFonts w:ascii="Arial" w:cs="Arial" w:eastAsia="Arial" w:hAnsi="Arial"/>
          <w:sz w:val="16"/>
          <w:szCs w:val="16"/>
          <w:b w:val="1"/>
          <w:bCs w:val="1"/>
          <w:color w:val="363636"/>
        </w:rPr>
        <w:t xml:space="preserve"> WILL RESULT IN A GAP </w:t>
      </w:r>
      <w:r>
        <w:rPr>
          <w:rFonts w:ascii="Arial" w:cs="Arial" w:eastAsia="Arial" w:hAnsi="Arial"/>
          <w:sz w:val="16"/>
          <w:szCs w:val="16"/>
          <w:b w:val="1"/>
          <w:bCs w:val="1"/>
          <w:color w:val="464644"/>
        </w:rPr>
        <w:t>IN</w:t>
      </w:r>
      <w:r>
        <w:rPr>
          <w:rFonts w:ascii="Arial" w:cs="Arial" w:eastAsia="Arial" w:hAnsi="Arial"/>
          <w:sz w:val="16"/>
          <w:szCs w:val="16"/>
          <w:b w:val="1"/>
          <w:bCs w:val="1"/>
          <w:color w:val="363636"/>
        </w:rPr>
        <w:t xml:space="preserv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1043940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gridSpan w:val="5"/>
          </w:tcPr>
          <w:p>
            <w:pPr>
              <w:spacing w:after="0"/>
              <w:rPr>
                <w:sz w:val="20"/>
                <w:szCs w:val="20"/>
                <w:color w:val="auto"/>
              </w:rPr>
            </w:pPr>
            <w:r>
              <w:rPr>
                <w:rFonts w:ascii="Arial" w:cs="Arial" w:eastAsia="Arial" w:hAnsi="Arial"/>
                <w:sz w:val="14"/>
                <w:szCs w:val="14"/>
                <w:i w:val="1"/>
                <w:iCs w:val="1"/>
                <w:color w:val="464644"/>
              </w:rPr>
              <w:t xml:space="preserve">Group </w:t>
            </w:r>
            <w:r>
              <w:rPr>
                <w:rFonts w:ascii="Arial" w:cs="Arial" w:eastAsia="Arial" w:hAnsi="Arial"/>
                <w:sz w:val="14"/>
                <w:szCs w:val="14"/>
                <w:i w:val="1"/>
                <w:iCs w:val="1"/>
                <w:color w:val="363636"/>
              </w:rPr>
              <w:t>Personal</w:t>
            </w:r>
            <w:r>
              <w:rPr>
                <w:rFonts w:ascii="Arial" w:cs="Arial" w:eastAsia="Arial" w:hAnsi="Arial"/>
                <w:sz w:val="14"/>
                <w:szCs w:val="14"/>
                <w:i w:val="1"/>
                <w:iCs w:val="1"/>
                <w:color w:val="464644"/>
              </w:rPr>
              <w:t xml:space="preserve"> </w:t>
            </w:r>
            <w:r>
              <w:rPr>
                <w:rFonts w:ascii="Arial" w:cs="Arial" w:eastAsia="Arial" w:hAnsi="Arial"/>
                <w:sz w:val="15"/>
                <w:szCs w:val="15"/>
                <w:color w:val="464644"/>
              </w:rPr>
              <w:t>Excess</w:t>
            </w:r>
            <w:r>
              <w:rPr>
                <w:rFonts w:ascii="Arial" w:cs="Arial" w:eastAsia="Arial" w:hAnsi="Arial"/>
                <w:sz w:val="14"/>
                <w:szCs w:val="14"/>
                <w:i w:val="1"/>
                <w:iCs w:val="1"/>
                <w:color w:val="464644"/>
              </w:rPr>
              <w:t xml:space="preserve"> </w:t>
            </w:r>
            <w:r>
              <w:rPr>
                <w:rFonts w:ascii="Arial" w:cs="Arial" w:eastAsia="Arial" w:hAnsi="Arial"/>
                <w:sz w:val="14"/>
                <w:szCs w:val="14"/>
                <w:i w:val="1"/>
                <w:iCs w:val="1"/>
                <w:color w:val="363636"/>
              </w:rPr>
              <w:t>Liability</w:t>
            </w:r>
            <w:r>
              <w:rPr>
                <w:rFonts w:ascii="Arial" w:cs="Arial" w:eastAsia="Arial" w:hAnsi="Arial"/>
                <w:sz w:val="14"/>
                <w:szCs w:val="14"/>
                <w:i w:val="1"/>
                <w:iCs w:val="1"/>
                <w:color w:val="464644"/>
              </w:rPr>
              <w:t xml:space="preserve"> Policy</w:t>
            </w:r>
          </w:p>
        </w:tc>
        <w:tc>
          <w:tcPr>
            <w:tcW w:w="1380" w:type="dxa"/>
            <w:vAlign w:val="bottom"/>
          </w:tcPr>
          <w:p>
            <w:pPr>
              <w:ind w:left="760"/>
              <w:spacing w:after="0"/>
              <w:rPr>
                <w:sz w:val="20"/>
                <w:szCs w:val="20"/>
                <w:color w:val="auto"/>
              </w:rPr>
            </w:pPr>
            <w:r>
              <w:rPr>
                <w:rFonts w:ascii="Arial" w:cs="Arial" w:eastAsia="Arial" w:hAnsi="Arial"/>
                <w:sz w:val="14"/>
                <w:szCs w:val="14"/>
                <w:i w:val="1"/>
                <w:iCs w:val="1"/>
                <w:color w:val="464644"/>
                <w:w w:val="98"/>
              </w:rPr>
              <w:t>continued</w:t>
            </w:r>
          </w:p>
        </w:tc>
      </w:tr>
      <w:tr>
        <w:trPr>
          <w:trHeight w:val="20"/>
        </w:trPr>
        <w:tc>
          <w:tcPr>
            <w:tcW w:w="440" w:type="dxa"/>
            <w:vAlign w:val="bottom"/>
            <w:shd w:val="clear" w:color="auto" w:fill="464644"/>
          </w:tcPr>
          <w:p>
            <w:pPr>
              <w:spacing w:after="0" w:line="20" w:lineRule="exact"/>
              <w:rPr>
                <w:sz w:val="1"/>
                <w:szCs w:val="1"/>
                <w:color w:val="auto"/>
              </w:rPr>
            </w:pPr>
          </w:p>
        </w:tc>
        <w:tc>
          <w:tcPr>
            <w:tcW w:w="620" w:type="dxa"/>
            <w:vAlign w:val="bottom"/>
            <w:shd w:val="clear" w:color="auto" w:fill="363636"/>
          </w:tcPr>
          <w:p>
            <w:pPr>
              <w:spacing w:after="0" w:line="20" w:lineRule="exact"/>
              <w:rPr>
                <w:sz w:val="1"/>
                <w:szCs w:val="1"/>
                <w:color w:val="auto"/>
              </w:rPr>
            </w:pPr>
          </w:p>
        </w:tc>
        <w:tc>
          <w:tcPr>
            <w:tcW w:w="540" w:type="dxa"/>
            <w:vAlign w:val="bottom"/>
            <w:shd w:val="clear" w:color="auto" w:fill="464644"/>
          </w:tcPr>
          <w:p>
            <w:pPr>
              <w:spacing w:after="0" w:line="20" w:lineRule="exact"/>
              <w:rPr>
                <w:sz w:val="1"/>
                <w:szCs w:val="1"/>
                <w:color w:val="auto"/>
              </w:rPr>
            </w:pPr>
          </w:p>
        </w:tc>
        <w:tc>
          <w:tcPr>
            <w:tcW w:w="520" w:type="dxa"/>
            <w:vAlign w:val="bottom"/>
            <w:shd w:val="clear" w:color="auto" w:fill="363636"/>
          </w:tcPr>
          <w:p>
            <w:pPr>
              <w:spacing w:after="0" w:line="20" w:lineRule="exact"/>
              <w:rPr>
                <w:sz w:val="1"/>
                <w:szCs w:val="1"/>
                <w:color w:val="auto"/>
              </w:rPr>
            </w:pPr>
          </w:p>
        </w:tc>
        <w:tc>
          <w:tcPr>
            <w:tcW w:w="1220" w:type="dxa"/>
            <w:vAlign w:val="bottom"/>
            <w:shd w:val="clear" w:color="auto" w:fill="464644"/>
          </w:tcPr>
          <w:p>
            <w:pPr>
              <w:spacing w:after="0" w:line="20" w:lineRule="exact"/>
              <w:rPr>
                <w:sz w:val="1"/>
                <w:szCs w:val="1"/>
                <w:color w:val="auto"/>
              </w:rPr>
            </w:pPr>
          </w:p>
        </w:tc>
        <w:tc>
          <w:tcPr>
            <w:tcW w:w="1380" w:type="dxa"/>
            <w:vAlign w:val="bottom"/>
            <w:shd w:val="clear" w:color="auto" w:fill="464644"/>
          </w:tcPr>
          <w:p>
            <w:pPr>
              <w:spacing w:after="0" w:line="20" w:lineRule="exact"/>
              <w:rPr>
                <w:sz w:val="1"/>
                <w:szCs w:val="1"/>
                <w:color w:val="auto"/>
              </w:rPr>
            </w:pPr>
          </w:p>
        </w:tc>
      </w:tr>
      <w:tr>
        <w:trPr>
          <w:trHeight w:val="225"/>
        </w:trPr>
        <w:tc>
          <w:tcPr>
            <w:tcW w:w="3340" w:type="dxa"/>
            <w:vAlign w:val="bottom"/>
            <w:gridSpan w:val="5"/>
          </w:tcPr>
          <w:p>
            <w:pPr>
              <w:spacing w:after="0"/>
              <w:rPr>
                <w:sz w:val="20"/>
                <w:szCs w:val="20"/>
                <w:color w:val="auto"/>
              </w:rPr>
            </w:pPr>
            <w:r>
              <w:rPr>
                <w:rFonts w:ascii="Arial" w:cs="Arial" w:eastAsia="Arial" w:hAnsi="Arial"/>
                <w:sz w:val="14"/>
                <w:szCs w:val="14"/>
                <w:i w:val="1"/>
                <w:iCs w:val="1"/>
                <w:color w:val="464644"/>
              </w:rPr>
              <w:t xml:space="preserve">Form </w:t>
            </w:r>
            <w:r>
              <w:rPr>
                <w:rFonts w:ascii="Arial" w:cs="Arial" w:eastAsia="Arial" w:hAnsi="Arial"/>
                <w:sz w:val="14"/>
                <w:szCs w:val="14"/>
                <w:i w:val="1"/>
                <w:iCs w:val="1"/>
                <w:color w:val="363636"/>
              </w:rPr>
              <w:t>10-02-0690</w:t>
            </w:r>
            <w:r>
              <w:rPr>
                <w:rFonts w:ascii="Arial" w:cs="Arial" w:eastAsia="Arial" w:hAnsi="Arial"/>
                <w:sz w:val="14"/>
                <w:szCs w:val="14"/>
                <w:i w:val="1"/>
                <w:iCs w:val="1"/>
                <w:color w:val="464644"/>
              </w:rPr>
              <w:t xml:space="preserve"> (Rev. 8-07)  </w:t>
            </w:r>
            <w:r>
              <w:rPr>
                <w:rFonts w:ascii="Arial" w:cs="Arial" w:eastAsia="Arial" w:hAnsi="Arial"/>
                <w:sz w:val="14"/>
                <w:szCs w:val="14"/>
                <w:i w:val="1"/>
                <w:iCs w:val="1"/>
                <w:color w:val="363636"/>
              </w:rPr>
              <w:t>Declarations</w:t>
            </w:r>
          </w:p>
        </w:tc>
        <w:tc>
          <w:tcPr>
            <w:tcW w:w="1380" w:type="dxa"/>
            <w:vAlign w:val="bottom"/>
          </w:tcPr>
          <w:p>
            <w:pPr>
              <w:ind w:left="520"/>
              <w:spacing w:after="0"/>
              <w:rPr>
                <w:sz w:val="20"/>
                <w:szCs w:val="20"/>
                <w:color w:val="auto"/>
              </w:rPr>
            </w:pPr>
            <w:r>
              <w:rPr>
                <w:rFonts w:ascii="Arial" w:cs="Arial" w:eastAsia="Arial" w:hAnsi="Arial"/>
                <w:sz w:val="14"/>
                <w:szCs w:val="14"/>
                <w:i w:val="1"/>
                <w:iCs w:val="1"/>
                <w:color w:val="363636"/>
              </w:rPr>
              <w:t>Page 2</w:t>
            </w:r>
          </w:p>
        </w:tc>
      </w:tr>
    </w:tbl>
    <w:p>
      <w:pPr>
        <w:sectPr>
          <w:pgSz w:w="11900" w:h="16838" w:orient="portrait"/>
          <w:cols w:equalWidth="0" w:num="1">
            <w:col w:w="11280"/>
          </w:cols>
          <w:pgMar w:left="240" w:top="968" w:right="37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10.10</w:t>
      </w:r>
    </w:p>
    <w:p>
      <w:pPr>
        <w:spacing w:after="0" w:line="336" w:lineRule="exact"/>
        <w:rPr>
          <w:sz w:val="20"/>
          <w:szCs w:val="20"/>
          <w:color w:val="auto"/>
        </w:rPr>
      </w:pPr>
    </w:p>
    <w:p>
      <w:pPr>
        <w:ind w:left="2600"/>
        <w:spacing w:after="0"/>
        <w:rPr>
          <w:sz w:val="20"/>
          <w:szCs w:val="20"/>
          <w:color w:val="auto"/>
        </w:rPr>
      </w:pPr>
      <w:r>
        <w:rPr>
          <w:rFonts w:ascii="Arial" w:cs="Arial" w:eastAsia="Arial" w:hAnsi="Arial"/>
          <w:sz w:val="22"/>
          <w:szCs w:val="22"/>
          <w:b w:val="1"/>
          <w:bCs w:val="1"/>
          <w:i w:val="1"/>
          <w:iCs w:val="1"/>
          <w:color w:val="3F3F3D"/>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120078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4">
                      <a:extLst>
                        <a:ext uri="{28A0092B-C50C-407E-A947-70E740481C1C}"/>
                      </a:extLst>
                    </a:blip>
                    <a:srcRect/>
                    <a:stretch>
                      <a:fillRect/>
                    </a:stretch>
                  </pic:blipFill>
                  <pic:spPr bwMode="auto">
                    <a:xfrm>
                      <a:off x="0" y="0"/>
                      <a:ext cx="1200785" cy="154305"/>
                    </a:xfrm>
                    <a:prstGeom prst="rect">
                      <a:avLst/>
                    </a:prstGeom>
                    <a:noFill/>
                  </pic:spPr>
                </pic:pic>
              </a:graphicData>
            </a:graphic>
          </wp:anchor>
        </w:drawing>
      </w:r>
    </w:p>
    <w:p>
      <w:pPr>
        <w:spacing w:after="0" w:line="362" w:lineRule="exact"/>
        <w:rPr>
          <w:sz w:val="20"/>
          <w:szCs w:val="20"/>
          <w:color w:val="auto"/>
        </w:rPr>
      </w:pPr>
    </w:p>
    <w:p>
      <w:pPr>
        <w:ind w:left="2600"/>
        <w:spacing w:after="0"/>
        <w:rPr>
          <w:sz w:val="20"/>
          <w:szCs w:val="20"/>
          <w:color w:val="auto"/>
        </w:rPr>
      </w:pPr>
      <w:r>
        <w:rPr>
          <w:rFonts w:ascii="Arial" w:cs="Arial" w:eastAsia="Arial" w:hAnsi="Arial"/>
          <w:sz w:val="22"/>
          <w:szCs w:val="22"/>
          <w:b w:val="1"/>
          <w:bCs w:val="1"/>
          <w:i w:val="1"/>
          <w:iCs w:val="1"/>
          <w:color w:val="3F3F3D"/>
        </w:rPr>
        <w:t>Coverage Summary</w:t>
      </w:r>
    </w:p>
    <w:p>
      <w:pPr>
        <w:spacing w:after="0" w:line="200" w:lineRule="exact"/>
        <w:rPr>
          <w:sz w:val="20"/>
          <w:szCs w:val="20"/>
          <w:color w:val="auto"/>
        </w:rPr>
      </w:pPr>
    </w:p>
    <w:p>
      <w:pPr>
        <w:spacing w:after="0" w:line="214" w:lineRule="exact"/>
        <w:rPr>
          <w:sz w:val="20"/>
          <w:szCs w:val="20"/>
          <w:color w:val="auto"/>
        </w:rPr>
      </w:pPr>
    </w:p>
    <w:p>
      <w:pPr>
        <w:ind w:left="2600"/>
        <w:spacing w:after="0"/>
        <w:tabs>
          <w:tab w:leader="none" w:pos="4040" w:val="left"/>
        </w:tabs>
        <w:rPr>
          <w:sz w:val="20"/>
          <w:szCs w:val="20"/>
          <w:color w:val="auto"/>
        </w:rPr>
      </w:pPr>
      <w:r>
        <w:rPr>
          <w:rFonts w:ascii="Arial" w:cs="Arial" w:eastAsia="Arial" w:hAnsi="Arial"/>
          <w:sz w:val="20"/>
          <w:szCs w:val="20"/>
          <w:i w:val="1"/>
          <w:iCs w:val="1"/>
          <w:color w:val="3F3F3D"/>
        </w:rPr>
        <w:t>Effective Date</w:t>
      </w:r>
      <w:r>
        <w:rPr>
          <w:sz w:val="20"/>
          <w:szCs w:val="20"/>
          <w:color w:val="auto"/>
        </w:rPr>
        <w:tab/>
      </w:r>
      <w:r>
        <w:rPr>
          <w:rFonts w:ascii="Arial" w:cs="Arial" w:eastAsia="Arial" w:hAnsi="Arial"/>
          <w:sz w:val="16"/>
          <w:szCs w:val="16"/>
          <w:color w:val="3F3F3D"/>
        </w:rPr>
        <w:t>JANUARY 01</w:t>
      </w:r>
      <w:r>
        <w:rPr>
          <w:rFonts w:ascii="Arial" w:cs="Arial" w:eastAsia="Arial" w:hAnsi="Arial"/>
          <w:sz w:val="16"/>
          <w:szCs w:val="16"/>
          <w:color w:val="5D5D5B"/>
        </w:rPr>
        <w:t>, 2019</w:t>
      </w:r>
    </w:p>
    <w:p>
      <w:pPr>
        <w:spacing w:after="0" w:line="386" w:lineRule="exact"/>
        <w:rPr>
          <w:sz w:val="20"/>
          <w:szCs w:val="20"/>
          <w:color w:val="auto"/>
        </w:rPr>
      </w:pPr>
    </w:p>
    <w:p>
      <w:pPr>
        <w:ind w:left="2600"/>
        <w:spacing w:after="0"/>
        <w:rPr>
          <w:sz w:val="20"/>
          <w:szCs w:val="20"/>
          <w:color w:val="auto"/>
        </w:rPr>
      </w:pPr>
      <w:r>
        <w:rPr>
          <w:rFonts w:ascii="Arial" w:cs="Arial" w:eastAsia="Arial" w:hAnsi="Arial"/>
          <w:sz w:val="19"/>
          <w:szCs w:val="19"/>
          <w:i w:val="1"/>
          <w:iCs w:val="1"/>
          <w:color w:val="3F3F3D"/>
        </w:rPr>
        <w:t>Policy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3F3F3D"/>
        </w:rPr>
        <w:t>Authorization</w:t>
      </w:r>
    </w:p>
    <w:p>
      <w:pPr>
        <w:spacing w:after="0" w:line="237" w:lineRule="exact"/>
        <w:rPr>
          <w:sz w:val="20"/>
          <w:szCs w:val="20"/>
          <w:color w:val="auto"/>
        </w:rPr>
      </w:pPr>
    </w:p>
    <w:p>
      <w:pPr>
        <w:ind w:right="420"/>
        <w:spacing w:after="0" w:line="326" w:lineRule="auto"/>
        <w:rPr>
          <w:sz w:val="20"/>
          <w:szCs w:val="20"/>
          <w:color w:val="auto"/>
        </w:rPr>
      </w:pPr>
      <w:r>
        <w:rPr>
          <w:rFonts w:ascii="Arial" w:cs="Arial" w:eastAsia="Arial" w:hAnsi="Arial"/>
          <w:sz w:val="17"/>
          <w:szCs w:val="17"/>
          <w:color w:val="2D2D2B"/>
        </w:rPr>
        <w:t xml:space="preserve">In </w:t>
      </w:r>
      <w:r>
        <w:rPr>
          <w:rFonts w:ascii="Arial" w:cs="Arial" w:eastAsia="Arial" w:hAnsi="Arial"/>
          <w:sz w:val="17"/>
          <w:szCs w:val="17"/>
          <w:color w:val="3F3F3D"/>
        </w:rPr>
        <w:t>Witness Whereof, the</w:t>
      </w:r>
      <w:r>
        <w:rPr>
          <w:rFonts w:ascii="Arial" w:cs="Arial" w:eastAsia="Arial" w:hAnsi="Arial"/>
          <w:sz w:val="17"/>
          <w:szCs w:val="17"/>
          <w:color w:val="2D2D2B"/>
        </w:rPr>
        <w:t xml:space="preserve"> </w:t>
      </w:r>
      <w:r>
        <w:rPr>
          <w:rFonts w:ascii="Arial" w:cs="Arial" w:eastAsia="Arial" w:hAnsi="Arial"/>
          <w:sz w:val="17"/>
          <w:szCs w:val="17"/>
          <w:color w:val="5D5D5B"/>
        </w:rPr>
        <w:t>c</w:t>
      </w:r>
      <w:r>
        <w:rPr>
          <w:rFonts w:ascii="Arial" w:cs="Arial" w:eastAsia="Arial" w:hAnsi="Arial"/>
          <w:sz w:val="17"/>
          <w:szCs w:val="17"/>
          <w:color w:val="3F3F3D"/>
        </w:rPr>
        <w:t>ompany</w:t>
      </w:r>
      <w:r>
        <w:rPr>
          <w:rFonts w:ascii="Arial" w:cs="Arial" w:eastAsia="Arial" w:hAnsi="Arial"/>
          <w:sz w:val="17"/>
          <w:szCs w:val="17"/>
          <w:color w:val="2D2D2B"/>
        </w:rPr>
        <w:t xml:space="preserve"> </w:t>
      </w:r>
      <w:r>
        <w:rPr>
          <w:rFonts w:ascii="Arial" w:cs="Arial" w:eastAsia="Arial" w:hAnsi="Arial"/>
          <w:sz w:val="17"/>
          <w:szCs w:val="17"/>
          <w:color w:val="5D5D5B"/>
        </w:rPr>
        <w:t>i</w:t>
      </w:r>
      <w:r>
        <w:rPr>
          <w:rFonts w:ascii="Arial" w:cs="Arial" w:eastAsia="Arial" w:hAnsi="Arial"/>
          <w:sz w:val="17"/>
          <w:szCs w:val="17"/>
          <w:color w:val="3F3F3D"/>
        </w:rPr>
        <w:t>ssu</w:t>
      </w:r>
      <w:r>
        <w:rPr>
          <w:rFonts w:ascii="Arial" w:cs="Arial" w:eastAsia="Arial" w:hAnsi="Arial"/>
          <w:sz w:val="17"/>
          <w:szCs w:val="17"/>
          <w:color w:val="5D5D5B"/>
        </w:rPr>
        <w:t>i</w:t>
      </w:r>
      <w:r>
        <w:rPr>
          <w:rFonts w:ascii="Arial" w:cs="Arial" w:eastAsia="Arial" w:hAnsi="Arial"/>
          <w:sz w:val="17"/>
          <w:szCs w:val="17"/>
          <w:color w:val="3F3F3D"/>
        </w:rPr>
        <w:t>ng this policy has caused this policy to be signed by its</w:t>
      </w:r>
      <w:r>
        <w:rPr>
          <w:rFonts w:ascii="Arial" w:cs="Arial" w:eastAsia="Arial" w:hAnsi="Arial"/>
          <w:sz w:val="17"/>
          <w:szCs w:val="17"/>
          <w:color w:val="2D2D2B"/>
        </w:rPr>
        <w:t xml:space="preserve"> </w:t>
      </w:r>
      <w:r>
        <w:rPr>
          <w:rFonts w:ascii="Arial" w:cs="Arial" w:eastAsia="Arial" w:hAnsi="Arial"/>
          <w:sz w:val="17"/>
          <w:szCs w:val="17"/>
          <w:color w:val="5D5D5B"/>
        </w:rPr>
        <w:t>au</w:t>
      </w:r>
      <w:r>
        <w:rPr>
          <w:rFonts w:ascii="Arial" w:cs="Arial" w:eastAsia="Arial" w:hAnsi="Arial"/>
          <w:sz w:val="17"/>
          <w:szCs w:val="17"/>
          <w:color w:val="3F3F3D"/>
        </w:rPr>
        <w:t>thorized officer</w:t>
      </w:r>
      <w:r>
        <w:rPr>
          <w:rFonts w:ascii="Arial" w:cs="Arial" w:eastAsia="Arial" w:hAnsi="Arial"/>
          <w:sz w:val="17"/>
          <w:szCs w:val="17"/>
          <w:color w:val="5D5D5B"/>
        </w:rPr>
        <w:t>s</w:t>
      </w:r>
      <w:r>
        <w:rPr>
          <w:rFonts w:ascii="Arial" w:cs="Arial" w:eastAsia="Arial" w:hAnsi="Arial"/>
          <w:sz w:val="17"/>
          <w:szCs w:val="17"/>
          <w:color w:val="2D2D2B"/>
        </w:rPr>
        <w:t xml:space="preserve"> </w:t>
      </w:r>
      <w:r>
        <w:rPr>
          <w:rFonts w:ascii="Arial" w:cs="Arial" w:eastAsia="Arial" w:hAnsi="Arial"/>
          <w:sz w:val="17"/>
          <w:szCs w:val="17"/>
          <w:color w:val="3F3F3D"/>
        </w:rPr>
        <w:t>and</w:t>
      </w:r>
      <w:r>
        <w:rPr>
          <w:rFonts w:ascii="Arial" w:cs="Arial" w:eastAsia="Arial" w:hAnsi="Arial"/>
          <w:sz w:val="17"/>
          <w:szCs w:val="17"/>
          <w:color w:val="2D2D2B"/>
        </w:rPr>
        <w:t xml:space="preserve"> </w:t>
      </w:r>
      <w:r>
        <w:rPr>
          <w:rFonts w:ascii="Arial" w:cs="Arial" w:eastAsia="Arial" w:hAnsi="Arial"/>
          <w:sz w:val="17"/>
          <w:szCs w:val="17"/>
          <w:color w:val="5D5D5B"/>
        </w:rPr>
        <w:t>s</w:t>
      </w:r>
      <w:r>
        <w:rPr>
          <w:rFonts w:ascii="Arial" w:cs="Arial" w:eastAsia="Arial" w:hAnsi="Arial"/>
          <w:sz w:val="17"/>
          <w:szCs w:val="17"/>
          <w:color w:val="3F3F3D"/>
        </w:rPr>
        <w:t>igned by a duly authorized</w:t>
      </w:r>
      <w:r>
        <w:rPr>
          <w:rFonts w:ascii="Arial" w:cs="Arial" w:eastAsia="Arial" w:hAnsi="Arial"/>
          <w:sz w:val="17"/>
          <w:szCs w:val="17"/>
          <w:color w:val="2D2D2B"/>
        </w:rPr>
        <w:t xml:space="preserve"> </w:t>
      </w:r>
      <w:r>
        <w:rPr>
          <w:rFonts w:ascii="Arial" w:cs="Arial" w:eastAsia="Arial" w:hAnsi="Arial"/>
          <w:sz w:val="17"/>
          <w:szCs w:val="17"/>
          <w:color w:val="3F3F3D"/>
        </w:rPr>
        <w:t>representative of the compan</w:t>
      </w:r>
      <w:r>
        <w:rPr>
          <w:rFonts w:ascii="Arial" w:cs="Arial" w:eastAsia="Arial" w:hAnsi="Arial"/>
          <w:sz w:val="17"/>
          <w:szCs w:val="17"/>
          <w:color w:val="5D5D5B"/>
        </w:rPr>
        <w:t>y.</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3F3F3D"/>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85090</wp:posOffset>
            </wp:positionV>
            <wp:extent cx="4699635" cy="420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6">
                      <a:extLst>
                        <a:ext uri="{28A0092B-C50C-407E-A947-70E740481C1C}"/>
                      </a:extLst>
                    </a:blip>
                    <a:srcRect/>
                    <a:stretch>
                      <a:fillRect/>
                    </a:stretch>
                  </pic:blipFill>
                  <pic:spPr bwMode="auto">
                    <a:xfrm>
                      <a:off x="0" y="0"/>
                      <a:ext cx="4699635" cy="420370"/>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40"/>
        <w:spacing w:after="0"/>
        <w:rPr>
          <w:sz w:val="20"/>
          <w:szCs w:val="20"/>
          <w:color w:val="auto"/>
        </w:rPr>
      </w:pPr>
      <w:r>
        <w:rPr>
          <w:rFonts w:ascii="Arial" w:cs="Arial" w:eastAsia="Arial" w:hAnsi="Arial"/>
          <w:sz w:val="14"/>
          <w:szCs w:val="14"/>
          <w:color w:val="3F3F3D"/>
        </w:rPr>
        <w:t>Pr</w:t>
      </w:r>
      <w:r>
        <w:rPr>
          <w:rFonts w:ascii="Arial" w:cs="Arial" w:eastAsia="Arial" w:hAnsi="Arial"/>
          <w:sz w:val="14"/>
          <w:szCs w:val="14"/>
          <w:color w:val="5D5D5B"/>
        </w:rPr>
        <w:t>es</w:t>
      </w:r>
      <w:r>
        <w:rPr>
          <w:rFonts w:ascii="Arial" w:cs="Arial" w:eastAsia="Arial" w:hAnsi="Arial"/>
          <w:sz w:val="14"/>
          <w:szCs w:val="14"/>
          <w:color w:val="3F3F3D"/>
        </w:rPr>
        <w:t>id</w:t>
      </w:r>
      <w:r>
        <w:rPr>
          <w:rFonts w:ascii="Arial" w:cs="Arial" w:eastAsia="Arial" w:hAnsi="Arial"/>
          <w:sz w:val="14"/>
          <w:szCs w:val="14"/>
          <w:color w:val="5D5D5B"/>
        </w:rPr>
        <w:t>e</w:t>
      </w:r>
      <w:r>
        <w:rPr>
          <w:rFonts w:ascii="Arial" w:cs="Arial" w:eastAsia="Arial" w:hAnsi="Arial"/>
          <w:sz w:val="14"/>
          <w:szCs w:val="14"/>
          <w:color w:val="3F3F3D"/>
        </w:rPr>
        <w:t>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520"/>
        <w:spacing w:after="0"/>
        <w:rPr>
          <w:sz w:val="20"/>
          <w:szCs w:val="20"/>
          <w:color w:val="auto"/>
        </w:rPr>
      </w:pPr>
      <w:r>
        <w:rPr>
          <w:rFonts w:ascii="Arial" w:cs="Arial" w:eastAsia="Arial" w:hAnsi="Arial"/>
          <w:sz w:val="14"/>
          <w:szCs w:val="14"/>
          <w:color w:val="3F3F3D"/>
        </w:rPr>
        <w:t>D</w:t>
      </w:r>
      <w:r>
        <w:rPr>
          <w:rFonts w:ascii="Arial" w:cs="Arial" w:eastAsia="Arial" w:hAnsi="Arial"/>
          <w:sz w:val="14"/>
          <w:szCs w:val="14"/>
          <w:color w:val="5D5D5B"/>
        </w:rPr>
        <w:t>ate</w:t>
      </w:r>
    </w:p>
    <w:p>
      <w:pPr>
        <w:spacing w:after="0" w:line="71" w:lineRule="exact"/>
        <w:rPr>
          <w:sz w:val="20"/>
          <w:szCs w:val="20"/>
          <w:color w:val="auto"/>
        </w:rPr>
      </w:pPr>
    </w:p>
    <w:p>
      <w:pPr>
        <w:jc w:val="right"/>
        <w:ind w:right="2120"/>
        <w:spacing w:after="0"/>
        <w:rPr>
          <w:sz w:val="20"/>
          <w:szCs w:val="20"/>
          <w:color w:val="auto"/>
        </w:rPr>
      </w:pPr>
      <w:r>
        <w:rPr>
          <w:rFonts w:ascii="Arial" w:cs="Arial" w:eastAsia="Arial" w:hAnsi="Arial"/>
          <w:sz w:val="16"/>
          <w:szCs w:val="16"/>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3F3F3D"/>
        </w:rPr>
        <w:t>Producer</w:t>
      </w:r>
      <w:r>
        <w:rPr>
          <w:rFonts w:ascii="Arial" w:cs="Arial" w:eastAsia="Arial" w:hAnsi="Arial"/>
          <w:sz w:val="17"/>
          <w:szCs w:val="17"/>
          <w:color w:val="5D5D5B"/>
        </w:rPr>
        <w:t>'</w:t>
      </w:r>
      <w:r>
        <w:rPr>
          <w:rFonts w:ascii="Arial" w:cs="Arial" w:eastAsia="Arial" w:hAnsi="Arial"/>
          <w:sz w:val="17"/>
          <w:szCs w:val="17"/>
          <w:color w:val="3F3F3D"/>
        </w:rPr>
        <w:t xml:space="preserve">s Name </w:t>
      </w:r>
      <w:r>
        <w:rPr>
          <w:rFonts w:ascii="Arial" w:cs="Arial" w:eastAsia="Arial" w:hAnsi="Arial"/>
          <w:sz w:val="16"/>
          <w:szCs w:val="16"/>
          <w:color w:val="3F3F3D"/>
        </w:rPr>
        <w:t>&amp;</w:t>
      </w:r>
      <w:r>
        <w:rPr>
          <w:rFonts w:ascii="Arial" w:cs="Arial" w:eastAsia="Arial" w:hAnsi="Arial"/>
          <w:sz w:val="17"/>
          <w:szCs w:val="17"/>
          <w:color w:val="3F3F3D"/>
        </w:rPr>
        <w:t xml:space="preserve"> Add</w:t>
      </w:r>
      <w:r>
        <w:rPr>
          <w:rFonts w:ascii="Arial" w:cs="Arial" w:eastAsia="Arial" w:hAnsi="Arial"/>
          <w:sz w:val="17"/>
          <w:szCs w:val="17"/>
          <w:color w:val="5D5D5B"/>
        </w:rPr>
        <w:t>res</w:t>
      </w:r>
      <w:r>
        <w:rPr>
          <w:rFonts w:ascii="Arial" w:cs="Arial" w:eastAsia="Arial" w:hAnsi="Arial"/>
          <w:sz w:val="17"/>
          <w:szCs w:val="17"/>
          <w:color w:val="3F3F3D"/>
        </w:rPr>
        <w:t>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3F3F3D"/>
        </w:rPr>
        <w:t xml:space="preserve">MARSH </w:t>
      </w:r>
      <w:r>
        <w:rPr>
          <w:rFonts w:ascii="Arial" w:cs="Arial" w:eastAsia="Arial" w:hAnsi="Arial"/>
          <w:sz w:val="17"/>
          <w:szCs w:val="17"/>
          <w:color w:val="2D2D2B"/>
        </w:rPr>
        <w:t>USA</w:t>
      </w:r>
      <w:r>
        <w:rPr>
          <w:rFonts w:ascii="Arial" w:cs="Arial" w:eastAsia="Arial" w:hAnsi="Arial"/>
          <w:sz w:val="17"/>
          <w:szCs w:val="17"/>
          <w:color w:val="5D5D5B"/>
        </w:rPr>
        <w:t>,</w:t>
      </w:r>
      <w:r>
        <w:rPr>
          <w:rFonts w:ascii="Arial" w:cs="Arial" w:eastAsia="Arial" w:hAnsi="Arial"/>
          <w:sz w:val="17"/>
          <w:szCs w:val="17"/>
          <w:color w:val="3F3F3D"/>
        </w:rPr>
        <w:t xml:space="preserve"> INC</w:t>
      </w:r>
      <w:r>
        <w:rPr>
          <w:rFonts w:ascii="Arial" w:cs="Arial" w:eastAsia="Arial" w:hAnsi="Arial"/>
          <w:sz w:val="17"/>
          <w:szCs w:val="17"/>
          <w:color w:val="5D5D5B"/>
        </w:rPr>
        <w:t>.</w:t>
      </w:r>
      <w:r>
        <w:rPr>
          <w:rFonts w:ascii="Arial" w:cs="Arial" w:eastAsia="Arial" w:hAnsi="Arial"/>
          <w:sz w:val="17"/>
          <w:szCs w:val="17"/>
          <w:color w:val="3F3F3D"/>
        </w:rPr>
        <w:t xml:space="preserve"> (SOUTHWEST</w:t>
      </w:r>
      <w:r>
        <w:rPr>
          <w:rFonts w:ascii="Arial" w:cs="Arial" w:eastAsia="Arial" w:hAnsi="Arial"/>
          <w:sz w:val="17"/>
          <w:szCs w:val="17"/>
          <w:color w:val="5D5D5B"/>
        </w:rPr>
        <w: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3F3F3D"/>
        </w:rPr>
        <w:t xml:space="preserve">7201 </w:t>
      </w:r>
      <w:r>
        <w:rPr>
          <w:rFonts w:ascii="Arial" w:cs="Arial" w:eastAsia="Arial" w:hAnsi="Arial"/>
          <w:sz w:val="17"/>
          <w:szCs w:val="17"/>
          <w:color w:val="2D2D2B"/>
        </w:rPr>
        <w:t>W</w:t>
      </w:r>
      <w:r>
        <w:rPr>
          <w:rFonts w:ascii="Arial" w:cs="Arial" w:eastAsia="Arial" w:hAnsi="Arial"/>
          <w:sz w:val="17"/>
          <w:szCs w:val="17"/>
          <w:color w:val="3F3F3D"/>
        </w:rPr>
        <w:t xml:space="preserve"> LK MEAD BLVD #400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3F3F3D"/>
        </w:rPr>
        <w:t>LAS VEGAS</w:t>
      </w:r>
      <w:r>
        <w:rPr>
          <w:rFonts w:ascii="Arial" w:cs="Arial" w:eastAsia="Arial" w:hAnsi="Arial"/>
          <w:sz w:val="17"/>
          <w:szCs w:val="17"/>
          <w:color w:val="5D5D5B"/>
        </w:rPr>
        <w:t>,</w:t>
      </w:r>
      <w:r>
        <w:rPr>
          <w:rFonts w:ascii="Arial" w:cs="Arial" w:eastAsia="Arial" w:hAnsi="Arial"/>
          <w:sz w:val="17"/>
          <w:szCs w:val="17"/>
          <w:color w:val="3F3F3D"/>
        </w:rPr>
        <w:t xml:space="preserve"> NV 89128</w:t>
      </w:r>
      <w:r>
        <w:rPr>
          <w:rFonts w:ascii="Arial" w:cs="Arial" w:eastAsia="Arial" w:hAnsi="Arial"/>
          <w:sz w:val="17"/>
          <w:szCs w:val="17"/>
          <w:color w:val="5D5D5B"/>
        </w:rPr>
        <w:t>-</w:t>
      </w:r>
      <w:r>
        <w:rPr>
          <w:rFonts w:ascii="Arial" w:cs="Arial" w:eastAsia="Arial" w:hAnsi="Arial"/>
          <w:sz w:val="17"/>
          <w:szCs w:val="17"/>
          <w:color w:val="3F3F3D"/>
        </w:rPr>
        <w:t>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14"/>
          <w:szCs w:val="14"/>
          <w:color w:val="5D5D5B"/>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318135</wp:posOffset>
            </wp:positionV>
            <wp:extent cx="110617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7">
                      <a:extLst>
                        <a:ext uri="{28A0092B-C50C-407E-A947-70E740481C1C}"/>
                      </a:extLst>
                    </a:blip>
                    <a:srcRect/>
                    <a:stretch>
                      <a:fillRect/>
                    </a:stretch>
                  </pic:blipFill>
                  <pic:spPr bwMode="auto">
                    <a:xfrm>
                      <a:off x="0" y="0"/>
                      <a:ext cx="110617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2"/>
          <w:szCs w:val="12"/>
          <w:color w:val="5D5D5B"/>
        </w:rPr>
        <w:t>A</w:t>
      </w:r>
      <w:r>
        <w:rPr>
          <w:rFonts w:ascii="Arial" w:cs="Arial" w:eastAsia="Arial" w:hAnsi="Arial"/>
          <w:sz w:val="12"/>
          <w:szCs w:val="12"/>
          <w:color w:val="3F3F3D"/>
        </w:rPr>
        <w:t>ut</w:t>
      </w:r>
      <w:r>
        <w:rPr>
          <w:rFonts w:ascii="Arial" w:cs="Arial" w:eastAsia="Arial" w:hAnsi="Arial"/>
          <w:sz w:val="12"/>
          <w:szCs w:val="12"/>
          <w:color w:val="5D5D5B"/>
        </w:rPr>
        <w:t>ho</w:t>
      </w:r>
      <w:r>
        <w:rPr>
          <w:rFonts w:ascii="Arial" w:cs="Arial" w:eastAsia="Arial" w:hAnsi="Arial"/>
          <w:sz w:val="12"/>
          <w:szCs w:val="12"/>
          <w:color w:val="3F3F3D"/>
        </w:rPr>
        <w:t>r</w:t>
      </w:r>
      <w:r>
        <w:rPr>
          <w:rFonts w:ascii="Arial" w:cs="Arial" w:eastAsia="Arial" w:hAnsi="Arial"/>
          <w:sz w:val="12"/>
          <w:szCs w:val="12"/>
          <w:color w:val="5D5D5B"/>
        </w:rPr>
        <w:t>ize</w:t>
      </w:r>
      <w:r>
        <w:rPr>
          <w:rFonts w:ascii="Arial" w:cs="Arial" w:eastAsia="Arial" w:hAnsi="Arial"/>
          <w:sz w:val="12"/>
          <w:szCs w:val="12"/>
          <w:color w:val="3F3F3D"/>
        </w:rPr>
        <w:t>d R</w:t>
      </w:r>
      <w:r>
        <w:rPr>
          <w:rFonts w:ascii="Arial" w:cs="Arial" w:eastAsia="Arial" w:hAnsi="Arial"/>
          <w:sz w:val="12"/>
          <w:szCs w:val="12"/>
          <w:color w:val="5D5D5B"/>
        </w:rPr>
        <w:t>ep</w:t>
      </w:r>
      <w:r>
        <w:rPr>
          <w:rFonts w:ascii="Arial" w:cs="Arial" w:eastAsia="Arial" w:hAnsi="Arial"/>
          <w:sz w:val="12"/>
          <w:szCs w:val="12"/>
          <w:color w:val="3F3F3D"/>
        </w:rPr>
        <w:t>r</w:t>
      </w:r>
      <w:r>
        <w:rPr>
          <w:rFonts w:ascii="Arial" w:cs="Arial" w:eastAsia="Arial" w:hAnsi="Arial"/>
          <w:sz w:val="12"/>
          <w:szCs w:val="12"/>
          <w:color w:val="5D5D5B"/>
        </w:rPr>
        <w:t>ese</w:t>
      </w:r>
      <w:r>
        <w:rPr>
          <w:rFonts w:ascii="Arial" w:cs="Arial" w:eastAsia="Arial" w:hAnsi="Arial"/>
          <w:sz w:val="12"/>
          <w:szCs w:val="12"/>
          <w:color w:val="3F3F3D"/>
        </w:rPr>
        <w:t>nt</w:t>
      </w:r>
      <w:r>
        <w:rPr>
          <w:rFonts w:ascii="Arial" w:cs="Arial" w:eastAsia="Arial" w:hAnsi="Arial"/>
          <w:sz w:val="12"/>
          <w:szCs w:val="12"/>
          <w:color w:val="5D5D5B"/>
        </w:rPr>
        <w:t>a</w:t>
      </w:r>
      <w:r>
        <w:rPr>
          <w:rFonts w:ascii="Arial" w:cs="Arial" w:eastAsia="Arial" w:hAnsi="Arial"/>
          <w:sz w:val="12"/>
          <w:szCs w:val="12"/>
          <w:color w:val="2D2D2B"/>
        </w:rPr>
        <w:t>ti</w:t>
      </w:r>
      <w:r>
        <w:rPr>
          <w:rFonts w:ascii="Arial" w:cs="Arial" w:eastAsia="Arial" w:hAnsi="Arial"/>
          <w:sz w:val="12"/>
          <w:szCs w:val="12"/>
          <w:color w:val="5D5D5B"/>
        </w:rPr>
        <w:t>ve</w:t>
      </w:r>
    </w:p>
    <w:p>
      <w:pPr>
        <w:spacing w:after="0" w:line="3331" w:lineRule="exact"/>
        <w:rPr>
          <w:sz w:val="20"/>
          <w:szCs w:val="20"/>
          <w:color w:val="auto"/>
        </w:rPr>
      </w:pPr>
    </w:p>
    <w:p>
      <w:pPr>
        <w:sectPr>
          <w:pgSz w:w="11900" w:h="16838" w:orient="portrait"/>
          <w:cols w:equalWidth="0" w:num="2">
            <w:col w:w="5080" w:space="720"/>
            <w:col w:w="5620"/>
          </w:cols>
          <w:pgMar w:left="240" w:top="16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34"/>
          <w:szCs w:val="34"/>
          <w:b w:val="1"/>
          <w:bCs w:val="1"/>
          <w:color w:val="3F3F3D"/>
        </w:rPr>
        <w:t>Chubb. Insured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4080" w:val="left"/>
        </w:tabs>
        <w:rPr>
          <w:sz w:val="20"/>
          <w:szCs w:val="20"/>
          <w:color w:val="auto"/>
        </w:rPr>
      </w:pPr>
      <w:r>
        <w:rPr>
          <w:rFonts w:ascii="Arial" w:cs="Arial" w:eastAsia="Arial" w:hAnsi="Arial"/>
          <w:sz w:val="14"/>
          <w:szCs w:val="14"/>
          <w:i w:val="1"/>
          <w:iCs w:val="1"/>
          <w:u w:val="single" w:color="auto"/>
          <w:color w:val="464644"/>
        </w:rPr>
        <w:t>Group</w:t>
      </w:r>
      <w:r>
        <w:rPr>
          <w:rFonts w:ascii="Arial" w:cs="Arial" w:eastAsia="Arial" w:hAnsi="Arial"/>
          <w:sz w:val="14"/>
          <w:szCs w:val="14"/>
          <w:i w:val="1"/>
          <w:iCs w:val="1"/>
          <w:color w:val="464644"/>
        </w:rPr>
        <w:t xml:space="preserve"> </w:t>
      </w:r>
      <w:r>
        <w:rPr>
          <w:rFonts w:ascii="Arial" w:cs="Arial" w:eastAsia="Arial" w:hAnsi="Arial"/>
          <w:sz w:val="14"/>
          <w:szCs w:val="14"/>
          <w:i w:val="1"/>
          <w:iCs w:val="1"/>
          <w:u w:val="single" w:color="auto"/>
          <w:color w:val="363636"/>
        </w:rPr>
        <w:t>Personal</w:t>
      </w:r>
      <w:r>
        <w:rPr>
          <w:rFonts w:ascii="Arial" w:cs="Arial" w:eastAsia="Arial" w:hAnsi="Arial"/>
          <w:sz w:val="14"/>
          <w:szCs w:val="14"/>
          <w:i w:val="1"/>
          <w:iCs w:val="1"/>
          <w:color w:val="464644"/>
        </w:rPr>
        <w:t xml:space="preserve"> </w:t>
      </w:r>
      <w:r>
        <w:rPr>
          <w:rFonts w:ascii="Arial" w:cs="Arial" w:eastAsia="Arial" w:hAnsi="Arial"/>
          <w:sz w:val="15"/>
          <w:szCs w:val="15"/>
          <w:u w:val="single" w:color="auto"/>
          <w:color w:val="464644"/>
        </w:rPr>
        <w:t>Excess</w:t>
      </w:r>
      <w:r>
        <w:rPr>
          <w:rFonts w:ascii="Arial" w:cs="Arial" w:eastAsia="Arial" w:hAnsi="Arial"/>
          <w:sz w:val="14"/>
          <w:szCs w:val="14"/>
          <w:i w:val="1"/>
          <w:iCs w:val="1"/>
          <w:color w:val="464644"/>
        </w:rPr>
        <w:t xml:space="preserve"> </w:t>
      </w:r>
      <w:r>
        <w:rPr>
          <w:rFonts w:ascii="Arial" w:cs="Arial" w:eastAsia="Arial" w:hAnsi="Arial"/>
          <w:sz w:val="14"/>
          <w:szCs w:val="14"/>
          <w:i w:val="1"/>
          <w:iCs w:val="1"/>
          <w:u w:val="single" w:color="auto"/>
          <w:color w:val="363636"/>
        </w:rPr>
        <w:t>Liability</w:t>
      </w:r>
      <w:r>
        <w:rPr>
          <w:rFonts w:ascii="Arial" w:cs="Arial" w:eastAsia="Arial" w:hAnsi="Arial"/>
          <w:sz w:val="14"/>
          <w:szCs w:val="14"/>
          <w:i w:val="1"/>
          <w:iCs w:val="1"/>
          <w:color w:val="464644"/>
        </w:rPr>
        <w:t xml:space="preserve"> Policy</w:t>
      </w:r>
      <w:r>
        <w:rPr>
          <w:sz w:val="20"/>
          <w:szCs w:val="20"/>
          <w:color w:val="auto"/>
        </w:rPr>
        <w:tab/>
      </w:r>
      <w:r>
        <w:rPr>
          <w:rFonts w:ascii="Arial" w:cs="Arial" w:eastAsia="Arial" w:hAnsi="Arial"/>
          <w:sz w:val="14"/>
          <w:szCs w:val="14"/>
          <w:i w:val="1"/>
          <w:iCs w:val="1"/>
          <w:color w:val="464644"/>
        </w:rPr>
        <w:t>last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-8890</wp:posOffset>
            </wp:positionV>
            <wp:extent cx="16300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8">
                      <a:extLst>
                        <a:ext uri="{28A0092B-C50C-407E-A947-70E740481C1C}"/>
                      </a:extLst>
                    </a:blip>
                    <a:srcRect/>
                    <a:stretch>
                      <a:fillRect/>
                    </a:stretch>
                  </pic:blipFill>
                  <pic:spPr bwMode="auto">
                    <a:xfrm>
                      <a:off x="0" y="0"/>
                      <a:ext cx="1630045" cy="8890"/>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type w:val="continuous"/>
        </w:sectPr>
      </w:pPr>
    </w:p>
    <w:p>
      <w:pPr>
        <w:spacing w:after="0" w:line="44" w:lineRule="exact"/>
        <w:rPr>
          <w:sz w:val="20"/>
          <w:szCs w:val="20"/>
          <w:color w:val="auto"/>
        </w:rPr>
      </w:pPr>
    </w:p>
    <w:p>
      <w:pPr>
        <w:spacing w:after="0"/>
        <w:tabs>
          <w:tab w:leader="none" w:pos="2000" w:val="left"/>
          <w:tab w:leader="none" w:pos="3840" w:val="left"/>
        </w:tabs>
        <w:rPr>
          <w:sz w:val="20"/>
          <w:szCs w:val="20"/>
          <w:color w:val="auto"/>
        </w:rPr>
      </w:pPr>
      <w:r>
        <w:rPr>
          <w:rFonts w:ascii="Arial" w:cs="Arial" w:eastAsia="Arial" w:hAnsi="Arial"/>
          <w:sz w:val="14"/>
          <w:szCs w:val="14"/>
          <w:i w:val="1"/>
          <w:iCs w:val="1"/>
          <w:color w:val="464644"/>
        </w:rPr>
        <w:t xml:space="preserve">Form </w:t>
      </w:r>
      <w:r>
        <w:rPr>
          <w:rFonts w:ascii="Arial" w:cs="Arial" w:eastAsia="Arial" w:hAnsi="Arial"/>
          <w:sz w:val="14"/>
          <w:szCs w:val="14"/>
          <w:i w:val="1"/>
          <w:iCs w:val="1"/>
          <w:color w:val="363636"/>
        </w:rPr>
        <w:t>10-02-0690</w:t>
      </w:r>
      <w:r>
        <w:rPr>
          <w:rFonts w:ascii="Arial" w:cs="Arial" w:eastAsia="Arial" w:hAnsi="Arial"/>
          <w:sz w:val="14"/>
          <w:szCs w:val="14"/>
          <w:i w:val="1"/>
          <w:iCs w:val="1"/>
          <w:color w:val="464644"/>
        </w:rPr>
        <w:t xml:space="preserve"> (Rev. 8-07)</w:t>
      </w:r>
      <w:r>
        <w:rPr>
          <w:rFonts w:ascii="Arial" w:cs="Arial" w:eastAsia="Arial" w:hAnsi="Arial"/>
          <w:sz w:val="14"/>
          <w:szCs w:val="14"/>
          <w:i w:val="1"/>
          <w:iCs w:val="1"/>
          <w:color w:val="363636"/>
        </w:rPr>
        <w:tab/>
        <w:t>Declarations</w:t>
      </w:r>
      <w:r>
        <w:rPr>
          <w:sz w:val="20"/>
          <w:szCs w:val="20"/>
          <w:color w:val="auto"/>
        </w:rPr>
        <w:tab/>
      </w:r>
      <w:r>
        <w:rPr>
          <w:rFonts w:ascii="Arial" w:cs="Arial" w:eastAsia="Arial" w:hAnsi="Arial"/>
          <w:sz w:val="14"/>
          <w:szCs w:val="14"/>
          <w:i w:val="1"/>
          <w:iCs w:val="1"/>
          <w:color w:val="363636"/>
        </w:rPr>
        <w:t>Page 3</w:t>
      </w:r>
    </w:p>
    <w:p>
      <w:pPr>
        <w:sectPr>
          <w:pgSz w:w="11900" w:h="16838" w:orient="portrait"/>
          <w:cols w:equalWidth="0" w:num="1">
            <w:col w:w="11420"/>
          </w:cols>
          <w:pgMar w:left="240" w:top="162" w:right="239" w:bottom="1440" w:gutter="0" w:footer="0" w:header="0"/>
          <w:type w:val="continuous"/>
        </w:sectPr>
      </w:pPr>
    </w:p>
    <w:bookmarkStart w:id="133" w:name="page134"/>
    <w:bookmarkEnd w:id="133"/>
    <w:p>
      <w:pPr>
        <w:spacing w:after="0"/>
        <w:tabs>
          <w:tab w:leader="none" w:pos="2000" w:val="left"/>
          <w:tab w:leader="none" w:pos="3840" w:val="left"/>
        </w:tabs>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p>
      <w:pPr>
        <w:ind w:left="4160"/>
        <w:spacing w:after="0"/>
        <w:rPr>
          <w:sz w:val="20"/>
          <w:szCs w:val="20"/>
          <w:color w:val="auto"/>
        </w:rPr>
      </w:pPr>
      <w:r>
        <w:rPr>
          <w:rFonts w:ascii="Arial" w:cs="Arial" w:eastAsia="Arial" w:hAnsi="Arial"/>
          <w:sz w:val="23"/>
          <w:szCs w:val="23"/>
          <w:b w:val="1"/>
          <w:bCs w:val="1"/>
          <w:i w:val="1"/>
          <w:iCs w:val="1"/>
          <w:color w:val="42423F"/>
        </w:rPr>
        <w:t>Schedule of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110617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9">
                      <a:extLst>
                        <a:ext uri="{28A0092B-C50C-407E-A947-70E740481C1C}"/>
                      </a:extLst>
                    </a:blip>
                    <a:srcRect/>
                    <a:stretch>
                      <a:fillRect/>
                    </a:stretch>
                  </pic:blipFill>
                  <pic:spPr bwMode="auto">
                    <a:xfrm>
                      <a:off x="0" y="0"/>
                      <a:ext cx="1106170" cy="146050"/>
                    </a:xfrm>
                    <a:prstGeom prst="rect">
                      <a:avLst/>
                    </a:prstGeom>
                    <a:noFill/>
                  </pic:spPr>
                </pic:pic>
              </a:graphicData>
            </a:graphic>
          </wp:anchor>
        </w:drawing>
      </w:r>
    </w:p>
    <w:p>
      <w:pPr>
        <w:sectPr>
          <w:pgSz w:w="11900" w:h="16838" w:orient="portrait"/>
          <w:cols w:equalWidth="0" w:num="1">
            <w:col w:w="10079"/>
          </w:cols>
          <w:pgMar w:left="380" w:top="7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42423F"/>
        </w:rPr>
        <w:t>Policy Number</w:t>
      </w:r>
      <w:r>
        <w:rPr>
          <w:rFonts w:ascii="Arial" w:cs="Arial" w:eastAsia="Arial" w:hAnsi="Arial"/>
          <w:sz w:val="17"/>
          <w:szCs w:val="17"/>
          <w:color w:val="1F1F1D"/>
        </w:rPr>
        <w: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42423F"/>
        </w:rPr>
        <w:t>Insured: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42423F"/>
        </w:rPr>
        <w:t>BOOZ ALLEN HAMILTON INC</w:t>
      </w:r>
    </w:p>
    <w:p>
      <w:pPr>
        <w:spacing w:after="0" w:line="231" w:lineRule="exact"/>
        <w:rPr>
          <w:sz w:val="20"/>
          <w:szCs w:val="20"/>
          <w:color w:val="auto"/>
        </w:rPr>
      </w:pPr>
    </w:p>
    <w:p>
      <w:pPr>
        <w:sectPr>
          <w:pgSz w:w="11900" w:h="16838" w:orient="portrait"/>
          <w:cols w:equalWidth="0" w:num="2">
            <w:col w:w="2300" w:space="720"/>
            <w:col w:w="7059"/>
          </w:cols>
          <w:pgMar w:left="380" w:top="737" w:right="1440" w:bottom="1440" w:gutter="0" w:footer="0" w:header="0"/>
          <w:type w:val="continuous"/>
        </w:sectPr>
      </w:pPr>
    </w:p>
    <w:p>
      <w:pPr>
        <w:spacing w:after="0" w:line="79" w:lineRule="exact"/>
        <w:rPr>
          <w:sz w:val="20"/>
          <w:szCs w:val="20"/>
          <w:color w:val="auto"/>
        </w:rPr>
      </w:pPr>
    </w:p>
    <w:p>
      <w:pPr>
        <w:ind w:left="3020"/>
        <w:spacing w:after="0"/>
        <w:rPr>
          <w:sz w:val="20"/>
          <w:szCs w:val="20"/>
          <w:color w:val="auto"/>
        </w:rPr>
      </w:pPr>
      <w:r>
        <w:rPr>
          <w:rFonts w:ascii="Arial" w:cs="Arial" w:eastAsia="Arial" w:hAnsi="Arial"/>
          <w:sz w:val="17"/>
          <w:szCs w:val="17"/>
          <w:color w:val="42423F"/>
        </w:rPr>
        <w:t>Group Personal Excess Program</w:t>
      </w:r>
    </w:p>
    <w:p>
      <w:pPr>
        <w:spacing w:after="0" w:line="286" w:lineRule="exact"/>
        <w:rPr>
          <w:sz w:val="20"/>
          <w:szCs w:val="20"/>
          <w:color w:val="auto"/>
        </w:rPr>
      </w:pPr>
    </w:p>
    <w:p>
      <w:pPr>
        <w:ind w:left="3020"/>
        <w:spacing w:after="0"/>
        <w:rPr>
          <w:sz w:val="20"/>
          <w:szCs w:val="20"/>
          <w:color w:val="auto"/>
        </w:rPr>
      </w:pPr>
      <w:r>
        <w:rPr>
          <w:rFonts w:ascii="Arial" w:cs="Arial" w:eastAsia="Arial" w:hAnsi="Arial"/>
          <w:sz w:val="18"/>
          <w:szCs w:val="18"/>
          <w:color w:val="565654"/>
        </w:rPr>
        <w:t xml:space="preserve">JANUARY </w:t>
      </w:r>
      <w:r>
        <w:rPr>
          <w:rFonts w:ascii="Arial" w:cs="Arial" w:eastAsia="Arial" w:hAnsi="Arial"/>
          <w:sz w:val="16"/>
          <w:szCs w:val="16"/>
          <w:color w:val="42423F"/>
        </w:rPr>
        <w:t>01, 2019 to</w:t>
      </w:r>
      <w:r>
        <w:rPr>
          <w:rFonts w:ascii="Arial" w:cs="Arial" w:eastAsia="Arial" w:hAnsi="Arial"/>
          <w:sz w:val="18"/>
          <w:szCs w:val="18"/>
          <w:color w:val="565654"/>
        </w:rPr>
        <w:t xml:space="preserve"> </w:t>
      </w:r>
      <w:r>
        <w:rPr>
          <w:rFonts w:ascii="Arial" w:cs="Arial" w:eastAsia="Arial" w:hAnsi="Arial"/>
          <w:sz w:val="18"/>
          <w:szCs w:val="18"/>
          <w:color w:val="42423F"/>
        </w:rPr>
        <w:t>JANUARY</w:t>
      </w:r>
      <w:r>
        <w:rPr>
          <w:rFonts w:ascii="Arial" w:cs="Arial" w:eastAsia="Arial" w:hAnsi="Arial"/>
          <w:sz w:val="18"/>
          <w:szCs w:val="18"/>
          <w:color w:val="565654"/>
        </w:rPr>
        <w:t xml:space="preserve"> </w:t>
      </w:r>
      <w:r>
        <w:rPr>
          <w:rFonts w:ascii="Arial" w:cs="Arial" w:eastAsia="Arial" w:hAnsi="Arial"/>
          <w:sz w:val="16"/>
          <w:szCs w:val="16"/>
          <w:color w:val="42423F"/>
        </w:rPr>
        <w:t>01, 2020</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2F2F2D"/>
        </w:rPr>
        <w:t xml:space="preserve">Policy </w:t>
      </w:r>
      <w:r>
        <w:rPr>
          <w:rFonts w:ascii="Arial" w:cs="Arial" w:eastAsia="Arial" w:hAnsi="Arial"/>
          <w:sz w:val="17"/>
          <w:szCs w:val="17"/>
          <w:color w:val="42423F"/>
        </w:rPr>
        <w:t>Period From:</w:t>
      </w:r>
    </w:p>
    <w:p>
      <w:pPr>
        <w:sectPr>
          <w:pgSz w:w="11900" w:h="16838" w:orient="portrait"/>
          <w:cols w:equalWidth="0" w:num="1">
            <w:col w:w="10079"/>
          </w:cols>
          <w:pgMar w:left="380" w:top="73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2F2F2D"/>
        </w:rPr>
        <w:t xml:space="preserve">The following </w:t>
      </w:r>
      <w:r>
        <w:rPr>
          <w:rFonts w:ascii="Arial" w:cs="Arial" w:eastAsia="Arial" w:hAnsi="Arial"/>
          <w:sz w:val="17"/>
          <w:szCs w:val="17"/>
          <w:color w:val="42423F"/>
        </w:rPr>
        <w:t>is a</w:t>
      </w:r>
      <w:r>
        <w:rPr>
          <w:rFonts w:ascii="Arial" w:cs="Arial" w:eastAsia="Arial" w:hAnsi="Arial"/>
          <w:sz w:val="17"/>
          <w:szCs w:val="17"/>
          <w:color w:val="2F2F2D"/>
        </w:rPr>
        <w:t xml:space="preserve"> </w:t>
      </w:r>
      <w:r>
        <w:rPr>
          <w:rFonts w:ascii="Arial" w:cs="Arial" w:eastAsia="Arial" w:hAnsi="Arial"/>
          <w:sz w:val="17"/>
          <w:szCs w:val="17"/>
          <w:color w:val="565654"/>
        </w:rPr>
        <w:t>schedule</w:t>
      </w:r>
      <w:r>
        <w:rPr>
          <w:rFonts w:ascii="Arial" w:cs="Arial" w:eastAsia="Arial" w:hAnsi="Arial"/>
          <w:sz w:val="17"/>
          <w:szCs w:val="17"/>
          <w:color w:val="2F2F2D"/>
        </w:rPr>
        <w:t xml:space="preserve"> </w:t>
      </w:r>
      <w:r>
        <w:rPr>
          <w:rFonts w:ascii="Arial" w:cs="Arial" w:eastAsia="Arial" w:hAnsi="Arial"/>
          <w:sz w:val="17"/>
          <w:szCs w:val="17"/>
          <w:color w:val="42423F"/>
        </w:rPr>
        <w:t>of forms issued with the policy at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0" w:type="dxa"/>
        <w:tblCellMar>
          <w:top w:w="0" w:type="dxa"/>
          <w:left w:w="0" w:type="dxa"/>
          <w:bottom w:w="0" w:type="dxa"/>
          <w:right w:w="0" w:type="dxa"/>
        </w:tblCellMar>
      </w:tblPr>
      <w:tr>
        <w:trPr>
          <w:trHeight w:val="275"/>
        </w:trPr>
        <w:tc>
          <w:tcPr>
            <w:tcW w:w="5780" w:type="dxa"/>
            <w:vAlign w:val="bottom"/>
          </w:tcPr>
          <w:p>
            <w:pPr>
              <w:ind w:left="80"/>
              <w:spacing w:after="0"/>
              <w:rPr>
                <w:sz w:val="20"/>
                <w:szCs w:val="20"/>
                <w:color w:val="auto"/>
              </w:rPr>
            </w:pPr>
            <w:r>
              <w:rPr>
                <w:rFonts w:ascii="Arial" w:cs="Arial" w:eastAsia="Arial" w:hAnsi="Arial"/>
                <w:sz w:val="21"/>
                <w:szCs w:val="21"/>
                <w:b w:val="1"/>
                <w:bCs w:val="1"/>
                <w:color w:val="42423F"/>
              </w:rPr>
              <w:t>Form Name</w:t>
            </w:r>
          </w:p>
        </w:tc>
        <w:tc>
          <w:tcPr>
            <w:tcW w:w="2920" w:type="dxa"/>
            <w:vAlign w:val="bottom"/>
            <w:gridSpan w:val="2"/>
          </w:tcPr>
          <w:p>
            <w:pPr>
              <w:jc w:val="right"/>
              <w:ind w:right="35"/>
              <w:spacing w:after="0"/>
              <w:rPr>
                <w:sz w:val="20"/>
                <w:szCs w:val="20"/>
                <w:color w:val="auto"/>
              </w:rPr>
            </w:pPr>
            <w:r>
              <w:rPr>
                <w:rFonts w:ascii="Arial" w:cs="Arial" w:eastAsia="Arial" w:hAnsi="Arial"/>
                <w:sz w:val="21"/>
                <w:szCs w:val="21"/>
                <w:b w:val="1"/>
                <w:bCs w:val="1"/>
                <w:color w:val="42423F"/>
              </w:rPr>
              <w:t>Form Number</w:t>
            </w:r>
          </w:p>
        </w:tc>
      </w:tr>
      <w:tr>
        <w:trPr>
          <w:trHeight w:val="235"/>
        </w:trPr>
        <w:tc>
          <w:tcPr>
            <w:tcW w:w="5780" w:type="dxa"/>
            <w:vAlign w:val="bottom"/>
            <w:tcBorders>
              <w:bottom w:val="single" w:sz="8" w:color="484844"/>
            </w:tcBorders>
          </w:tcPr>
          <w:p>
            <w:pPr>
              <w:spacing w:after="0"/>
              <w:rPr>
                <w:sz w:val="20"/>
                <w:szCs w:val="20"/>
                <w:color w:val="auto"/>
              </w:rPr>
            </w:pPr>
          </w:p>
        </w:tc>
        <w:tc>
          <w:tcPr>
            <w:tcW w:w="2920" w:type="dxa"/>
            <w:vAlign w:val="bottom"/>
            <w:gridSpan w:val="2"/>
          </w:tcPr>
          <w:p>
            <w:pPr>
              <w:spacing w:after="0"/>
              <w:rPr>
                <w:sz w:val="20"/>
                <w:szCs w:val="20"/>
                <w:color w:val="auto"/>
              </w:rPr>
            </w:pPr>
          </w:p>
        </w:tc>
      </w:tr>
      <w:tr>
        <w:trPr>
          <w:trHeight w:val="239"/>
        </w:trPr>
        <w:tc>
          <w:tcPr>
            <w:tcW w:w="5780" w:type="dxa"/>
            <w:vAlign w:val="bottom"/>
          </w:tcPr>
          <w:p>
            <w:pPr>
              <w:ind w:left="80"/>
              <w:spacing w:after="0"/>
              <w:rPr>
                <w:sz w:val="20"/>
                <w:szCs w:val="20"/>
                <w:color w:val="auto"/>
              </w:rPr>
            </w:pPr>
            <w:r>
              <w:rPr>
                <w:rFonts w:ascii="Arial" w:cs="Arial" w:eastAsia="Arial" w:hAnsi="Arial"/>
                <w:sz w:val="19"/>
                <w:szCs w:val="19"/>
                <w:color w:val="auto"/>
              </w:rPr>
              <w:t>PRIVACY NOTICE - GROUP MASTER POLICY</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10-02-1058 (10/16)</w:t>
            </w:r>
          </w:p>
        </w:tc>
      </w:tr>
      <w:tr>
        <w:trPr>
          <w:trHeight w:val="297"/>
        </w:trPr>
        <w:tc>
          <w:tcPr>
            <w:tcW w:w="5780" w:type="dxa"/>
            <w:vAlign w:val="bottom"/>
          </w:tcPr>
          <w:p>
            <w:pPr>
              <w:ind w:left="80"/>
              <w:spacing w:after="0"/>
              <w:rPr>
                <w:sz w:val="20"/>
                <w:szCs w:val="20"/>
                <w:color w:val="auto"/>
              </w:rPr>
            </w:pPr>
            <w:r>
              <w:rPr>
                <w:rFonts w:ascii="Arial" w:cs="Arial" w:eastAsia="Arial" w:hAnsi="Arial"/>
                <w:sz w:val="19"/>
                <w:szCs w:val="19"/>
                <w:color w:val="auto"/>
              </w:rPr>
              <w:t>IMPORTANT NOTICE - OFAC</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99-10-0796 (09/04)</w:t>
            </w:r>
          </w:p>
        </w:tc>
      </w:tr>
      <w:tr>
        <w:trPr>
          <w:trHeight w:val="297"/>
        </w:trPr>
        <w:tc>
          <w:tcPr>
            <w:tcW w:w="5780" w:type="dxa"/>
            <w:vAlign w:val="bottom"/>
          </w:tcPr>
          <w:p>
            <w:pPr>
              <w:ind w:left="80"/>
              <w:spacing w:after="0"/>
              <w:rPr>
                <w:sz w:val="20"/>
                <w:szCs w:val="20"/>
                <w:color w:val="auto"/>
              </w:rPr>
            </w:pPr>
            <w:r>
              <w:rPr>
                <w:rFonts w:ascii="Arial" w:cs="Arial" w:eastAsia="Arial" w:hAnsi="Arial"/>
                <w:sz w:val="19"/>
                <w:szCs w:val="19"/>
                <w:color w:val="auto"/>
              </w:rPr>
              <w:t>AOD POLICYHOLDER NOTICE</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99-10-0872 (06/07)</w:t>
            </w:r>
          </w:p>
        </w:tc>
      </w:tr>
      <w:tr>
        <w:trPr>
          <w:trHeight w:val="297"/>
        </w:trPr>
        <w:tc>
          <w:tcPr>
            <w:tcW w:w="5780" w:type="dxa"/>
            <w:vAlign w:val="bottom"/>
          </w:tcPr>
          <w:p>
            <w:pPr>
              <w:ind w:left="80"/>
              <w:spacing w:after="0"/>
              <w:rPr>
                <w:sz w:val="20"/>
                <w:szCs w:val="20"/>
                <w:color w:val="auto"/>
              </w:rPr>
            </w:pPr>
            <w:r>
              <w:rPr>
                <w:rFonts w:ascii="Arial" w:cs="Arial" w:eastAsia="Arial" w:hAnsi="Arial"/>
                <w:sz w:val="19"/>
                <w:szCs w:val="19"/>
                <w:color w:val="auto"/>
              </w:rPr>
              <w:t>COVERAGE SUMMARY/DECLARATIONS</w:t>
            </w:r>
          </w:p>
        </w:tc>
        <w:tc>
          <w:tcPr>
            <w:tcW w:w="2920" w:type="dxa"/>
            <w:vAlign w:val="bottom"/>
            <w:gridSpan w:val="2"/>
          </w:tcPr>
          <w:p>
            <w:pPr>
              <w:jc w:val="right"/>
              <w:spacing w:after="0"/>
              <w:rPr>
                <w:sz w:val="20"/>
                <w:szCs w:val="20"/>
                <w:color w:val="auto"/>
              </w:rPr>
            </w:pPr>
            <w:r>
              <w:rPr>
                <w:rFonts w:ascii="Arial" w:cs="Arial" w:eastAsia="Arial" w:hAnsi="Arial"/>
                <w:sz w:val="17"/>
                <w:szCs w:val="17"/>
                <w:color w:val="auto"/>
              </w:rPr>
              <w:t>10-02-0690 (08/07)</w:t>
            </w:r>
          </w:p>
        </w:tc>
      </w:tr>
      <w:tr>
        <w:trPr>
          <w:trHeight w:val="297"/>
        </w:trPr>
        <w:tc>
          <w:tcPr>
            <w:tcW w:w="5780" w:type="dxa"/>
            <w:vAlign w:val="bottom"/>
          </w:tcPr>
          <w:p>
            <w:pPr>
              <w:ind w:left="80"/>
              <w:spacing w:after="0"/>
              <w:rPr>
                <w:sz w:val="20"/>
                <w:szCs w:val="20"/>
                <w:color w:val="auto"/>
              </w:rPr>
            </w:pPr>
            <w:r>
              <w:rPr>
                <w:rFonts w:ascii="Arial" w:cs="Arial" w:eastAsia="Arial" w:hAnsi="Arial"/>
                <w:sz w:val="19"/>
                <w:szCs w:val="19"/>
                <w:color w:val="auto"/>
              </w:rPr>
              <w:t>GROUP PERSONAL EXCESS - CONTRACT/POLICY TERMS</w:t>
            </w:r>
          </w:p>
        </w:tc>
        <w:tc>
          <w:tcPr>
            <w:tcW w:w="2320" w:type="dxa"/>
            <w:vAlign w:val="bottom"/>
          </w:tcPr>
          <w:p>
            <w:pPr>
              <w:jc w:val="right"/>
              <w:spacing w:after="0"/>
              <w:rPr>
                <w:sz w:val="20"/>
                <w:szCs w:val="20"/>
                <w:color w:val="auto"/>
              </w:rPr>
            </w:pPr>
            <w:r>
              <w:rPr>
                <w:rFonts w:ascii="Arial" w:cs="Arial" w:eastAsia="Arial" w:hAnsi="Arial"/>
                <w:sz w:val="17"/>
                <w:szCs w:val="17"/>
                <w:color w:val="auto"/>
              </w:rPr>
              <w:t>10-02-0691</w:t>
            </w:r>
          </w:p>
        </w:tc>
        <w:tc>
          <w:tcPr>
            <w:tcW w:w="600" w:type="dxa"/>
            <w:vAlign w:val="bottom"/>
          </w:tcPr>
          <w:p>
            <w:pPr>
              <w:jc w:val="right"/>
              <w:spacing w:after="0"/>
              <w:rPr>
                <w:sz w:val="20"/>
                <w:szCs w:val="20"/>
                <w:color w:val="auto"/>
              </w:rPr>
            </w:pPr>
            <w:r>
              <w:rPr>
                <w:rFonts w:ascii="Arial" w:cs="Arial" w:eastAsia="Arial" w:hAnsi="Arial"/>
                <w:sz w:val="17"/>
                <w:szCs w:val="17"/>
                <w:color w:val="auto"/>
              </w:rPr>
              <w:t>(07/16)</w:t>
            </w:r>
          </w:p>
        </w:tc>
      </w:tr>
      <w:tr>
        <w:trPr>
          <w:trHeight w:val="297"/>
        </w:trPr>
        <w:tc>
          <w:tcPr>
            <w:tcW w:w="5780" w:type="dxa"/>
            <w:vAlign w:val="bottom"/>
          </w:tcPr>
          <w:p>
            <w:pPr>
              <w:ind w:left="80"/>
              <w:spacing w:after="0"/>
              <w:rPr>
                <w:sz w:val="20"/>
                <w:szCs w:val="20"/>
                <w:color w:val="auto"/>
              </w:rPr>
            </w:pPr>
            <w:r>
              <w:rPr>
                <w:rFonts w:ascii="Arial" w:cs="Arial" w:eastAsia="Arial" w:hAnsi="Arial"/>
                <w:sz w:val="19"/>
                <w:szCs w:val="19"/>
                <w:color w:val="auto"/>
              </w:rPr>
              <w:t>ANNUAL PREMIUM ADJUSTMENT CLAUSE</w:t>
            </w:r>
          </w:p>
        </w:tc>
        <w:tc>
          <w:tcPr>
            <w:tcW w:w="2320" w:type="dxa"/>
            <w:vAlign w:val="bottom"/>
          </w:tcPr>
          <w:p>
            <w:pPr>
              <w:jc w:val="right"/>
              <w:spacing w:after="0"/>
              <w:rPr>
                <w:sz w:val="20"/>
                <w:szCs w:val="20"/>
                <w:color w:val="auto"/>
              </w:rPr>
            </w:pPr>
            <w:r>
              <w:rPr>
                <w:rFonts w:ascii="Arial" w:cs="Arial" w:eastAsia="Arial" w:hAnsi="Arial"/>
                <w:sz w:val="17"/>
                <w:szCs w:val="17"/>
                <w:color w:val="auto"/>
              </w:rPr>
              <w:t>10-02-0692</w:t>
            </w:r>
          </w:p>
        </w:tc>
        <w:tc>
          <w:tcPr>
            <w:tcW w:w="600" w:type="dxa"/>
            <w:vAlign w:val="bottom"/>
          </w:tcPr>
          <w:p>
            <w:pPr>
              <w:jc w:val="right"/>
              <w:spacing w:after="0"/>
              <w:rPr>
                <w:sz w:val="20"/>
                <w:szCs w:val="20"/>
                <w:color w:val="auto"/>
              </w:rPr>
            </w:pPr>
            <w:r>
              <w:rPr>
                <w:rFonts w:ascii="Arial" w:cs="Arial" w:eastAsia="Arial" w:hAnsi="Arial"/>
                <w:sz w:val="17"/>
                <w:szCs w:val="17"/>
                <w:color w:val="auto"/>
              </w:rPr>
              <w:t>(08/96)</w:t>
            </w:r>
          </w:p>
        </w:tc>
      </w:tr>
      <w:tr>
        <w:trPr>
          <w:trHeight w:val="297"/>
        </w:trPr>
        <w:tc>
          <w:tcPr>
            <w:tcW w:w="5780" w:type="dxa"/>
            <w:vAlign w:val="bottom"/>
          </w:tcPr>
          <w:p>
            <w:pPr>
              <w:ind w:left="80"/>
              <w:spacing w:after="0"/>
              <w:rPr>
                <w:sz w:val="20"/>
                <w:szCs w:val="20"/>
                <w:color w:val="auto"/>
              </w:rPr>
            </w:pPr>
            <w:r>
              <w:rPr>
                <w:rFonts w:ascii="Arial" w:cs="Arial" w:eastAsia="Arial" w:hAnsi="Arial"/>
                <w:sz w:val="19"/>
                <w:szCs w:val="19"/>
                <w:color w:val="auto"/>
              </w:rPr>
              <w:t>NAMED INSURED ENDORSEMENT</w:t>
            </w:r>
          </w:p>
        </w:tc>
        <w:tc>
          <w:tcPr>
            <w:tcW w:w="2320" w:type="dxa"/>
            <w:vAlign w:val="bottom"/>
          </w:tcPr>
          <w:p>
            <w:pPr>
              <w:jc w:val="right"/>
              <w:spacing w:after="0"/>
              <w:rPr>
                <w:sz w:val="20"/>
                <w:szCs w:val="20"/>
                <w:color w:val="auto"/>
              </w:rPr>
            </w:pPr>
            <w:r>
              <w:rPr>
                <w:rFonts w:ascii="Arial" w:cs="Arial" w:eastAsia="Arial" w:hAnsi="Arial"/>
                <w:sz w:val="17"/>
                <w:szCs w:val="17"/>
                <w:color w:val="auto"/>
              </w:rPr>
              <w:t>10-02-0692</w:t>
            </w:r>
          </w:p>
        </w:tc>
        <w:tc>
          <w:tcPr>
            <w:tcW w:w="600" w:type="dxa"/>
            <w:vAlign w:val="bottom"/>
          </w:tcPr>
          <w:p>
            <w:pPr>
              <w:jc w:val="right"/>
              <w:spacing w:after="0"/>
              <w:rPr>
                <w:sz w:val="20"/>
                <w:szCs w:val="20"/>
                <w:color w:val="auto"/>
              </w:rPr>
            </w:pPr>
            <w:r>
              <w:rPr>
                <w:rFonts w:ascii="Arial" w:cs="Arial" w:eastAsia="Arial" w:hAnsi="Arial"/>
                <w:sz w:val="17"/>
                <w:szCs w:val="17"/>
                <w:color w:val="auto"/>
              </w:rPr>
              <w:t>(08/96)</w:t>
            </w:r>
          </w:p>
        </w:tc>
      </w:tr>
      <w:tr>
        <w:trPr>
          <w:trHeight w:val="297"/>
        </w:trPr>
        <w:tc>
          <w:tcPr>
            <w:tcW w:w="5780" w:type="dxa"/>
            <w:vAlign w:val="bottom"/>
          </w:tcPr>
          <w:p>
            <w:pPr>
              <w:ind w:left="80"/>
              <w:spacing w:after="0"/>
              <w:rPr>
                <w:sz w:val="20"/>
                <w:szCs w:val="20"/>
                <w:color w:val="auto"/>
              </w:rPr>
            </w:pPr>
            <w:r>
              <w:rPr>
                <w:rFonts w:ascii="Arial" w:cs="Arial" w:eastAsia="Arial" w:hAnsi="Arial"/>
                <w:sz w:val="19"/>
                <w:szCs w:val="19"/>
                <w:color w:val="auto"/>
              </w:rPr>
              <w:t>UNDERLYING LIMITS ENDORSEMENT</w:t>
            </w:r>
          </w:p>
        </w:tc>
        <w:tc>
          <w:tcPr>
            <w:tcW w:w="2320" w:type="dxa"/>
            <w:vAlign w:val="bottom"/>
          </w:tcPr>
          <w:p>
            <w:pPr>
              <w:jc w:val="right"/>
              <w:spacing w:after="0"/>
              <w:rPr>
                <w:sz w:val="20"/>
                <w:szCs w:val="20"/>
                <w:color w:val="auto"/>
              </w:rPr>
            </w:pPr>
            <w:r>
              <w:rPr>
                <w:rFonts w:ascii="Arial" w:cs="Arial" w:eastAsia="Arial" w:hAnsi="Arial"/>
                <w:sz w:val="17"/>
                <w:szCs w:val="17"/>
                <w:color w:val="auto"/>
              </w:rPr>
              <w:t>10-02-0692</w:t>
            </w:r>
          </w:p>
        </w:tc>
        <w:tc>
          <w:tcPr>
            <w:tcW w:w="600" w:type="dxa"/>
            <w:vAlign w:val="bottom"/>
          </w:tcPr>
          <w:p>
            <w:pPr>
              <w:jc w:val="right"/>
              <w:spacing w:after="0"/>
              <w:rPr>
                <w:sz w:val="20"/>
                <w:szCs w:val="20"/>
                <w:color w:val="auto"/>
              </w:rPr>
            </w:pPr>
            <w:r>
              <w:rPr>
                <w:rFonts w:ascii="Arial" w:cs="Arial" w:eastAsia="Arial" w:hAnsi="Arial"/>
                <w:sz w:val="17"/>
                <w:szCs w:val="17"/>
                <w:color w:val="auto"/>
              </w:rPr>
              <w:t>(08/96)</w:t>
            </w:r>
          </w:p>
        </w:tc>
      </w:tr>
    </w:tbl>
    <w:p>
      <w:pPr>
        <w:sectPr>
          <w:pgSz w:w="11900" w:h="16838" w:orient="portrait"/>
          <w:cols w:equalWidth="0" w:num="1">
            <w:col w:w="10079"/>
          </w:cols>
          <w:pgMar w:left="380" w:top="737" w:right="1440"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4"/>
          <w:szCs w:val="14"/>
          <w:color w:val="42423F"/>
        </w:rPr>
        <w:t xml:space="preserve">Last </w:t>
      </w:r>
      <w:r>
        <w:rPr>
          <w:rFonts w:ascii="Arial" w:cs="Arial" w:eastAsia="Arial" w:hAnsi="Arial"/>
          <w:sz w:val="14"/>
          <w:szCs w:val="14"/>
          <w:color w:val="565654"/>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237490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42423F"/>
        </w:rPr>
        <w:t>Page 1</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color w:val="6B6B69"/>
        </w:rPr>
        <w:t>Form 10-02-041</w:t>
      </w:r>
      <w:r>
        <w:rPr>
          <w:rFonts w:ascii="Arial" w:cs="Arial" w:eastAsia="Arial" w:hAnsi="Arial"/>
          <w:sz w:val="10"/>
          <w:szCs w:val="10"/>
          <w:color w:val="42423F"/>
        </w:rPr>
        <w:t>4</w:t>
      </w:r>
      <w:r>
        <w:rPr>
          <w:rFonts w:ascii="Arial" w:cs="Arial" w:eastAsia="Arial" w:hAnsi="Arial"/>
          <w:sz w:val="10"/>
          <w:szCs w:val="10"/>
          <w:color w:val="6B6B69"/>
        </w:rPr>
        <w:t xml:space="preserve"> </w:t>
      </w:r>
      <w:r>
        <w:rPr>
          <w:rFonts w:ascii="Arial" w:cs="Arial" w:eastAsia="Arial" w:hAnsi="Arial"/>
          <w:sz w:val="10"/>
          <w:szCs w:val="10"/>
          <w:color w:val="565654"/>
        </w:rPr>
        <w:t>(Ed</w:t>
      </w:r>
      <w:r>
        <w:rPr>
          <w:rFonts w:ascii="Arial" w:cs="Arial" w:eastAsia="Arial" w:hAnsi="Arial"/>
          <w:sz w:val="10"/>
          <w:szCs w:val="10"/>
          <w:color w:val="ACACAA"/>
        </w:rPr>
        <w:t>.</w:t>
      </w:r>
      <w:r>
        <w:rPr>
          <w:rFonts w:ascii="Arial" w:cs="Arial" w:eastAsia="Arial" w:hAnsi="Arial"/>
          <w:sz w:val="10"/>
          <w:szCs w:val="10"/>
          <w:color w:val="6B6B69"/>
        </w:rPr>
        <w:t xml:space="preserve"> </w:t>
      </w:r>
      <w:r>
        <w:rPr>
          <w:rFonts w:ascii="Arial" w:cs="Arial" w:eastAsia="Arial" w:hAnsi="Arial"/>
          <w:sz w:val="10"/>
          <w:szCs w:val="10"/>
          <w:color w:val="565654"/>
        </w:rPr>
        <w:t>9/93)</w:t>
      </w:r>
    </w:p>
    <w:p>
      <w:pPr>
        <w:sectPr>
          <w:pgSz w:w="11900" w:h="16838" w:orient="portrait"/>
          <w:cols w:equalWidth="0" w:num="1">
            <w:col w:w="11040"/>
          </w:cols>
          <w:pgMar w:left="620" w:top="1117" w:right="23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380365</wp:posOffset>
            </wp:positionV>
            <wp:extent cx="120078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41"/>
          <w:szCs w:val="41"/>
          <w:b w:val="1"/>
          <w:bCs w:val="1"/>
          <w:i w:val="1"/>
          <w:iCs w:val="1"/>
          <w:color w:val="363634"/>
        </w:rPr>
        <w:t>GROUP PERSONAL</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41"/>
          <w:szCs w:val="41"/>
          <w:b w:val="1"/>
          <w:bCs w:val="1"/>
          <w:i w:val="1"/>
          <w:iCs w:val="1"/>
          <w:color w:val="363634"/>
        </w:rPr>
        <w:t>EXCESS LIABILITY</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41"/>
          <w:szCs w:val="41"/>
          <w:b w:val="1"/>
          <w:bCs w:val="1"/>
          <w:i w:val="1"/>
          <w:iCs w:val="1"/>
          <w:color w:val="363634"/>
        </w:rPr>
        <w:t>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 of 15</w:t>
      </w:r>
    </w:p>
    <w:p>
      <w:pPr>
        <w:sectPr>
          <w:pgSz w:w="11900" w:h="16838" w:orient="portrait"/>
          <w:cols w:equalWidth="0" w:num="1">
            <w:col w:w="11420"/>
          </w:cols>
          <w:pgMar w:left="240" w:top="1440" w:right="23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2327275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80"/>
        <w:spacing w:after="0"/>
        <w:rPr>
          <w:sz w:val="20"/>
          <w:szCs w:val="20"/>
          <w:color w:val="auto"/>
        </w:rPr>
      </w:pPr>
      <w:r>
        <w:rPr>
          <w:rFonts w:ascii="Arial" w:cs="Arial" w:eastAsia="Arial" w:hAnsi="Arial"/>
          <w:sz w:val="20"/>
          <w:szCs w:val="20"/>
          <w:i w:val="1"/>
          <w:iCs w:val="1"/>
          <w:color w:val="363634"/>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________________________________________________________________________________________________________________________</w:t>
      </w:r>
    </w:p>
    <w:p>
      <w:pPr>
        <w:spacing w:after="0" w:line="65"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 of 15</w:t>
      </w:r>
    </w:p>
    <w:p>
      <w:pPr>
        <w:sectPr>
          <w:pgSz w:w="11900" w:h="16838" w:orient="portrait"/>
          <w:cols w:equalWidth="0" w:num="1">
            <w:col w:w="10219"/>
          </w:cols>
          <w:pgMar w:left="240" w:top="1440" w:right="1440" w:bottom="1440" w:gutter="0" w:footer="0" w:header="0"/>
        </w:sectPr>
      </w:pPr>
    </w:p>
    <w:bookmarkStart w:id="138" w:name="page139"/>
    <w:bookmarkEnd w:id="138"/>
    <w:p>
      <w:pPr>
        <w:ind w:left="3620"/>
        <w:spacing w:after="0"/>
        <w:rPr>
          <w:sz w:val="20"/>
          <w:szCs w:val="20"/>
          <w:color w:val="auto"/>
        </w:rPr>
      </w:pPr>
      <w:r>
        <w:rPr>
          <w:rFonts w:ascii="Arial" w:cs="Arial" w:eastAsia="Arial" w:hAnsi="Arial"/>
          <w:sz w:val="25"/>
          <w:szCs w:val="25"/>
          <w:b w:val="1"/>
          <w:bCs w:val="1"/>
          <w:color w:val="42423F"/>
        </w:rPr>
        <w:drawing>
          <wp:anchor simplePos="0" relativeHeight="251657728" behindDoc="1" locked="0" layoutInCell="0" allowOverlap="1">
            <wp:simplePos x="0" y="0"/>
            <wp:positionH relativeFrom="page">
              <wp:posOffset>226060</wp:posOffset>
            </wp:positionH>
            <wp:positionV relativeFrom="page">
              <wp:posOffset>380365</wp:posOffset>
            </wp:positionV>
            <wp:extent cx="107188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071880" cy="137160"/>
                    </a:xfrm>
                    <a:prstGeom prst="rect">
                      <a:avLst/>
                    </a:prstGeom>
                    <a:noFill/>
                  </pic:spPr>
                </pic:pic>
              </a:graphicData>
            </a:graphic>
          </wp:anchor>
        </w:drawing>
        <w:t>GROUP PERSONAL EXCESS LIABILITY POLICY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42423F"/>
        </w:rPr>
        <w:t>INTRODUCTION</w:t>
      </w:r>
    </w:p>
    <w:p>
      <w:pPr>
        <w:spacing w:after="0" w:line="134" w:lineRule="exact"/>
        <w:rPr>
          <w:sz w:val="20"/>
          <w:szCs w:val="20"/>
          <w:color w:val="auto"/>
        </w:rPr>
      </w:pPr>
    </w:p>
    <w:p>
      <w:pPr>
        <w:ind w:left="520" w:right="80"/>
        <w:spacing w:after="0" w:line="321" w:lineRule="auto"/>
        <w:rPr>
          <w:sz w:val="20"/>
          <w:szCs w:val="20"/>
          <w:color w:val="auto"/>
        </w:rPr>
      </w:pPr>
      <w:r>
        <w:rPr>
          <w:rFonts w:ascii="Arial" w:cs="Arial" w:eastAsia="Arial" w:hAnsi="Arial"/>
          <w:sz w:val="17"/>
          <w:szCs w:val="17"/>
          <w:color w:val="42423F"/>
        </w:rPr>
        <w:t xml:space="preserve">This </w:t>
      </w:r>
      <w:r>
        <w:rPr>
          <w:rFonts w:ascii="Arial" w:cs="Arial" w:eastAsia="Arial" w:hAnsi="Arial"/>
          <w:sz w:val="16"/>
          <w:szCs w:val="16"/>
          <w:color w:val="42423F"/>
        </w:rPr>
        <w:t>is your Chubb Group Personal Excess Liability Policy</w:t>
      </w:r>
      <w:r>
        <w:rPr>
          <w:rFonts w:ascii="Arial" w:cs="Arial" w:eastAsia="Arial" w:hAnsi="Arial"/>
          <w:sz w:val="16"/>
          <w:szCs w:val="16"/>
          <w:color w:val="5D5D5B"/>
        </w:rPr>
        <w:t>.</w:t>
      </w:r>
      <w:r>
        <w:rPr>
          <w:rFonts w:ascii="Arial" w:cs="Arial" w:eastAsia="Arial" w:hAnsi="Arial"/>
          <w:sz w:val="17"/>
          <w:szCs w:val="17"/>
          <w:color w:val="42423F"/>
        </w:rPr>
        <w:t xml:space="preserve"> </w:t>
      </w:r>
      <w:r>
        <w:rPr>
          <w:rFonts w:ascii="Arial" w:cs="Arial" w:eastAsia="Arial" w:hAnsi="Arial"/>
          <w:sz w:val="16"/>
          <w:szCs w:val="16"/>
          <w:color w:val="42423F"/>
        </w:rPr>
        <w:t>Together with your Coverage Summary, it explains your coverages and other conditions of your insurance</w:t>
      </w:r>
      <w:r>
        <w:rPr>
          <w:rFonts w:ascii="Arial" w:cs="Arial" w:eastAsia="Arial" w:hAnsi="Arial"/>
          <w:sz w:val="17"/>
          <w:szCs w:val="17"/>
          <w:color w:val="42423F"/>
        </w:rPr>
        <w:t xml:space="preserve"> </w:t>
      </w:r>
      <w:r>
        <w:rPr>
          <w:rFonts w:ascii="Arial" w:cs="Arial" w:eastAsia="Arial" w:hAnsi="Arial"/>
          <w:sz w:val="16"/>
          <w:szCs w:val="16"/>
          <w:color w:val="42423F"/>
        </w:rPr>
        <w:t>in detail.</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6"/>
          <w:szCs w:val="16"/>
          <w:color w:val="42423F"/>
        </w:rPr>
        <w:t xml:space="preserve">This policy is a contract between you and </w:t>
      </w:r>
      <w:r>
        <w:rPr>
          <w:rFonts w:ascii="Arial" w:cs="Arial" w:eastAsia="Arial" w:hAnsi="Arial"/>
          <w:sz w:val="16"/>
          <w:szCs w:val="16"/>
          <w:color w:val="31312F"/>
        </w:rPr>
        <w:t>us.</w:t>
      </w:r>
      <w:r>
        <w:rPr>
          <w:rFonts w:ascii="Arial" w:cs="Arial" w:eastAsia="Arial" w:hAnsi="Arial"/>
          <w:sz w:val="16"/>
          <w:szCs w:val="16"/>
          <w:color w:val="42423F"/>
        </w:rPr>
        <w:t xml:space="preserve"> READ YOUR POLICY CAREFULLY and keep it in a safe place.</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42423F"/>
        </w:rPr>
        <w:t>Agreement</w:t>
      </w:r>
    </w:p>
    <w:p>
      <w:pPr>
        <w:spacing w:after="0" w:line="31" w:lineRule="exact"/>
        <w:rPr>
          <w:sz w:val="20"/>
          <w:szCs w:val="20"/>
          <w:color w:val="auto"/>
        </w:rPr>
      </w:pPr>
    </w:p>
    <w:p>
      <w:pPr>
        <w:ind w:left="520" w:right="200" w:hanging="26"/>
        <w:spacing w:after="0" w:line="275" w:lineRule="auto"/>
        <w:rPr>
          <w:sz w:val="20"/>
          <w:szCs w:val="20"/>
          <w:color w:val="auto"/>
        </w:rPr>
      </w:pPr>
      <w:r>
        <w:rPr>
          <w:rFonts w:ascii="Arial" w:cs="Arial" w:eastAsia="Arial" w:hAnsi="Arial"/>
          <w:sz w:val="16"/>
          <w:szCs w:val="16"/>
          <w:color w:val="42423F"/>
        </w:rPr>
        <w:t xml:space="preserve">We agree </w:t>
      </w:r>
      <w:r>
        <w:rPr>
          <w:rFonts w:ascii="Arial" w:cs="Arial" w:eastAsia="Arial" w:hAnsi="Arial"/>
          <w:sz w:val="14"/>
          <w:szCs w:val="14"/>
          <w:color w:val="42423F"/>
        </w:rPr>
        <w:t>to</w:t>
      </w:r>
      <w:r>
        <w:rPr>
          <w:rFonts w:ascii="Arial" w:cs="Arial" w:eastAsia="Arial" w:hAnsi="Arial"/>
          <w:sz w:val="16"/>
          <w:szCs w:val="16"/>
          <w:color w:val="42423F"/>
        </w:rPr>
        <w:t xml:space="preserve"> provide the insurance described in this policy in return for the premium paid by you or the Sponsoring Organization and your compliance with the policy conditions.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20"/>
          <w:szCs w:val="20"/>
          <w:b w:val="1"/>
          <w:bCs w:val="1"/>
          <w:i w:val="1"/>
          <w:iCs w:val="1"/>
          <w:color w:val="42423F"/>
        </w:rPr>
        <w:t>Definitions</w:t>
      </w:r>
    </w:p>
    <w:p>
      <w:pPr>
        <w:spacing w:after="0" w:line="58" w:lineRule="exact"/>
        <w:rPr>
          <w:sz w:val="20"/>
          <w:szCs w:val="20"/>
          <w:color w:val="auto"/>
        </w:rPr>
      </w:pPr>
    </w:p>
    <w:p>
      <w:pPr>
        <w:ind w:left="520" w:right="320"/>
        <w:spacing w:after="0" w:line="328" w:lineRule="auto"/>
        <w:rPr>
          <w:sz w:val="20"/>
          <w:szCs w:val="20"/>
          <w:color w:val="auto"/>
        </w:rPr>
      </w:pPr>
      <w:r>
        <w:rPr>
          <w:rFonts w:ascii="Arial" w:cs="Arial" w:eastAsia="Arial" w:hAnsi="Arial"/>
          <w:sz w:val="16"/>
          <w:szCs w:val="16"/>
          <w:color w:val="42423F"/>
        </w:rPr>
        <w:t xml:space="preserve">In this policy, we </w:t>
      </w:r>
      <w:r>
        <w:rPr>
          <w:rFonts w:ascii="Arial" w:cs="Arial" w:eastAsia="Arial" w:hAnsi="Arial"/>
          <w:sz w:val="16"/>
          <w:szCs w:val="16"/>
          <w:color w:val="31312F"/>
        </w:rPr>
        <w:t>use</w:t>
      </w:r>
      <w:r>
        <w:rPr>
          <w:rFonts w:ascii="Arial" w:cs="Arial" w:eastAsia="Arial" w:hAnsi="Arial"/>
          <w:sz w:val="16"/>
          <w:szCs w:val="16"/>
          <w:color w:val="42423F"/>
        </w:rPr>
        <w:t xml:space="preserve"> words in their plain English meaning. Words with special meanings are </w:t>
      </w:r>
      <w:r>
        <w:rPr>
          <w:rFonts w:ascii="Arial" w:cs="Arial" w:eastAsia="Arial" w:hAnsi="Arial"/>
          <w:sz w:val="16"/>
          <w:szCs w:val="16"/>
          <w:color w:val="31312F"/>
        </w:rPr>
        <w:t>defined</w:t>
      </w:r>
      <w:r>
        <w:rPr>
          <w:rFonts w:ascii="Arial" w:cs="Arial" w:eastAsia="Arial" w:hAnsi="Arial"/>
          <w:sz w:val="16"/>
          <w:szCs w:val="16"/>
          <w:color w:val="42423F"/>
        </w:rPr>
        <w:t xml:space="preserve"> in the part of the policy where they are used. The few defined terms </w:t>
      </w:r>
      <w:r>
        <w:rPr>
          <w:rFonts w:ascii="Arial" w:cs="Arial" w:eastAsia="Arial" w:hAnsi="Arial"/>
          <w:sz w:val="16"/>
          <w:szCs w:val="16"/>
          <w:color w:val="31312F"/>
        </w:rPr>
        <w:t>used</w:t>
      </w:r>
      <w:r>
        <w:rPr>
          <w:rFonts w:ascii="Arial" w:cs="Arial" w:eastAsia="Arial" w:hAnsi="Arial"/>
          <w:sz w:val="16"/>
          <w:szCs w:val="16"/>
          <w:color w:val="42423F"/>
        </w:rPr>
        <w:t xml:space="preserve"> throughout the policy are defined here:</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42423F"/>
        </w:rPr>
        <w:t xml:space="preserve">You </w:t>
      </w:r>
      <w:r>
        <w:rPr>
          <w:rFonts w:ascii="Arial" w:cs="Arial" w:eastAsia="Arial" w:hAnsi="Arial"/>
          <w:sz w:val="16"/>
          <w:szCs w:val="16"/>
          <w:color w:val="42423F"/>
        </w:rPr>
        <w:t>means the individual who</w:t>
      </w:r>
      <w:r>
        <w:rPr>
          <w:rFonts w:ascii="Arial" w:cs="Arial" w:eastAsia="Arial" w:hAnsi="Arial"/>
          <w:sz w:val="16"/>
          <w:szCs w:val="16"/>
          <w:b w:val="1"/>
          <w:bCs w:val="1"/>
          <w:color w:val="42423F"/>
        </w:rPr>
        <w:t xml:space="preserve"> </w:t>
      </w:r>
      <w:r>
        <w:rPr>
          <w:rFonts w:ascii="Arial" w:cs="Arial" w:eastAsia="Arial" w:hAnsi="Arial"/>
          <w:sz w:val="16"/>
          <w:szCs w:val="16"/>
          <w:color w:val="31312F"/>
        </w:rPr>
        <w:t>is</w:t>
      </w:r>
      <w:r>
        <w:rPr>
          <w:rFonts w:ascii="Arial" w:cs="Arial" w:eastAsia="Arial" w:hAnsi="Arial"/>
          <w:sz w:val="16"/>
          <w:szCs w:val="16"/>
          <w:b w:val="1"/>
          <w:bCs w:val="1"/>
          <w:color w:val="42423F"/>
        </w:rPr>
        <w:t xml:space="preserve"> </w:t>
      </w:r>
      <w:r>
        <w:rPr>
          <w:rFonts w:ascii="Arial" w:cs="Arial" w:eastAsia="Arial" w:hAnsi="Arial"/>
          <w:sz w:val="16"/>
          <w:szCs w:val="16"/>
          <w:color w:val="42423F"/>
        </w:rPr>
        <w:t>a member of the Defined Group shown as the Insured named in the Coverage Summary.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42423F"/>
        </w:rPr>
        <w:t xml:space="preserve">Spouse </w:t>
      </w:r>
      <w:r>
        <w:rPr>
          <w:rFonts w:ascii="Arial" w:cs="Arial" w:eastAsia="Arial" w:hAnsi="Arial"/>
          <w:sz w:val="16"/>
          <w:szCs w:val="16"/>
          <w:color w:val="42423F"/>
        </w:rPr>
        <w:t>means a partner in marriage or a partner in a civil</w:t>
      </w:r>
      <w:r>
        <w:rPr>
          <w:rFonts w:ascii="Arial" w:cs="Arial" w:eastAsia="Arial" w:hAnsi="Arial"/>
          <w:sz w:val="16"/>
          <w:szCs w:val="16"/>
          <w:b w:val="1"/>
          <w:bCs w:val="1"/>
          <w:color w:val="42423F"/>
        </w:rPr>
        <w:t xml:space="preserve"> </w:t>
      </w:r>
      <w:r>
        <w:rPr>
          <w:rFonts w:ascii="Arial" w:cs="Arial" w:eastAsia="Arial" w:hAnsi="Arial"/>
          <w:sz w:val="16"/>
          <w:szCs w:val="16"/>
          <w:color w:val="31312F"/>
        </w:rPr>
        <w:t>union</w:t>
      </w:r>
      <w:r>
        <w:rPr>
          <w:rFonts w:ascii="Arial" w:cs="Arial" w:eastAsia="Arial" w:hAnsi="Arial"/>
          <w:sz w:val="16"/>
          <w:szCs w:val="16"/>
          <w:b w:val="1"/>
          <w:bCs w:val="1"/>
          <w:color w:val="42423F"/>
        </w:rPr>
        <w:t xml:space="preserve"> </w:t>
      </w:r>
      <w:r>
        <w:rPr>
          <w:rFonts w:ascii="Arial" w:cs="Arial" w:eastAsia="Arial" w:hAnsi="Arial"/>
          <w:sz w:val="16"/>
          <w:szCs w:val="16"/>
          <w:color w:val="42423F"/>
        </w:rPr>
        <w:t>recognized under state law and who lives with you.</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42423F"/>
        </w:rPr>
        <w:t xml:space="preserve">We </w:t>
      </w:r>
      <w:r>
        <w:rPr>
          <w:rFonts w:ascii="Arial" w:cs="Arial" w:eastAsia="Arial" w:hAnsi="Arial"/>
          <w:sz w:val="16"/>
          <w:szCs w:val="16"/>
          <w:color w:val="42423F"/>
        </w:rPr>
        <w:t>and</w:t>
      </w:r>
      <w:r>
        <w:rPr>
          <w:rFonts w:ascii="Arial" w:cs="Arial" w:eastAsia="Arial" w:hAnsi="Arial"/>
          <w:sz w:val="16"/>
          <w:szCs w:val="16"/>
          <w:b w:val="1"/>
          <w:bCs w:val="1"/>
          <w:color w:val="42423F"/>
        </w:rPr>
        <w:t xml:space="preserve"> us </w:t>
      </w:r>
      <w:r>
        <w:rPr>
          <w:rFonts w:ascii="Arial" w:cs="Arial" w:eastAsia="Arial" w:hAnsi="Arial"/>
          <w:sz w:val="16"/>
          <w:szCs w:val="16"/>
          <w:color w:val="42423F"/>
        </w:rPr>
        <w:t>mean the insurance company named in the</w:t>
      </w:r>
      <w:r>
        <w:rPr>
          <w:rFonts w:ascii="Arial" w:cs="Arial" w:eastAsia="Arial" w:hAnsi="Arial"/>
          <w:sz w:val="16"/>
          <w:szCs w:val="16"/>
          <w:b w:val="1"/>
          <w:bCs w:val="1"/>
          <w:color w:val="42423F"/>
        </w:rPr>
        <w:t xml:space="preserve"> </w:t>
      </w:r>
      <w:r>
        <w:rPr>
          <w:rFonts w:ascii="Arial" w:cs="Arial" w:eastAsia="Arial" w:hAnsi="Arial"/>
          <w:sz w:val="16"/>
          <w:szCs w:val="16"/>
          <w:color w:val="5D5D5B"/>
        </w:rPr>
        <w:t>C</w:t>
      </w:r>
      <w:r>
        <w:rPr>
          <w:rFonts w:ascii="Arial" w:cs="Arial" w:eastAsia="Arial" w:hAnsi="Arial"/>
          <w:sz w:val="16"/>
          <w:szCs w:val="16"/>
          <w:color w:val="42423F"/>
        </w:rPr>
        <w:t>overage Summary</w:t>
      </w:r>
      <w:r>
        <w:rPr>
          <w:rFonts w:ascii="Arial" w:cs="Arial" w:eastAsia="Arial" w:hAnsi="Arial"/>
          <w:sz w:val="16"/>
          <w:szCs w:val="16"/>
          <w:color w:val="5D5D5B"/>
        </w:rPr>
        <w:t>.</w:t>
      </w:r>
    </w:p>
    <w:p>
      <w:pPr>
        <w:spacing w:after="0" w:line="136" w:lineRule="exact"/>
        <w:rPr>
          <w:sz w:val="20"/>
          <w:szCs w:val="20"/>
          <w:color w:val="auto"/>
        </w:rPr>
      </w:pPr>
    </w:p>
    <w:p>
      <w:pPr>
        <w:ind w:left="520" w:right="240"/>
        <w:spacing w:after="0" w:line="322" w:lineRule="auto"/>
        <w:rPr>
          <w:sz w:val="20"/>
          <w:szCs w:val="20"/>
          <w:color w:val="auto"/>
        </w:rPr>
      </w:pPr>
      <w:r>
        <w:rPr>
          <w:rFonts w:ascii="Arial" w:cs="Arial" w:eastAsia="Arial" w:hAnsi="Arial"/>
          <w:sz w:val="18"/>
          <w:szCs w:val="18"/>
          <w:b w:val="1"/>
          <w:bCs w:val="1"/>
          <w:color w:val="42423F"/>
        </w:rPr>
        <w:t xml:space="preserve">Family </w:t>
      </w:r>
      <w:r>
        <w:rPr>
          <w:rFonts w:ascii="Arial" w:cs="Arial" w:eastAsia="Arial" w:hAnsi="Arial"/>
          <w:sz w:val="16"/>
          <w:szCs w:val="16"/>
          <w:b w:val="1"/>
          <w:bCs w:val="1"/>
          <w:color w:val="42423F"/>
        </w:rPr>
        <w:t>member</w:t>
      </w:r>
      <w:r>
        <w:rPr>
          <w:rFonts w:ascii="Arial" w:cs="Arial" w:eastAsia="Arial" w:hAnsi="Arial"/>
          <w:sz w:val="18"/>
          <w:szCs w:val="18"/>
          <w:b w:val="1"/>
          <w:bCs w:val="1"/>
          <w:color w:val="42423F"/>
        </w:rPr>
        <w:t xml:space="preserve"> </w:t>
      </w:r>
      <w:r>
        <w:rPr>
          <w:rFonts w:ascii="Arial" w:cs="Arial" w:eastAsia="Arial" w:hAnsi="Arial"/>
          <w:sz w:val="16"/>
          <w:szCs w:val="16"/>
          <w:color w:val="42423F"/>
        </w:rPr>
        <w:t>means your spouse or domestic partner or other relative who lives with you, or any other person</w:t>
      </w:r>
      <w:r>
        <w:rPr>
          <w:rFonts w:ascii="Arial" w:cs="Arial" w:eastAsia="Arial" w:hAnsi="Arial"/>
          <w:sz w:val="18"/>
          <w:szCs w:val="18"/>
          <w:b w:val="1"/>
          <w:bCs w:val="1"/>
          <w:color w:val="42423F"/>
        </w:rPr>
        <w:t xml:space="preserve"> </w:t>
      </w:r>
      <w:r>
        <w:rPr>
          <w:rFonts w:ascii="Arial" w:cs="Arial" w:eastAsia="Arial" w:hAnsi="Arial"/>
          <w:sz w:val="16"/>
          <w:szCs w:val="16"/>
          <w:color w:val="31312F"/>
        </w:rPr>
        <w:t>under</w:t>
      </w:r>
      <w:r>
        <w:rPr>
          <w:rFonts w:ascii="Arial" w:cs="Arial" w:eastAsia="Arial" w:hAnsi="Arial"/>
          <w:sz w:val="18"/>
          <w:szCs w:val="18"/>
          <w:b w:val="1"/>
          <w:bCs w:val="1"/>
          <w:color w:val="42423F"/>
        </w:rPr>
        <w:t xml:space="preserve"> </w:t>
      </w:r>
      <w:r>
        <w:rPr>
          <w:rFonts w:ascii="Arial" w:cs="Arial" w:eastAsia="Arial" w:hAnsi="Arial"/>
          <w:sz w:val="16"/>
          <w:szCs w:val="16"/>
          <w:color w:val="42423F"/>
        </w:rPr>
        <w:t>25 in your care or your relative</w:t>
      </w:r>
      <w:r>
        <w:rPr>
          <w:rFonts w:ascii="Arial" w:cs="Arial" w:eastAsia="Arial" w:hAnsi="Arial"/>
          <w:sz w:val="16"/>
          <w:szCs w:val="16"/>
          <w:color w:val="747572"/>
        </w:rPr>
        <w:t>'</w:t>
      </w:r>
      <w:r>
        <w:rPr>
          <w:rFonts w:ascii="Arial" w:cs="Arial" w:eastAsia="Arial" w:hAnsi="Arial"/>
          <w:sz w:val="18"/>
          <w:szCs w:val="18"/>
          <w:b w:val="1"/>
          <w:bCs w:val="1"/>
          <w:color w:val="42423F"/>
        </w:rPr>
        <w:t xml:space="preserve"> </w:t>
      </w:r>
      <w:r>
        <w:rPr>
          <w:rFonts w:ascii="Arial" w:cs="Arial" w:eastAsia="Arial" w:hAnsi="Arial"/>
          <w:sz w:val="16"/>
          <w:szCs w:val="16"/>
          <w:color w:val="42423F"/>
        </w:rPr>
        <w:t>s care who</w:t>
      </w:r>
      <w:r>
        <w:rPr>
          <w:rFonts w:ascii="Arial" w:cs="Arial" w:eastAsia="Arial" w:hAnsi="Arial"/>
          <w:sz w:val="18"/>
          <w:szCs w:val="18"/>
          <w:b w:val="1"/>
          <w:bCs w:val="1"/>
          <w:color w:val="42423F"/>
        </w:rPr>
        <w:t xml:space="preserve"> </w:t>
      </w:r>
      <w:r>
        <w:rPr>
          <w:rFonts w:ascii="Arial" w:cs="Arial" w:eastAsia="Arial" w:hAnsi="Arial"/>
          <w:sz w:val="16"/>
          <w:szCs w:val="16"/>
          <w:color w:val="42423F"/>
        </w:rPr>
        <w:t>lives with you.</w:t>
      </w:r>
    </w:p>
    <w:p>
      <w:pPr>
        <w:spacing w:after="0" w:line="97" w:lineRule="exact"/>
        <w:rPr>
          <w:sz w:val="20"/>
          <w:szCs w:val="20"/>
          <w:color w:val="auto"/>
        </w:rPr>
      </w:pPr>
    </w:p>
    <w:p>
      <w:pPr>
        <w:ind w:left="520" w:right="80"/>
        <w:spacing w:after="0" w:line="333" w:lineRule="auto"/>
        <w:rPr>
          <w:sz w:val="20"/>
          <w:szCs w:val="20"/>
          <w:color w:val="auto"/>
        </w:rPr>
      </w:pPr>
      <w:r>
        <w:rPr>
          <w:rFonts w:ascii="Arial" w:cs="Arial" w:eastAsia="Arial" w:hAnsi="Arial"/>
          <w:sz w:val="16"/>
          <w:szCs w:val="16"/>
          <w:b w:val="1"/>
          <w:bCs w:val="1"/>
          <w:color w:val="42423F"/>
        </w:rPr>
        <w:t xml:space="preserve">Domestic partner </w:t>
      </w:r>
      <w:r>
        <w:rPr>
          <w:rFonts w:ascii="Arial" w:cs="Arial" w:eastAsia="Arial" w:hAnsi="Arial"/>
          <w:sz w:val="16"/>
          <w:szCs w:val="16"/>
          <w:color w:val="42423F"/>
        </w:rPr>
        <w:t>means a person in a legal or personal relationship with you, who lives with you and shares a common domestic life with you, and meeting all of the</w:t>
      </w:r>
      <w:r>
        <w:rPr>
          <w:rFonts w:ascii="Arial" w:cs="Arial" w:eastAsia="Arial" w:hAnsi="Arial"/>
          <w:sz w:val="16"/>
          <w:szCs w:val="16"/>
          <w:b w:val="1"/>
          <w:bCs w:val="1"/>
          <w:color w:val="42423F"/>
        </w:rPr>
        <w:t xml:space="preserve"> </w:t>
      </w:r>
      <w:r>
        <w:rPr>
          <w:rFonts w:ascii="Arial" w:cs="Arial" w:eastAsia="Arial" w:hAnsi="Arial"/>
          <w:sz w:val="16"/>
          <w:szCs w:val="16"/>
          <w:color w:val="42423F"/>
        </w:rPr>
        <w:t>benefits eligibility criteria as defined by the Sponsoring Organization.</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42423F"/>
        </w:rPr>
        <w:t xml:space="preserve">Sponsoring Organization </w:t>
      </w:r>
      <w:r>
        <w:rPr>
          <w:rFonts w:ascii="Arial" w:cs="Arial" w:eastAsia="Arial" w:hAnsi="Arial"/>
          <w:sz w:val="15"/>
          <w:szCs w:val="15"/>
          <w:color w:val="42423F"/>
        </w:rPr>
        <w:t>means the entity, corporation, partnership or sole proprietorship sponsoring and defining the criteria for qualification as an Insured.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42423F"/>
        </w:rPr>
        <w:t xml:space="preserve">Policy </w:t>
      </w:r>
      <w:r>
        <w:rPr>
          <w:rFonts w:ascii="Arial" w:cs="Arial" w:eastAsia="Arial" w:hAnsi="Arial"/>
          <w:sz w:val="16"/>
          <w:szCs w:val="16"/>
          <w:color w:val="42423F"/>
        </w:rPr>
        <w:t>means your entire Group Personal Excess Liability Policy, including the</w:t>
      </w:r>
      <w:r>
        <w:rPr>
          <w:rFonts w:ascii="Arial" w:cs="Arial" w:eastAsia="Arial" w:hAnsi="Arial"/>
          <w:sz w:val="18"/>
          <w:szCs w:val="18"/>
          <w:b w:val="1"/>
          <w:bCs w:val="1"/>
          <w:color w:val="42423F"/>
        </w:rPr>
        <w:t xml:space="preserve"> </w:t>
      </w:r>
      <w:r>
        <w:rPr>
          <w:rFonts w:ascii="Arial" w:cs="Arial" w:eastAsia="Arial" w:hAnsi="Arial"/>
          <w:sz w:val="16"/>
          <w:szCs w:val="16"/>
          <w:color w:val="5D5D5B"/>
        </w:rPr>
        <w:t>C</w:t>
      </w:r>
      <w:r>
        <w:rPr>
          <w:rFonts w:ascii="Arial" w:cs="Arial" w:eastAsia="Arial" w:hAnsi="Arial"/>
          <w:sz w:val="16"/>
          <w:szCs w:val="16"/>
          <w:color w:val="42423F"/>
        </w:rPr>
        <w:t>overage Summary.</w:t>
      </w:r>
    </w:p>
    <w:p>
      <w:pPr>
        <w:spacing w:after="0" w:line="23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2423F"/>
        </w:rPr>
        <w:t xml:space="preserve">Coverage Summary </w:t>
      </w:r>
      <w:r>
        <w:rPr>
          <w:rFonts w:ascii="Arial" w:cs="Arial" w:eastAsia="Arial" w:hAnsi="Arial"/>
          <w:sz w:val="16"/>
          <w:szCs w:val="16"/>
          <w:color w:val="42423F"/>
        </w:rPr>
        <w:t>means the most recent Coverage Summary we</w:t>
      </w:r>
      <w:r>
        <w:rPr>
          <w:rFonts w:ascii="Arial" w:cs="Arial" w:eastAsia="Arial" w:hAnsi="Arial"/>
          <w:sz w:val="16"/>
          <w:szCs w:val="16"/>
          <w:b w:val="1"/>
          <w:bCs w:val="1"/>
          <w:color w:val="42423F"/>
        </w:rPr>
        <w:t xml:space="preserve"> </w:t>
      </w:r>
      <w:r>
        <w:rPr>
          <w:rFonts w:ascii="Arial" w:cs="Arial" w:eastAsia="Arial" w:hAnsi="Arial"/>
          <w:sz w:val="16"/>
          <w:szCs w:val="16"/>
          <w:color w:val="31312F"/>
        </w:rPr>
        <w:t>issued</w:t>
      </w:r>
      <w:r>
        <w:rPr>
          <w:rFonts w:ascii="Arial" w:cs="Arial" w:eastAsia="Arial" w:hAnsi="Arial"/>
          <w:sz w:val="16"/>
          <w:szCs w:val="16"/>
          <w:b w:val="1"/>
          <w:bCs w:val="1"/>
          <w:color w:val="42423F"/>
        </w:rPr>
        <w:t xml:space="preserve"> </w:t>
      </w:r>
      <w:r>
        <w:rPr>
          <w:rFonts w:ascii="Arial" w:cs="Arial" w:eastAsia="Arial" w:hAnsi="Arial"/>
          <w:sz w:val="15"/>
          <w:szCs w:val="15"/>
          <w:color w:val="42423F"/>
        </w:rPr>
        <w:t>to</w:t>
      </w:r>
      <w:r>
        <w:rPr>
          <w:rFonts w:ascii="Arial" w:cs="Arial" w:eastAsia="Arial" w:hAnsi="Arial"/>
          <w:sz w:val="16"/>
          <w:szCs w:val="16"/>
          <w:b w:val="1"/>
          <w:bCs w:val="1"/>
          <w:color w:val="42423F"/>
        </w:rPr>
        <w:t xml:space="preserve"> </w:t>
      </w:r>
      <w:r>
        <w:rPr>
          <w:rFonts w:ascii="Arial" w:cs="Arial" w:eastAsia="Arial" w:hAnsi="Arial"/>
          <w:sz w:val="16"/>
          <w:szCs w:val="16"/>
          <w:color w:val="42423F"/>
        </w:rPr>
        <w:t>you, including any endorsements.</w:t>
      </w:r>
    </w:p>
    <w:p>
      <w:pPr>
        <w:spacing w:after="0" w:line="194" w:lineRule="exact"/>
        <w:rPr>
          <w:sz w:val="20"/>
          <w:szCs w:val="20"/>
          <w:color w:val="auto"/>
        </w:rPr>
      </w:pPr>
    </w:p>
    <w:p>
      <w:pPr>
        <w:ind w:left="520" w:right="120"/>
        <w:spacing w:after="0" w:line="351" w:lineRule="auto"/>
        <w:rPr>
          <w:sz w:val="20"/>
          <w:szCs w:val="20"/>
          <w:color w:val="auto"/>
        </w:rPr>
      </w:pPr>
      <w:r>
        <w:rPr>
          <w:rFonts w:ascii="Arial" w:cs="Arial" w:eastAsia="Arial" w:hAnsi="Arial"/>
          <w:sz w:val="16"/>
          <w:szCs w:val="16"/>
          <w:b w:val="1"/>
          <w:bCs w:val="1"/>
          <w:color w:val="42423F"/>
        </w:rPr>
        <w:t xml:space="preserve">Occurrence </w:t>
      </w:r>
      <w:r>
        <w:rPr>
          <w:rFonts w:ascii="Arial" w:cs="Arial" w:eastAsia="Arial" w:hAnsi="Arial"/>
          <w:sz w:val="16"/>
          <w:szCs w:val="16"/>
          <w:color w:val="42423F"/>
        </w:rPr>
        <w:t>means an</w:t>
      </w:r>
      <w:r>
        <w:rPr>
          <w:rFonts w:ascii="Arial" w:cs="Arial" w:eastAsia="Arial" w:hAnsi="Arial"/>
          <w:sz w:val="16"/>
          <w:szCs w:val="16"/>
          <w:b w:val="1"/>
          <w:bCs w:val="1"/>
          <w:color w:val="42423F"/>
        </w:rPr>
        <w:t xml:space="preserve"> </w:t>
      </w:r>
      <w:r>
        <w:rPr>
          <w:rFonts w:ascii="Arial" w:cs="Arial" w:eastAsia="Arial" w:hAnsi="Arial"/>
          <w:sz w:val="16"/>
          <w:szCs w:val="16"/>
          <w:color w:val="5D5D5B"/>
        </w:rPr>
        <w:t>a</w:t>
      </w:r>
      <w:r>
        <w:rPr>
          <w:rFonts w:ascii="Arial" w:cs="Arial" w:eastAsia="Arial" w:hAnsi="Arial"/>
          <w:sz w:val="16"/>
          <w:szCs w:val="16"/>
          <w:color w:val="42423F"/>
        </w:rPr>
        <w:t>ccident or offense to which this insurance applies and which begins within the policy period. Continuous or repeated exposure</w:t>
      </w:r>
      <w:r>
        <w:rPr>
          <w:rFonts w:ascii="Arial" w:cs="Arial" w:eastAsia="Arial" w:hAnsi="Arial"/>
          <w:sz w:val="16"/>
          <w:szCs w:val="16"/>
          <w:b w:val="1"/>
          <w:bCs w:val="1"/>
          <w:color w:val="42423F"/>
        </w:rPr>
        <w:t xml:space="preserve"> </w:t>
      </w:r>
      <w:r>
        <w:rPr>
          <w:rFonts w:ascii="Arial" w:cs="Arial" w:eastAsia="Arial" w:hAnsi="Arial"/>
          <w:sz w:val="16"/>
          <w:szCs w:val="16"/>
          <w:color w:val="31312F"/>
        </w:rPr>
        <w:t>to</w:t>
      </w:r>
      <w:r>
        <w:rPr>
          <w:rFonts w:ascii="Arial" w:cs="Arial" w:eastAsia="Arial" w:hAnsi="Arial"/>
          <w:sz w:val="16"/>
          <w:szCs w:val="16"/>
          <w:b w:val="1"/>
          <w:bCs w:val="1"/>
          <w:color w:val="42423F"/>
        </w:rPr>
        <w:t xml:space="preserve"> </w:t>
      </w:r>
      <w:r>
        <w:rPr>
          <w:rFonts w:ascii="Arial" w:cs="Arial" w:eastAsia="Arial" w:hAnsi="Arial"/>
          <w:sz w:val="16"/>
          <w:szCs w:val="16"/>
          <w:color w:val="42423F"/>
        </w:rPr>
        <w:t>substantially</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the same general conditions unless excluded is considered to </w:t>
      </w:r>
      <w:r>
        <w:rPr>
          <w:rFonts w:ascii="Arial" w:cs="Arial" w:eastAsia="Arial" w:hAnsi="Arial"/>
          <w:sz w:val="16"/>
          <w:szCs w:val="16"/>
          <w:color w:val="31312F"/>
        </w:rPr>
        <w:t>be</w:t>
      </w:r>
      <w:r>
        <w:rPr>
          <w:rFonts w:ascii="Arial" w:cs="Arial" w:eastAsia="Arial" w:hAnsi="Arial"/>
          <w:sz w:val="16"/>
          <w:szCs w:val="16"/>
          <w:color w:val="42423F"/>
        </w:rPr>
        <w:t xml:space="preserve"> one occurrence</w:t>
      </w:r>
      <w:r>
        <w:rPr>
          <w:rFonts w:ascii="Arial" w:cs="Arial" w:eastAsia="Arial" w:hAnsi="Arial"/>
          <w:sz w:val="16"/>
          <w:szCs w:val="16"/>
          <w:color w:val="5D5D5B"/>
        </w:rPr>
        <w:t>.</w:t>
      </w:r>
    </w:p>
    <w:p>
      <w:pPr>
        <w:spacing w:after="0" w:line="83" w:lineRule="exact"/>
        <w:rPr>
          <w:sz w:val="20"/>
          <w:szCs w:val="20"/>
          <w:color w:val="auto"/>
        </w:rPr>
      </w:pPr>
    </w:p>
    <w:p>
      <w:pPr>
        <w:ind w:left="520" w:right="60"/>
        <w:spacing w:after="0" w:line="298" w:lineRule="auto"/>
        <w:rPr>
          <w:sz w:val="20"/>
          <w:szCs w:val="20"/>
          <w:color w:val="auto"/>
        </w:rPr>
      </w:pPr>
      <w:r>
        <w:rPr>
          <w:rFonts w:ascii="Arial" w:cs="Arial" w:eastAsia="Arial" w:hAnsi="Arial"/>
          <w:sz w:val="16"/>
          <w:szCs w:val="16"/>
          <w:b w:val="1"/>
          <w:bCs w:val="1"/>
          <w:color w:val="42423F"/>
        </w:rPr>
        <w:t xml:space="preserve">Business </w:t>
      </w:r>
      <w:r>
        <w:rPr>
          <w:rFonts w:ascii="Arial" w:cs="Arial" w:eastAsia="Arial" w:hAnsi="Arial"/>
          <w:sz w:val="16"/>
          <w:szCs w:val="16"/>
          <w:color w:val="42423F"/>
        </w:rPr>
        <w:t>means any employment, trade, occupation, profession, or farm operation including the raising or care of animals or any activities</w:t>
      </w:r>
      <w:r>
        <w:rPr>
          <w:rFonts w:ascii="Arial" w:cs="Arial" w:eastAsia="Arial" w:hAnsi="Arial"/>
          <w:sz w:val="16"/>
          <w:szCs w:val="16"/>
          <w:b w:val="1"/>
          <w:bCs w:val="1"/>
          <w:color w:val="42423F"/>
        </w:rPr>
        <w:t xml:space="preserve"> </w:t>
      </w:r>
      <w:r>
        <w:rPr>
          <w:rFonts w:ascii="Arial" w:cs="Arial" w:eastAsia="Arial" w:hAnsi="Arial"/>
          <w:sz w:val="16"/>
          <w:szCs w:val="16"/>
          <w:color w:val="31312F"/>
        </w:rPr>
        <w:t>intended to</w:t>
      </w:r>
      <w:r>
        <w:rPr>
          <w:rFonts w:ascii="Arial" w:cs="Arial" w:eastAsia="Arial" w:hAnsi="Arial"/>
          <w:sz w:val="16"/>
          <w:szCs w:val="16"/>
          <w:b w:val="1"/>
          <w:bCs w:val="1"/>
          <w:color w:val="42423F"/>
        </w:rPr>
        <w:t xml:space="preserve"> </w:t>
      </w:r>
      <w:r>
        <w:rPr>
          <w:rFonts w:ascii="Arial" w:cs="Arial" w:eastAsia="Arial" w:hAnsi="Arial"/>
          <w:sz w:val="16"/>
          <w:szCs w:val="16"/>
          <w:color w:val="42423F"/>
        </w:rPr>
        <w:t>realize a benefit</w:t>
      </w:r>
      <w:r>
        <w:rPr>
          <w:rFonts w:ascii="Arial" w:cs="Arial" w:eastAsia="Arial" w:hAnsi="Arial"/>
          <w:sz w:val="16"/>
          <w:szCs w:val="16"/>
          <w:b w:val="1"/>
          <w:bCs w:val="1"/>
          <w:color w:val="42423F"/>
        </w:rPr>
        <w:t xml:space="preserve"> </w:t>
      </w:r>
      <w:r>
        <w:rPr>
          <w:rFonts w:ascii="Arial" w:cs="Arial" w:eastAsia="Arial" w:hAnsi="Arial"/>
          <w:sz w:val="16"/>
          <w:szCs w:val="16"/>
          <w:color w:val="42423F"/>
        </w:rPr>
        <w:t>or financial gain engaged in on a full</w:t>
      </w:r>
      <w:r>
        <w:rPr>
          <w:rFonts w:ascii="Arial" w:cs="Arial" w:eastAsia="Arial" w:hAnsi="Arial"/>
          <w:sz w:val="16"/>
          <w:szCs w:val="16"/>
          <w:color w:val="5D5D5B"/>
        </w:rPr>
        <w:t>-</w:t>
      </w:r>
      <w:r>
        <w:rPr>
          <w:rFonts w:ascii="Arial" w:cs="Arial" w:eastAsia="Arial" w:hAnsi="Arial"/>
          <w:sz w:val="16"/>
          <w:szCs w:val="16"/>
          <w:color w:val="42423F"/>
        </w:rPr>
        <w:t>time, part-time or occasional basis.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42423F"/>
        </w:rPr>
        <w:t xml:space="preserve">Defined Group </w:t>
      </w:r>
      <w:r>
        <w:rPr>
          <w:rFonts w:ascii="Arial" w:cs="Arial" w:eastAsia="Arial" w:hAnsi="Arial"/>
          <w:sz w:val="15"/>
          <w:szCs w:val="15"/>
          <w:color w:val="42423F"/>
        </w:rPr>
        <w:t>means those individuals meeting the criteria for</w:t>
      </w:r>
      <w:r>
        <w:rPr>
          <w:rFonts w:ascii="Arial" w:cs="Arial" w:eastAsia="Arial" w:hAnsi="Arial"/>
          <w:sz w:val="15"/>
          <w:szCs w:val="15"/>
          <w:b w:val="1"/>
          <w:bCs w:val="1"/>
          <w:color w:val="42423F"/>
        </w:rPr>
        <w:t xml:space="preserve"> </w:t>
      </w:r>
      <w:r>
        <w:rPr>
          <w:rFonts w:ascii="Arial" w:cs="Arial" w:eastAsia="Arial" w:hAnsi="Arial"/>
          <w:sz w:val="15"/>
          <w:szCs w:val="15"/>
          <w:color w:val="31312F"/>
        </w:rPr>
        <w:t>qualification</w:t>
      </w:r>
      <w:r>
        <w:rPr>
          <w:rFonts w:ascii="Arial" w:cs="Arial" w:eastAsia="Arial" w:hAnsi="Arial"/>
          <w:sz w:val="15"/>
          <w:szCs w:val="15"/>
          <w:b w:val="1"/>
          <w:bCs w:val="1"/>
          <w:color w:val="42423F"/>
        </w:rPr>
        <w:t xml:space="preserve"> </w:t>
      </w:r>
      <w:r>
        <w:rPr>
          <w:rFonts w:ascii="Arial" w:cs="Arial" w:eastAsia="Arial" w:hAnsi="Arial"/>
          <w:sz w:val="15"/>
          <w:szCs w:val="15"/>
          <w:color w:val="42423F"/>
        </w:rPr>
        <w:t>as an Insured as defined by the Sponsoring Organization and accepted</w:t>
      </w:r>
      <w:r>
        <w:rPr>
          <w:rFonts w:ascii="Arial" w:cs="Arial" w:eastAsia="Arial" w:hAnsi="Arial"/>
          <w:sz w:val="15"/>
          <w:szCs w:val="15"/>
          <w:b w:val="1"/>
          <w:bCs w:val="1"/>
          <w:color w:val="42423F"/>
        </w:rPr>
        <w:t xml:space="preserve"> </w:t>
      </w:r>
      <w:r>
        <w:rPr>
          <w:rFonts w:ascii="Arial" w:cs="Arial" w:eastAsia="Arial" w:hAnsi="Arial"/>
          <w:sz w:val="15"/>
          <w:szCs w:val="15"/>
          <w:color w:val="31312F"/>
        </w:rPr>
        <w:t>by</w:t>
      </w:r>
      <w:r>
        <w:rPr>
          <w:rFonts w:ascii="Arial" w:cs="Arial" w:eastAsia="Arial" w:hAnsi="Arial"/>
          <w:sz w:val="15"/>
          <w:szCs w:val="15"/>
          <w:b w:val="1"/>
          <w:bCs w:val="1"/>
          <w:color w:val="42423F"/>
        </w:rPr>
        <w:t xml:space="preserve"> </w:t>
      </w:r>
      <w:r>
        <w:rPr>
          <w:rFonts w:ascii="Arial" w:cs="Arial" w:eastAsia="Arial" w:hAnsi="Arial"/>
          <w:sz w:val="15"/>
          <w:szCs w:val="15"/>
          <w:color w:val="42423F"/>
        </w:rPr>
        <w:t>us.</w:t>
      </w:r>
    </w:p>
    <w:p>
      <w:pPr>
        <w:spacing w:after="0" w:line="179" w:lineRule="exact"/>
        <w:rPr>
          <w:sz w:val="20"/>
          <w:szCs w:val="20"/>
          <w:color w:val="auto"/>
        </w:rPr>
      </w:pPr>
    </w:p>
    <w:p>
      <w:pPr>
        <w:jc w:val="both"/>
        <w:ind w:left="520"/>
        <w:spacing w:after="0" w:line="308" w:lineRule="auto"/>
        <w:rPr>
          <w:sz w:val="20"/>
          <w:szCs w:val="20"/>
          <w:color w:val="auto"/>
        </w:rPr>
      </w:pPr>
      <w:r>
        <w:rPr>
          <w:rFonts w:ascii="Arial" w:cs="Arial" w:eastAsia="Arial" w:hAnsi="Arial"/>
          <w:sz w:val="16"/>
          <w:szCs w:val="16"/>
          <w:b w:val="1"/>
          <w:bCs w:val="1"/>
          <w:color w:val="42423F"/>
        </w:rPr>
        <w:t xml:space="preserve">Follow form </w:t>
      </w:r>
      <w:r>
        <w:rPr>
          <w:rFonts w:ascii="Arial" w:cs="Arial" w:eastAsia="Arial" w:hAnsi="Arial"/>
          <w:sz w:val="16"/>
          <w:szCs w:val="16"/>
          <w:color w:val="42423F"/>
        </w:rPr>
        <w:t>means we cover damages to the</w:t>
      </w:r>
      <w:r>
        <w:rPr>
          <w:rFonts w:ascii="Arial" w:cs="Arial" w:eastAsia="Arial" w:hAnsi="Arial"/>
          <w:sz w:val="16"/>
          <w:szCs w:val="16"/>
          <w:b w:val="1"/>
          <w:bCs w:val="1"/>
          <w:color w:val="42423F"/>
        </w:rPr>
        <w:t xml:space="preserve"> </w:t>
      </w:r>
      <w:r>
        <w:rPr>
          <w:rFonts w:ascii="Arial" w:cs="Arial" w:eastAsia="Arial" w:hAnsi="Arial"/>
          <w:sz w:val="16"/>
          <w:szCs w:val="16"/>
          <w:color w:val="31312F"/>
        </w:rPr>
        <w:t>extent</w:t>
      </w:r>
      <w:r>
        <w:rPr>
          <w:rFonts w:ascii="Arial" w:cs="Arial" w:eastAsia="Arial" w:hAnsi="Arial"/>
          <w:sz w:val="16"/>
          <w:szCs w:val="16"/>
          <w:b w:val="1"/>
          <w:bCs w:val="1"/>
          <w:color w:val="42423F"/>
        </w:rPr>
        <w:t xml:space="preserve"> </w:t>
      </w:r>
      <w:r>
        <w:rPr>
          <w:rFonts w:ascii="Arial" w:cs="Arial" w:eastAsia="Arial" w:hAnsi="Arial"/>
          <w:sz w:val="16"/>
          <w:szCs w:val="16"/>
          <w:color w:val="42423F"/>
        </w:rPr>
        <w:t>they are both covered under the Required Primary Underlying Insurance and, not excluded under this policy. Also,</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the amount of coverage, defense coverages, cancellation </w:t>
      </w:r>
      <w:r>
        <w:rPr>
          <w:rFonts w:ascii="Arial" w:cs="Arial" w:eastAsia="Arial" w:hAnsi="Arial"/>
          <w:sz w:val="16"/>
          <w:szCs w:val="16"/>
          <w:color w:val="31312F"/>
        </w:rPr>
        <w:t>and</w:t>
      </w:r>
      <w:r>
        <w:rPr>
          <w:rFonts w:ascii="Arial" w:cs="Arial" w:eastAsia="Arial" w:hAnsi="Arial"/>
          <w:sz w:val="16"/>
          <w:szCs w:val="16"/>
          <w:color w:val="42423F"/>
        </w:rPr>
        <w:t xml:space="preserve"> </w:t>
      </w:r>
      <w:r>
        <w:rPr>
          <w:rFonts w:ascii="Arial" w:cs="Arial" w:eastAsia="Arial" w:hAnsi="Arial"/>
          <w:sz w:val="16"/>
          <w:szCs w:val="16"/>
          <w:color w:val="5D5D5B"/>
        </w:rPr>
        <w:t>"</w:t>
      </w:r>
      <w:r>
        <w:rPr>
          <w:rFonts w:ascii="Arial" w:cs="Arial" w:eastAsia="Arial" w:hAnsi="Arial"/>
          <w:sz w:val="16"/>
          <w:szCs w:val="16"/>
          <w:color w:val="42423F"/>
        </w:rPr>
        <w:t xml:space="preserve">other insurance" provisions of this policy supersede and replace the similar provisions contained in such other policies. When this policy is called </w:t>
      </w:r>
      <w:r>
        <w:rPr>
          <w:rFonts w:ascii="Arial" w:cs="Arial" w:eastAsia="Arial" w:hAnsi="Arial"/>
          <w:sz w:val="16"/>
          <w:szCs w:val="16"/>
          <w:color w:val="31312F"/>
        </w:rPr>
        <w:t>upon</w:t>
      </w:r>
      <w:r>
        <w:rPr>
          <w:rFonts w:ascii="Arial" w:cs="Arial" w:eastAsia="Arial" w:hAnsi="Arial"/>
          <w:sz w:val="16"/>
          <w:szCs w:val="16"/>
          <w:color w:val="42423F"/>
        </w:rPr>
        <w:t xml:space="preserve"> to pay losses in excess of required primary underlying policies exhausted by payment of claims, we do not provide broader coverage </w:t>
      </w:r>
      <w:r>
        <w:rPr>
          <w:rFonts w:ascii="Arial" w:cs="Arial" w:eastAsia="Arial" w:hAnsi="Arial"/>
          <w:sz w:val="16"/>
          <w:szCs w:val="16"/>
          <w:color w:val="31312F"/>
        </w:rPr>
        <w:t>than</w:t>
      </w:r>
      <w:r>
        <w:rPr>
          <w:rFonts w:ascii="Arial" w:cs="Arial" w:eastAsia="Arial" w:hAnsi="Arial"/>
          <w:sz w:val="16"/>
          <w:szCs w:val="16"/>
          <w:color w:val="42423F"/>
        </w:rPr>
        <w:t xml:space="preserve"> provided by such policies</w:t>
      </w:r>
      <w:r>
        <w:rPr>
          <w:rFonts w:ascii="Arial" w:cs="Arial" w:eastAsia="Arial" w:hAnsi="Arial"/>
          <w:sz w:val="16"/>
          <w:szCs w:val="16"/>
          <w:color w:val="5D5D5B"/>
        </w:rPr>
        <w:t>.</w:t>
      </w:r>
      <w:r>
        <w:rPr>
          <w:rFonts w:ascii="Arial" w:cs="Arial" w:eastAsia="Arial" w:hAnsi="Arial"/>
          <w:sz w:val="16"/>
          <w:szCs w:val="16"/>
          <w:color w:val="42423F"/>
        </w:rPr>
        <w:t xml:space="preserve"> When no primary underlying coverage exists, the extent of coverage provided on a follow form </w:t>
      </w:r>
      <w:r>
        <w:rPr>
          <w:rFonts w:ascii="Arial" w:cs="Arial" w:eastAsia="Arial" w:hAnsi="Arial"/>
          <w:sz w:val="16"/>
          <w:szCs w:val="16"/>
          <w:color w:val="31312F"/>
        </w:rPr>
        <w:t>basis</w:t>
      </w:r>
      <w:r>
        <w:rPr>
          <w:rFonts w:ascii="Arial" w:cs="Arial" w:eastAsia="Arial" w:hAnsi="Arial"/>
          <w:sz w:val="16"/>
          <w:szCs w:val="16"/>
          <w:color w:val="42423F"/>
        </w:rPr>
        <w:t xml:space="preserve"> will </w:t>
      </w:r>
      <w:r>
        <w:rPr>
          <w:rFonts w:ascii="Arial" w:cs="Arial" w:eastAsia="Arial" w:hAnsi="Arial"/>
          <w:sz w:val="15"/>
          <w:szCs w:val="15"/>
          <w:color w:val="42423F"/>
        </w:rPr>
        <w:t>be</w:t>
      </w:r>
      <w:r>
        <w:rPr>
          <w:rFonts w:ascii="Arial" w:cs="Arial" w:eastAsia="Arial" w:hAnsi="Arial"/>
          <w:sz w:val="16"/>
          <w:szCs w:val="16"/>
          <w:color w:val="42423F"/>
        </w:rPr>
        <w:t xml:space="preserve"> determined as </w:t>
      </w:r>
      <w:r>
        <w:rPr>
          <w:rFonts w:ascii="Arial" w:cs="Arial" w:eastAsia="Arial" w:hAnsi="Arial"/>
          <w:sz w:val="15"/>
          <w:szCs w:val="15"/>
          <w:color w:val="42423F"/>
        </w:rPr>
        <w:t>if</w:t>
      </w:r>
      <w:r>
        <w:rPr>
          <w:rFonts w:ascii="Arial" w:cs="Arial" w:eastAsia="Arial" w:hAnsi="Arial"/>
          <w:sz w:val="16"/>
          <w:szCs w:val="16"/>
          <w:color w:val="42423F"/>
        </w:rPr>
        <w:t xml:space="preserve"> the required primary underlying insurance had been purchased from us.</w:t>
      </w:r>
    </w:p>
    <w:p>
      <w:pPr>
        <w:spacing w:after="0" w:line="7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2423F"/>
        </w:rPr>
        <w:t xml:space="preserve">Covered person </w:t>
      </w:r>
      <w:r>
        <w:rPr>
          <w:rFonts w:ascii="Arial" w:cs="Arial" w:eastAsia="Arial" w:hAnsi="Arial"/>
          <w:sz w:val="16"/>
          <w:szCs w:val="16"/>
          <w:color w:val="42423F"/>
        </w:rPr>
        <w:t>means</w:t>
      </w:r>
      <w:r>
        <w:rPr>
          <w:rFonts w:ascii="Arial" w:cs="Arial" w:eastAsia="Arial" w:hAnsi="Arial"/>
          <w:sz w:val="16"/>
          <w:szCs w:val="16"/>
          <w:color w:val="5D5D5B"/>
        </w:rPr>
        <w:t>:</w:t>
      </w:r>
    </w:p>
    <w:p>
      <w:pPr>
        <w:spacing w:after="0" w:line="77" w:lineRule="exact"/>
        <w:rPr>
          <w:sz w:val="20"/>
          <w:szCs w:val="20"/>
          <w:color w:val="auto"/>
        </w:rPr>
      </w:pPr>
    </w:p>
    <w:p>
      <w:pPr>
        <w:ind w:left="820" w:hanging="258"/>
        <w:spacing w:after="0"/>
        <w:tabs>
          <w:tab w:leader="none" w:pos="820" w:val="left"/>
        </w:tabs>
        <w:numPr>
          <w:ilvl w:val="0"/>
          <w:numId w:val="85"/>
        </w:numPr>
        <w:rPr>
          <w:rFonts w:ascii="Arial" w:cs="Arial" w:eastAsia="Arial" w:hAnsi="Arial"/>
          <w:sz w:val="16"/>
          <w:szCs w:val="16"/>
          <w:color w:val="42423F"/>
        </w:rPr>
      </w:pPr>
      <w:r>
        <w:rPr>
          <w:rFonts w:ascii="Arial" w:cs="Arial" w:eastAsia="Arial" w:hAnsi="Arial"/>
          <w:sz w:val="16"/>
          <w:szCs w:val="16"/>
          <w:color w:val="42423F"/>
        </w:rPr>
        <w:t>you or a family member;</w:t>
      </w:r>
    </w:p>
    <w:p>
      <w:pPr>
        <w:spacing w:after="0" w:line="86" w:lineRule="exact"/>
        <w:rPr>
          <w:rFonts w:ascii="Arial" w:cs="Arial" w:eastAsia="Arial" w:hAnsi="Arial"/>
          <w:sz w:val="16"/>
          <w:szCs w:val="16"/>
          <w:color w:val="42423F"/>
        </w:rPr>
      </w:pPr>
    </w:p>
    <w:p>
      <w:pPr>
        <w:ind w:left="820" w:right="200" w:hanging="258"/>
        <w:spacing w:after="0" w:line="363" w:lineRule="auto"/>
        <w:tabs>
          <w:tab w:leader="none" w:pos="820" w:val="left"/>
        </w:tabs>
        <w:numPr>
          <w:ilvl w:val="0"/>
          <w:numId w:val="85"/>
        </w:numPr>
        <w:rPr>
          <w:rFonts w:ascii="Arial" w:cs="Arial" w:eastAsia="Arial" w:hAnsi="Arial"/>
          <w:sz w:val="16"/>
          <w:szCs w:val="16"/>
          <w:color w:val="42423F"/>
        </w:rPr>
      </w:pPr>
      <w:r>
        <w:rPr>
          <w:rFonts w:ascii="Arial" w:cs="Arial" w:eastAsia="Arial" w:hAnsi="Arial"/>
          <w:sz w:val="16"/>
          <w:szCs w:val="16"/>
          <w:color w:val="42423F"/>
        </w:rPr>
        <w:t xml:space="preserve">any person using a vehicle or watercraft covered under this policy with permission from you or a family member with </w:t>
      </w:r>
      <w:r>
        <w:rPr>
          <w:rFonts w:ascii="Arial" w:cs="Arial" w:eastAsia="Arial" w:hAnsi="Arial"/>
          <w:sz w:val="16"/>
          <w:szCs w:val="16"/>
          <w:color w:val="31312F"/>
        </w:rPr>
        <w:t>respect</w:t>
      </w:r>
      <w:r>
        <w:rPr>
          <w:rFonts w:ascii="Arial" w:cs="Arial" w:eastAsia="Arial" w:hAnsi="Arial"/>
          <w:sz w:val="16"/>
          <w:szCs w:val="16"/>
          <w:color w:val="42423F"/>
        </w:rPr>
        <w:t xml:space="preserve"> to their legal responsibility arising out of its </w:t>
      </w:r>
      <w:r>
        <w:rPr>
          <w:rFonts w:ascii="Arial" w:cs="Arial" w:eastAsia="Arial" w:hAnsi="Arial"/>
          <w:sz w:val="16"/>
          <w:szCs w:val="16"/>
          <w:color w:val="31312F"/>
        </w:rPr>
        <w:t>use;</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2 of 15</w:t>
      </w:r>
    </w:p>
    <w:p>
      <w:pPr>
        <w:sectPr>
          <w:pgSz w:w="11900" w:h="16838" w:orient="portrait"/>
          <w:cols w:equalWidth="0" w:num="1">
            <w:col w:w="11420"/>
          </w:cols>
          <w:pgMar w:left="240" w:top="838" w:right="239" w:bottom="1440" w:gutter="0" w:footer="0" w:header="0"/>
        </w:sectPr>
      </w:pPr>
    </w:p>
    <w:bookmarkStart w:id="139" w:name="page140"/>
    <w:bookmarkEnd w:id="139"/>
    <w:p>
      <w:pPr>
        <w:ind w:left="820" w:hanging="258"/>
        <w:spacing w:after="0"/>
        <w:tabs>
          <w:tab w:leader="none" w:pos="820" w:val="left"/>
        </w:tabs>
        <w:numPr>
          <w:ilvl w:val="0"/>
          <w:numId w:val="86"/>
        </w:numPr>
        <w:rPr>
          <w:rFonts w:ascii="Arial" w:cs="Arial" w:eastAsia="Arial" w:hAnsi="Arial"/>
          <w:sz w:val="16"/>
          <w:szCs w:val="16"/>
          <w:color w:val="42423F"/>
        </w:rPr>
      </w:pPr>
      <w:r>
        <w:rPr>
          <w:rFonts w:ascii="Arial" w:cs="Arial" w:eastAsia="Arial" w:hAnsi="Arial"/>
          <w:sz w:val="16"/>
          <w:szCs w:val="16"/>
          <w:color w:val="42423F"/>
        </w:rPr>
        <w:t xml:space="preserve">any other person who is a covered person under your Required </w:t>
      </w:r>
      <w:r>
        <w:rPr>
          <w:rFonts w:ascii="Arial" w:cs="Arial" w:eastAsia="Arial" w:hAnsi="Arial"/>
          <w:sz w:val="17"/>
          <w:szCs w:val="17"/>
          <w:color w:val="42423F"/>
        </w:rPr>
        <w:t>Primary</w:t>
      </w:r>
      <w:r>
        <w:rPr>
          <w:rFonts w:ascii="Arial" w:cs="Arial" w:eastAsia="Arial" w:hAnsi="Arial"/>
          <w:sz w:val="16"/>
          <w:szCs w:val="16"/>
          <w:color w:val="42423F"/>
        </w:rPr>
        <w:t xml:space="preserve"> Underlying Insurance;</w:t>
      </w:r>
    </w:p>
    <w:p>
      <w:pPr>
        <w:spacing w:after="0" w:line="55" w:lineRule="exact"/>
        <w:rPr>
          <w:rFonts w:ascii="Arial" w:cs="Arial" w:eastAsia="Arial" w:hAnsi="Arial"/>
          <w:sz w:val="16"/>
          <w:szCs w:val="16"/>
          <w:color w:val="42423F"/>
        </w:rPr>
      </w:pPr>
    </w:p>
    <w:p>
      <w:pPr>
        <w:ind w:left="820" w:hanging="258"/>
        <w:spacing w:after="0"/>
        <w:tabs>
          <w:tab w:leader="none" w:pos="820" w:val="left"/>
        </w:tabs>
        <w:numPr>
          <w:ilvl w:val="0"/>
          <w:numId w:val="86"/>
        </w:numPr>
        <w:rPr>
          <w:rFonts w:ascii="Arial" w:cs="Arial" w:eastAsia="Arial" w:hAnsi="Arial"/>
          <w:sz w:val="14"/>
          <w:szCs w:val="14"/>
          <w:color w:val="42423F"/>
        </w:rPr>
      </w:pPr>
      <w:r>
        <w:rPr>
          <w:rFonts w:ascii="Arial" w:cs="Arial" w:eastAsia="Arial" w:hAnsi="Arial"/>
          <w:sz w:val="14"/>
          <w:szCs w:val="14"/>
          <w:color w:val="42423F"/>
        </w:rPr>
        <w:t xml:space="preserve">any person or organization with respect </w:t>
      </w:r>
      <w:r>
        <w:rPr>
          <w:rFonts w:ascii="Arial" w:cs="Arial" w:eastAsia="Arial" w:hAnsi="Arial"/>
          <w:sz w:val="14"/>
          <w:szCs w:val="14"/>
          <w:color w:val="31312F"/>
        </w:rPr>
        <w:t>to</w:t>
      </w:r>
      <w:r>
        <w:rPr>
          <w:rFonts w:ascii="Arial" w:cs="Arial" w:eastAsia="Arial" w:hAnsi="Arial"/>
          <w:sz w:val="14"/>
          <w:szCs w:val="14"/>
          <w:color w:val="42423F"/>
        </w:rPr>
        <w:t xml:space="preserve"> their legal responsibility for covered acts or omissions of you or a family member; or</w:t>
      </w:r>
    </w:p>
    <w:p>
      <w:pPr>
        <w:spacing w:after="0" w:line="45" w:lineRule="exact"/>
        <w:rPr>
          <w:rFonts w:ascii="Arial" w:cs="Arial" w:eastAsia="Arial" w:hAnsi="Arial"/>
          <w:sz w:val="14"/>
          <w:szCs w:val="14"/>
          <w:color w:val="42423F"/>
        </w:rPr>
      </w:pPr>
    </w:p>
    <w:p>
      <w:pPr>
        <w:ind w:left="820" w:hanging="258"/>
        <w:spacing w:after="0"/>
        <w:tabs>
          <w:tab w:leader="none" w:pos="820" w:val="left"/>
        </w:tabs>
        <w:numPr>
          <w:ilvl w:val="0"/>
          <w:numId w:val="86"/>
        </w:numPr>
        <w:rPr>
          <w:rFonts w:ascii="Arial" w:cs="Arial" w:eastAsia="Arial" w:hAnsi="Arial"/>
          <w:sz w:val="16"/>
          <w:szCs w:val="16"/>
          <w:color w:val="42423F"/>
        </w:rPr>
      </w:pPr>
      <w:r>
        <w:rPr>
          <w:rFonts w:ascii="Arial" w:cs="Arial" w:eastAsia="Arial" w:hAnsi="Arial"/>
          <w:sz w:val="16"/>
          <w:szCs w:val="16"/>
          <w:color w:val="42423F"/>
        </w:rPr>
        <w:t>any combination of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_________________________________________________________________________________________________________________________</w:t>
      </w:r>
    </w:p>
    <w:p>
      <w:pPr>
        <w:spacing w:after="0" w:line="5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2 of 15</w:t>
      </w:r>
    </w:p>
    <w:p>
      <w:pPr>
        <w:sectPr>
          <w:pgSz w:w="11900" w:h="16838" w:orient="portrait"/>
          <w:cols w:equalWidth="0" w:num="1">
            <w:col w:w="10219"/>
          </w:cols>
          <w:pgMar w:left="240" w:top="635" w:right="1440" w:bottom="1440" w:gutter="0" w:footer="0" w:header="0"/>
        </w:sectPr>
      </w:pPr>
    </w:p>
    <w:bookmarkStart w:id="140" w:name="page141"/>
    <w:bookmarkEnd w:id="140"/>
    <w:p>
      <w:pPr>
        <w:ind w:left="120"/>
        <w:spacing w:after="0"/>
        <w:rPr>
          <w:sz w:val="20"/>
          <w:szCs w:val="20"/>
          <w:color w:val="auto"/>
        </w:rPr>
      </w:pPr>
      <w:r>
        <w:rPr>
          <w:rFonts w:ascii="Arial" w:cs="Arial" w:eastAsia="Arial" w:hAnsi="Arial"/>
          <w:sz w:val="22"/>
          <w:szCs w:val="22"/>
          <w:b w:val="1"/>
          <w:bCs w:val="1"/>
          <w:i w:val="1"/>
          <w:iCs w:val="1"/>
          <w:color w:val="42423F"/>
        </w:rPr>
        <w:t>Definitions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2423F"/>
        </w:rPr>
        <w:t>(continued)</w:t>
      </w:r>
    </w:p>
    <w:p>
      <w:pPr>
        <w:spacing w:after="0" w:line="200" w:lineRule="exact"/>
        <w:rPr>
          <w:sz w:val="20"/>
          <w:szCs w:val="20"/>
          <w:color w:val="auto"/>
        </w:r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42423F"/>
        </w:rPr>
        <w:t xml:space="preserve">Damages </w:t>
      </w:r>
      <w:r>
        <w:rPr>
          <w:rFonts w:ascii="Arial" w:cs="Arial" w:eastAsia="Arial" w:hAnsi="Arial"/>
          <w:sz w:val="16"/>
          <w:szCs w:val="16"/>
          <w:color w:val="42423F"/>
        </w:rPr>
        <w:t>mean the sum that is paid or is payable to satisfy a claim settled by us or resolved by judicial procedure or by a compromise we agree to in writing.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2423F"/>
        </w:rPr>
        <w:t xml:space="preserve">Personal </w:t>
      </w:r>
      <w:r>
        <w:rPr>
          <w:rFonts w:ascii="Arial" w:cs="Arial" w:eastAsia="Arial" w:hAnsi="Arial"/>
          <w:sz w:val="16"/>
          <w:szCs w:val="16"/>
          <w:b w:val="1"/>
          <w:bCs w:val="1"/>
          <w:color w:val="42423F"/>
        </w:rPr>
        <w:t>injury</w:t>
      </w:r>
      <w:r>
        <w:rPr>
          <w:rFonts w:ascii="Arial" w:cs="Arial" w:eastAsia="Arial" w:hAnsi="Arial"/>
          <w:sz w:val="17"/>
          <w:szCs w:val="17"/>
          <w:b w:val="1"/>
          <w:bCs w:val="1"/>
          <w:color w:val="42423F"/>
        </w:rPr>
        <w:t xml:space="preserve"> </w:t>
      </w:r>
      <w:r>
        <w:rPr>
          <w:rFonts w:ascii="Arial" w:cs="Arial" w:eastAsia="Arial" w:hAnsi="Arial"/>
          <w:sz w:val="16"/>
          <w:szCs w:val="16"/>
          <w:color w:val="42423F"/>
        </w:rPr>
        <w:t>means the following in</w:t>
      </w:r>
      <w:r>
        <w:rPr>
          <w:rFonts w:ascii="Arial" w:cs="Arial" w:eastAsia="Arial" w:hAnsi="Arial"/>
          <w:sz w:val="16"/>
          <w:szCs w:val="16"/>
          <w:color w:val="5E5E5D"/>
        </w:rPr>
        <w:t>j</w:t>
      </w:r>
      <w:r>
        <w:rPr>
          <w:rFonts w:ascii="Arial" w:cs="Arial" w:eastAsia="Arial" w:hAnsi="Arial"/>
          <w:sz w:val="16"/>
          <w:szCs w:val="16"/>
          <w:color w:val="42423F"/>
        </w:rPr>
        <w:t>uries, and resulting death:</w:t>
      </w:r>
    </w:p>
    <w:p>
      <w:pPr>
        <w:spacing w:after="0" w:line="48" w:lineRule="exact"/>
        <w:rPr>
          <w:sz w:val="20"/>
          <w:szCs w:val="20"/>
          <w:color w:val="auto"/>
        </w:rPr>
      </w:pPr>
    </w:p>
    <w:p>
      <w:pPr>
        <w:ind w:left="500" w:hanging="330"/>
        <w:spacing w:after="0"/>
        <w:tabs>
          <w:tab w:leader="none" w:pos="500" w:val="left"/>
        </w:tabs>
        <w:numPr>
          <w:ilvl w:val="0"/>
          <w:numId w:val="87"/>
        </w:numPr>
        <w:rPr>
          <w:rFonts w:ascii="Arial" w:cs="Arial" w:eastAsia="Arial" w:hAnsi="Arial"/>
          <w:sz w:val="16"/>
          <w:szCs w:val="16"/>
          <w:color w:val="auto"/>
        </w:rPr>
      </w:pPr>
      <w:r>
        <w:rPr>
          <w:rFonts w:ascii="Arial" w:cs="Arial" w:eastAsia="Arial" w:hAnsi="Arial"/>
          <w:sz w:val="16"/>
          <w:szCs w:val="16"/>
          <w:color w:val="42423F"/>
        </w:rPr>
        <w:t>bodily injury;</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87"/>
        </w:numPr>
        <w:rPr>
          <w:rFonts w:ascii="Arial" w:cs="Arial" w:eastAsia="Arial" w:hAnsi="Arial"/>
          <w:sz w:val="16"/>
          <w:szCs w:val="16"/>
          <w:color w:val="auto"/>
        </w:rPr>
      </w:pPr>
      <w:r>
        <w:rPr>
          <w:rFonts w:ascii="Arial" w:cs="Arial" w:eastAsia="Arial" w:hAnsi="Arial"/>
          <w:sz w:val="16"/>
          <w:szCs w:val="16"/>
          <w:color w:val="42423F"/>
        </w:rPr>
        <w:t>shock, mental anguish, or mental injury;</w:t>
      </w:r>
    </w:p>
    <w:p>
      <w:pPr>
        <w:spacing w:after="0" w:line="32" w:lineRule="exact"/>
        <w:rPr>
          <w:rFonts w:ascii="Arial" w:cs="Arial" w:eastAsia="Arial" w:hAnsi="Arial"/>
          <w:sz w:val="16"/>
          <w:szCs w:val="16"/>
          <w:color w:val="auto"/>
        </w:rPr>
      </w:pPr>
    </w:p>
    <w:p>
      <w:pPr>
        <w:ind w:left="500" w:hanging="330"/>
        <w:spacing w:after="0"/>
        <w:tabs>
          <w:tab w:leader="none" w:pos="500" w:val="left"/>
        </w:tabs>
        <w:numPr>
          <w:ilvl w:val="0"/>
          <w:numId w:val="87"/>
        </w:numPr>
        <w:rPr>
          <w:rFonts w:ascii="Arial" w:cs="Arial" w:eastAsia="Arial" w:hAnsi="Arial"/>
          <w:sz w:val="16"/>
          <w:szCs w:val="16"/>
          <w:color w:val="auto"/>
        </w:rPr>
      </w:pPr>
      <w:r>
        <w:rPr>
          <w:rFonts w:ascii="Arial" w:cs="Arial" w:eastAsia="Arial" w:hAnsi="Arial"/>
          <w:sz w:val="16"/>
          <w:szCs w:val="16"/>
          <w:color w:val="42423F"/>
        </w:rPr>
        <w:t>false arrest, false imprisonment, or wrongful detention</w:t>
      </w:r>
      <w:r>
        <w:rPr>
          <w:rFonts w:ascii="Arial" w:cs="Arial" w:eastAsia="Arial" w:hAnsi="Arial"/>
          <w:sz w:val="16"/>
          <w:szCs w:val="16"/>
          <w:color w:val="5E5E5D"/>
        </w:rPr>
        <w:t>;</w:t>
      </w:r>
    </w:p>
    <w:p>
      <w:pPr>
        <w:spacing w:after="0" w:line="22" w:lineRule="exact"/>
        <w:rPr>
          <w:rFonts w:ascii="Arial" w:cs="Arial" w:eastAsia="Arial" w:hAnsi="Arial"/>
          <w:sz w:val="16"/>
          <w:szCs w:val="16"/>
          <w:color w:val="auto"/>
        </w:rPr>
      </w:pPr>
    </w:p>
    <w:p>
      <w:pPr>
        <w:ind w:left="500" w:hanging="330"/>
        <w:spacing w:after="0"/>
        <w:tabs>
          <w:tab w:leader="none" w:pos="500" w:val="left"/>
        </w:tabs>
        <w:numPr>
          <w:ilvl w:val="0"/>
          <w:numId w:val="87"/>
        </w:numPr>
        <w:rPr>
          <w:rFonts w:ascii="Arial" w:cs="Arial" w:eastAsia="Arial" w:hAnsi="Arial"/>
          <w:sz w:val="16"/>
          <w:szCs w:val="16"/>
          <w:color w:val="auto"/>
        </w:rPr>
      </w:pPr>
      <w:r>
        <w:rPr>
          <w:rFonts w:ascii="Arial" w:cs="Arial" w:eastAsia="Arial" w:hAnsi="Arial"/>
          <w:sz w:val="16"/>
          <w:szCs w:val="16"/>
          <w:color w:val="42423F"/>
        </w:rPr>
        <w:t>wrongful entry or eviction;</w:t>
      </w:r>
    </w:p>
    <w:p>
      <w:pPr>
        <w:spacing w:after="0" w:line="18" w:lineRule="exact"/>
        <w:rPr>
          <w:rFonts w:ascii="Arial" w:cs="Arial" w:eastAsia="Arial" w:hAnsi="Arial"/>
          <w:sz w:val="16"/>
          <w:szCs w:val="16"/>
          <w:color w:val="auto"/>
        </w:rPr>
      </w:pPr>
    </w:p>
    <w:p>
      <w:pPr>
        <w:ind w:left="500" w:hanging="330"/>
        <w:spacing w:after="0"/>
        <w:tabs>
          <w:tab w:leader="none" w:pos="500" w:val="left"/>
        </w:tabs>
        <w:numPr>
          <w:ilvl w:val="0"/>
          <w:numId w:val="87"/>
        </w:numPr>
        <w:rPr>
          <w:rFonts w:ascii="Arial" w:cs="Arial" w:eastAsia="Arial" w:hAnsi="Arial"/>
          <w:sz w:val="16"/>
          <w:szCs w:val="16"/>
          <w:color w:val="auto"/>
        </w:rPr>
      </w:pPr>
      <w:r>
        <w:rPr>
          <w:rFonts w:ascii="Arial" w:cs="Arial" w:eastAsia="Arial" w:hAnsi="Arial"/>
          <w:sz w:val="16"/>
          <w:szCs w:val="16"/>
          <w:color w:val="42423F"/>
        </w:rPr>
        <w:t>malicious prosecution or humiliation; and</w:t>
      </w:r>
    </w:p>
    <w:p>
      <w:pPr>
        <w:spacing w:after="0" w:line="82" w:lineRule="exact"/>
        <w:rPr>
          <w:rFonts w:ascii="Arial" w:cs="Arial" w:eastAsia="Arial" w:hAnsi="Arial"/>
          <w:sz w:val="16"/>
          <w:szCs w:val="16"/>
          <w:color w:val="auto"/>
        </w:rPr>
      </w:pPr>
    </w:p>
    <w:p>
      <w:pPr>
        <w:ind w:left="500" w:hanging="330"/>
        <w:spacing w:after="0"/>
        <w:tabs>
          <w:tab w:leader="none" w:pos="500" w:val="left"/>
        </w:tabs>
        <w:numPr>
          <w:ilvl w:val="0"/>
          <w:numId w:val="87"/>
        </w:numPr>
        <w:rPr>
          <w:rFonts w:ascii="Arial" w:cs="Arial" w:eastAsia="Arial" w:hAnsi="Arial"/>
          <w:sz w:val="16"/>
          <w:szCs w:val="16"/>
          <w:color w:val="auto"/>
        </w:rPr>
      </w:pPr>
      <w:r>
        <w:rPr>
          <w:rFonts w:ascii="Arial" w:cs="Arial" w:eastAsia="Arial" w:hAnsi="Arial"/>
          <w:sz w:val="16"/>
          <w:szCs w:val="16"/>
          <w:color w:val="42423F"/>
        </w:rPr>
        <w:t>libel, slander, defamation of character, or invasion of privacy.</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2423F"/>
        </w:rPr>
        <w:t xml:space="preserve">Bodily </w:t>
      </w:r>
      <w:r>
        <w:rPr>
          <w:rFonts w:ascii="Arial" w:cs="Arial" w:eastAsia="Arial" w:hAnsi="Arial"/>
          <w:sz w:val="16"/>
          <w:szCs w:val="16"/>
          <w:b w:val="1"/>
          <w:bCs w:val="1"/>
          <w:color w:val="42423F"/>
        </w:rPr>
        <w:t>injury</w:t>
      </w:r>
      <w:r>
        <w:rPr>
          <w:rFonts w:ascii="Arial" w:cs="Arial" w:eastAsia="Arial" w:hAnsi="Arial"/>
          <w:sz w:val="17"/>
          <w:szCs w:val="17"/>
          <w:b w:val="1"/>
          <w:bCs w:val="1"/>
          <w:color w:val="42423F"/>
        </w:rPr>
        <w:t xml:space="preserve"> </w:t>
      </w:r>
      <w:r>
        <w:rPr>
          <w:rFonts w:ascii="Arial" w:cs="Arial" w:eastAsia="Arial" w:hAnsi="Arial"/>
          <w:sz w:val="16"/>
          <w:szCs w:val="16"/>
          <w:color w:val="42423F"/>
        </w:rPr>
        <w:t>means physical bodily harm, including sickne</w:t>
      </w:r>
      <w:r>
        <w:rPr>
          <w:rFonts w:ascii="Arial" w:cs="Arial" w:eastAsia="Arial" w:hAnsi="Arial"/>
          <w:sz w:val="16"/>
          <w:szCs w:val="16"/>
          <w:color w:val="5E5E5D"/>
        </w:rPr>
        <w:t>s</w:t>
      </w:r>
      <w:r>
        <w:rPr>
          <w:rFonts w:ascii="Arial" w:cs="Arial" w:eastAsia="Arial" w:hAnsi="Arial"/>
          <w:sz w:val="16"/>
          <w:szCs w:val="16"/>
          <w:color w:val="42423F"/>
        </w:rPr>
        <w:t>s or disease that results from it, and required care, loss of services and resulting death.</w:t>
      </w:r>
    </w:p>
    <w:p>
      <w:pPr>
        <w:spacing w:after="0" w:line="142" w:lineRule="exact"/>
        <w:rPr>
          <w:sz w:val="20"/>
          <w:szCs w:val="20"/>
          <w:color w:val="auto"/>
        </w:rPr>
      </w:pPr>
    </w:p>
    <w:p>
      <w:pPr>
        <w:jc w:val="both"/>
        <w:ind w:left="120"/>
        <w:spacing w:after="0" w:line="323" w:lineRule="auto"/>
        <w:rPr>
          <w:sz w:val="20"/>
          <w:szCs w:val="20"/>
          <w:color w:val="auto"/>
        </w:rPr>
      </w:pPr>
      <w:r>
        <w:rPr>
          <w:rFonts w:ascii="Arial" w:cs="Arial" w:eastAsia="Arial" w:hAnsi="Arial"/>
          <w:sz w:val="17"/>
          <w:szCs w:val="17"/>
          <w:b w:val="1"/>
          <w:bCs w:val="1"/>
          <w:color w:val="42423F"/>
        </w:rPr>
        <w:t xml:space="preserve">Property damage </w:t>
      </w:r>
      <w:r>
        <w:rPr>
          <w:rFonts w:ascii="Arial" w:cs="Arial" w:eastAsia="Arial" w:hAnsi="Arial"/>
          <w:sz w:val="16"/>
          <w:szCs w:val="16"/>
          <w:color w:val="42423F"/>
        </w:rPr>
        <w:t>means physical injury to or destruction of tangible property and the resulting loss of</w:t>
      </w:r>
      <w:r>
        <w:rPr>
          <w:rFonts w:ascii="Arial" w:cs="Arial" w:eastAsia="Arial" w:hAnsi="Arial"/>
          <w:sz w:val="17"/>
          <w:szCs w:val="17"/>
          <w:b w:val="1"/>
          <w:bCs w:val="1"/>
          <w:color w:val="42423F"/>
        </w:rPr>
        <w:t xml:space="preserve"> </w:t>
      </w:r>
      <w:r>
        <w:rPr>
          <w:rFonts w:ascii="Arial" w:cs="Arial" w:eastAsia="Arial" w:hAnsi="Arial"/>
          <w:sz w:val="16"/>
          <w:szCs w:val="16"/>
          <w:color w:val="2F2F2F"/>
        </w:rPr>
        <w:t>its</w:t>
      </w:r>
      <w:r>
        <w:rPr>
          <w:rFonts w:ascii="Arial" w:cs="Arial" w:eastAsia="Arial" w:hAnsi="Arial"/>
          <w:sz w:val="17"/>
          <w:szCs w:val="17"/>
          <w:b w:val="1"/>
          <w:bCs w:val="1"/>
          <w:color w:val="42423F"/>
        </w:rPr>
        <w:t xml:space="preserve"> </w:t>
      </w:r>
      <w:r>
        <w:rPr>
          <w:rFonts w:ascii="Arial" w:cs="Arial" w:eastAsia="Arial" w:hAnsi="Arial"/>
          <w:sz w:val="16"/>
          <w:szCs w:val="16"/>
          <w:color w:val="42423F"/>
        </w:rPr>
        <w:t>use. Tangible property includes the cost of recreating or replacing</w:t>
      </w:r>
      <w:r>
        <w:rPr>
          <w:rFonts w:ascii="Arial" w:cs="Arial" w:eastAsia="Arial" w:hAnsi="Arial"/>
          <w:sz w:val="17"/>
          <w:szCs w:val="17"/>
          <w:b w:val="1"/>
          <w:bCs w:val="1"/>
          <w:color w:val="42423F"/>
        </w:rPr>
        <w:t xml:space="preserve"> </w:t>
      </w:r>
      <w:r>
        <w:rPr>
          <w:rFonts w:ascii="Arial" w:cs="Arial" w:eastAsia="Arial" w:hAnsi="Arial"/>
          <w:sz w:val="16"/>
          <w:szCs w:val="16"/>
          <w:color w:val="42423F"/>
        </w:rPr>
        <w:t>stocks, bonds</w:t>
      </w:r>
      <w:r>
        <w:rPr>
          <w:rFonts w:ascii="Arial" w:cs="Arial" w:eastAsia="Arial" w:hAnsi="Arial"/>
          <w:sz w:val="16"/>
          <w:szCs w:val="16"/>
          <w:color w:val="5E5E5D"/>
        </w:rPr>
        <w:t>,</w:t>
      </w:r>
      <w:r>
        <w:rPr>
          <w:rFonts w:ascii="Arial" w:cs="Arial" w:eastAsia="Arial" w:hAnsi="Arial"/>
          <w:sz w:val="16"/>
          <w:szCs w:val="16"/>
          <w:color w:val="42423F"/>
        </w:rPr>
        <w:t xml:space="preserve"> deeds</w:t>
      </w:r>
      <w:r>
        <w:rPr>
          <w:rFonts w:ascii="Arial" w:cs="Arial" w:eastAsia="Arial" w:hAnsi="Arial"/>
          <w:sz w:val="16"/>
          <w:szCs w:val="16"/>
          <w:color w:val="5E5E5D"/>
        </w:rPr>
        <w:t>,</w:t>
      </w:r>
      <w:r>
        <w:rPr>
          <w:rFonts w:ascii="Arial" w:cs="Arial" w:eastAsia="Arial" w:hAnsi="Arial"/>
          <w:sz w:val="16"/>
          <w:szCs w:val="16"/>
          <w:color w:val="42423F"/>
        </w:rPr>
        <w:t xml:space="preserve"> mortgages, bank deposits, and similar instruments, but does not include the value represented by such instruments</w:t>
      </w:r>
      <w:r>
        <w:rPr>
          <w:rFonts w:ascii="Arial" w:cs="Arial" w:eastAsia="Arial" w:hAnsi="Arial"/>
          <w:sz w:val="16"/>
          <w:szCs w:val="16"/>
          <w:color w:val="1C1C1A"/>
        </w:rPr>
        <w:t>.</w:t>
      </w:r>
      <w:r>
        <w:rPr>
          <w:rFonts w:ascii="Arial" w:cs="Arial" w:eastAsia="Arial" w:hAnsi="Arial"/>
          <w:sz w:val="16"/>
          <w:szCs w:val="16"/>
          <w:color w:val="42423F"/>
        </w:rPr>
        <w:t xml:space="preserve"> Tangible property does not include the cost of recreating </w:t>
      </w:r>
      <w:r>
        <w:rPr>
          <w:rFonts w:ascii="Arial" w:cs="Arial" w:eastAsia="Arial" w:hAnsi="Arial"/>
          <w:sz w:val="16"/>
          <w:szCs w:val="16"/>
          <w:color w:val="5E5E5D"/>
        </w:rPr>
        <w:t>o</w:t>
      </w:r>
      <w:r>
        <w:rPr>
          <w:rFonts w:ascii="Arial" w:cs="Arial" w:eastAsia="Arial" w:hAnsi="Arial"/>
          <w:sz w:val="16"/>
          <w:szCs w:val="16"/>
          <w:color w:val="42423F"/>
        </w:rPr>
        <w:t>r replacing any software, data or other information that is in electronic form.</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2423F"/>
        </w:rPr>
        <w:t xml:space="preserve">Registered </w:t>
      </w:r>
      <w:r>
        <w:rPr>
          <w:rFonts w:ascii="Arial" w:cs="Arial" w:eastAsia="Arial" w:hAnsi="Arial"/>
          <w:sz w:val="17"/>
          <w:szCs w:val="17"/>
          <w:b w:val="1"/>
          <w:bCs w:val="1"/>
          <w:color w:val="42423F"/>
        </w:rPr>
        <w:t>vehicle</w:t>
      </w:r>
      <w:r>
        <w:rPr>
          <w:rFonts w:ascii="Arial" w:cs="Arial" w:eastAsia="Arial" w:hAnsi="Arial"/>
          <w:sz w:val="16"/>
          <w:szCs w:val="16"/>
          <w:b w:val="1"/>
          <w:bCs w:val="1"/>
          <w:color w:val="42423F"/>
        </w:rPr>
        <w:t xml:space="preserve"> </w:t>
      </w:r>
      <w:r>
        <w:rPr>
          <w:rFonts w:ascii="Arial" w:cs="Arial" w:eastAsia="Arial" w:hAnsi="Arial"/>
          <w:sz w:val="16"/>
          <w:szCs w:val="16"/>
          <w:color w:val="42423F"/>
        </w:rPr>
        <w:t>means any motorized land vehicle not described in</w:t>
      </w:r>
      <w:r>
        <w:rPr>
          <w:rFonts w:ascii="Arial" w:cs="Arial" w:eastAsia="Arial" w:hAnsi="Arial"/>
          <w:sz w:val="16"/>
          <w:szCs w:val="16"/>
          <w:b w:val="1"/>
          <w:bCs w:val="1"/>
          <w:color w:val="42423F"/>
        </w:rPr>
        <w:t xml:space="preserve"> </w:t>
      </w:r>
      <w:r>
        <w:rPr>
          <w:rFonts w:ascii="Arial" w:cs="Arial" w:eastAsia="Arial" w:hAnsi="Arial"/>
          <w:sz w:val="16"/>
          <w:szCs w:val="16"/>
          <w:color w:val="5E5E5D"/>
        </w:rPr>
        <w:t>"</w:t>
      </w:r>
      <w:r>
        <w:rPr>
          <w:rFonts w:ascii="Arial" w:cs="Arial" w:eastAsia="Arial" w:hAnsi="Arial"/>
          <w:sz w:val="16"/>
          <w:szCs w:val="16"/>
          <w:color w:val="42423F"/>
        </w:rPr>
        <w:t>unregistered vehicle.</w:t>
      </w:r>
      <w:r>
        <w:rPr>
          <w:rFonts w:ascii="Arial" w:cs="Arial" w:eastAsia="Arial" w:hAnsi="Arial"/>
          <w:sz w:val="16"/>
          <w:szCs w:val="16"/>
          <w:color w:val="5E5E5D"/>
        </w:rPr>
        <w:t>"</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2423F"/>
        </w:rPr>
        <w:t xml:space="preserve">Unregistered </w:t>
      </w:r>
      <w:r>
        <w:rPr>
          <w:rFonts w:ascii="Arial" w:cs="Arial" w:eastAsia="Arial" w:hAnsi="Arial"/>
          <w:sz w:val="17"/>
          <w:szCs w:val="17"/>
          <w:b w:val="1"/>
          <w:bCs w:val="1"/>
          <w:color w:val="42423F"/>
        </w:rPr>
        <w:t>vehicle</w:t>
      </w:r>
      <w:r>
        <w:rPr>
          <w:rFonts w:ascii="Arial" w:cs="Arial" w:eastAsia="Arial" w:hAnsi="Arial"/>
          <w:sz w:val="16"/>
          <w:szCs w:val="16"/>
          <w:b w:val="1"/>
          <w:bCs w:val="1"/>
          <w:color w:val="42423F"/>
        </w:rPr>
        <w:t xml:space="preserve"> </w:t>
      </w:r>
      <w:r>
        <w:rPr>
          <w:rFonts w:ascii="Arial" w:cs="Arial" w:eastAsia="Arial" w:hAnsi="Arial"/>
          <w:sz w:val="16"/>
          <w:szCs w:val="16"/>
          <w:color w:val="42423F"/>
        </w:rPr>
        <w:t>means:</w:t>
      </w:r>
    </w:p>
    <w:p>
      <w:pPr>
        <w:spacing w:after="0" w:line="35" w:lineRule="exact"/>
        <w:rPr>
          <w:sz w:val="20"/>
          <w:szCs w:val="20"/>
          <w:color w:val="auto"/>
        </w:rPr>
      </w:pPr>
    </w:p>
    <w:p>
      <w:pPr>
        <w:ind w:left="500" w:hanging="330"/>
        <w:spacing w:after="0"/>
        <w:tabs>
          <w:tab w:leader="none" w:pos="500" w:val="left"/>
        </w:tabs>
        <w:numPr>
          <w:ilvl w:val="0"/>
          <w:numId w:val="88"/>
        </w:numPr>
        <w:rPr>
          <w:rFonts w:ascii="Arial" w:cs="Arial" w:eastAsia="Arial" w:hAnsi="Arial"/>
          <w:sz w:val="16"/>
          <w:szCs w:val="16"/>
          <w:color w:val="auto"/>
        </w:rPr>
      </w:pPr>
      <w:r>
        <w:rPr>
          <w:rFonts w:ascii="Arial" w:cs="Arial" w:eastAsia="Arial" w:hAnsi="Arial"/>
          <w:sz w:val="16"/>
          <w:szCs w:val="16"/>
          <w:color w:val="42423F"/>
        </w:rPr>
        <w:t xml:space="preserve">any motorized </w:t>
      </w:r>
      <w:r>
        <w:rPr>
          <w:rFonts w:ascii="Arial" w:cs="Arial" w:eastAsia="Arial" w:hAnsi="Arial"/>
          <w:sz w:val="16"/>
          <w:szCs w:val="16"/>
          <w:color w:val="2F2F2F"/>
        </w:rPr>
        <w:t>land</w:t>
      </w:r>
      <w:r>
        <w:rPr>
          <w:rFonts w:ascii="Arial" w:cs="Arial" w:eastAsia="Arial" w:hAnsi="Arial"/>
          <w:sz w:val="16"/>
          <w:szCs w:val="16"/>
          <w:color w:val="42423F"/>
        </w:rPr>
        <w:t xml:space="preserve"> vehicle </w:t>
      </w:r>
      <w:r>
        <w:rPr>
          <w:rFonts w:ascii="Arial" w:cs="Arial" w:eastAsia="Arial" w:hAnsi="Arial"/>
          <w:sz w:val="16"/>
          <w:szCs w:val="16"/>
          <w:color w:val="2F2F2F"/>
        </w:rPr>
        <w:t>not</w:t>
      </w:r>
      <w:r>
        <w:rPr>
          <w:rFonts w:ascii="Arial" w:cs="Arial" w:eastAsia="Arial" w:hAnsi="Arial"/>
          <w:sz w:val="16"/>
          <w:szCs w:val="16"/>
          <w:color w:val="42423F"/>
        </w:rPr>
        <w:t xml:space="preserve"> designed for or required to be registered for use on public roads;</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88"/>
        </w:numPr>
        <w:rPr>
          <w:rFonts w:ascii="Arial" w:cs="Arial" w:eastAsia="Arial" w:hAnsi="Arial"/>
          <w:sz w:val="16"/>
          <w:szCs w:val="16"/>
          <w:color w:val="auto"/>
        </w:rPr>
      </w:pPr>
      <w:r>
        <w:rPr>
          <w:rFonts w:ascii="Arial" w:cs="Arial" w:eastAsia="Arial" w:hAnsi="Arial"/>
          <w:sz w:val="16"/>
          <w:szCs w:val="16"/>
          <w:color w:val="42423F"/>
        </w:rPr>
        <w:t>any motorized land vehicle which is in dead storage at your residence;</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88"/>
        </w:numPr>
        <w:rPr>
          <w:rFonts w:ascii="Arial" w:cs="Arial" w:eastAsia="Arial" w:hAnsi="Arial"/>
          <w:sz w:val="16"/>
          <w:szCs w:val="16"/>
          <w:color w:val="auto"/>
        </w:rPr>
      </w:pPr>
      <w:r>
        <w:rPr>
          <w:rFonts w:ascii="Arial" w:cs="Arial" w:eastAsia="Arial" w:hAnsi="Arial"/>
          <w:sz w:val="16"/>
          <w:szCs w:val="16"/>
          <w:color w:val="42423F"/>
        </w:rPr>
        <w:t>any motorized land vehicle used solely on and to service your residence premises;</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88"/>
        </w:numPr>
        <w:rPr>
          <w:rFonts w:ascii="Arial" w:cs="Arial" w:eastAsia="Arial" w:hAnsi="Arial"/>
          <w:sz w:val="16"/>
          <w:szCs w:val="16"/>
          <w:color w:val="auto"/>
        </w:rPr>
      </w:pPr>
      <w:r>
        <w:rPr>
          <w:rFonts w:ascii="Arial" w:cs="Arial" w:eastAsia="Arial" w:hAnsi="Arial"/>
          <w:sz w:val="16"/>
          <w:szCs w:val="16"/>
          <w:color w:val="42423F"/>
        </w:rPr>
        <w:t xml:space="preserve">any motorized land vehicle used to assist the </w:t>
      </w:r>
      <w:r>
        <w:rPr>
          <w:rFonts w:ascii="Arial" w:cs="Arial" w:eastAsia="Arial" w:hAnsi="Arial"/>
          <w:sz w:val="16"/>
          <w:szCs w:val="16"/>
          <w:color w:val="2F2F2F"/>
        </w:rPr>
        <w:t>disabled</w:t>
      </w:r>
      <w:r>
        <w:rPr>
          <w:rFonts w:ascii="Arial" w:cs="Arial" w:eastAsia="Arial" w:hAnsi="Arial"/>
          <w:sz w:val="16"/>
          <w:szCs w:val="16"/>
          <w:color w:val="42423F"/>
        </w:rPr>
        <w:t xml:space="preserve"> that is not designed for or required to be registered for </w:t>
      </w:r>
      <w:r>
        <w:rPr>
          <w:rFonts w:ascii="Arial" w:cs="Arial" w:eastAsia="Arial" w:hAnsi="Arial"/>
          <w:sz w:val="16"/>
          <w:szCs w:val="16"/>
          <w:color w:val="2F2F2F"/>
        </w:rPr>
        <w:t>use</w:t>
      </w:r>
      <w:r>
        <w:rPr>
          <w:rFonts w:ascii="Arial" w:cs="Arial" w:eastAsia="Arial" w:hAnsi="Arial"/>
          <w:sz w:val="16"/>
          <w:szCs w:val="16"/>
          <w:color w:val="42423F"/>
        </w:rPr>
        <w:t xml:space="preserve"> on public roads; or</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88"/>
        </w:numPr>
        <w:rPr>
          <w:rFonts w:ascii="Arial" w:cs="Arial" w:eastAsia="Arial" w:hAnsi="Arial"/>
          <w:sz w:val="16"/>
          <w:szCs w:val="16"/>
          <w:color w:val="auto"/>
        </w:rPr>
      </w:pPr>
      <w:r>
        <w:rPr>
          <w:rFonts w:ascii="Arial" w:cs="Arial" w:eastAsia="Arial" w:hAnsi="Arial"/>
          <w:sz w:val="16"/>
          <w:szCs w:val="16"/>
          <w:color w:val="42423F"/>
        </w:rPr>
        <w:t>golf carts</w:t>
      </w:r>
      <w:r>
        <w:rPr>
          <w:rFonts w:ascii="Arial" w:cs="Arial" w:eastAsia="Arial" w:hAnsi="Arial"/>
          <w:sz w:val="16"/>
          <w:szCs w:val="16"/>
          <w:color w:val="5E5E5D"/>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42423F"/>
        </w:rPr>
        <w:t>GROUP PERSONAL EXCESS COVERAGE</w:t>
      </w:r>
    </w:p>
    <w:p>
      <w:pPr>
        <w:spacing w:after="0" w:line="310" w:lineRule="exact"/>
        <w:rPr>
          <w:sz w:val="20"/>
          <w:szCs w:val="20"/>
          <w:color w:val="auto"/>
        </w:rPr>
      </w:pPr>
    </w:p>
    <w:p>
      <w:pPr>
        <w:ind w:left="180" w:right="220"/>
        <w:spacing w:after="0" w:line="328" w:lineRule="auto"/>
        <w:rPr>
          <w:sz w:val="20"/>
          <w:szCs w:val="20"/>
          <w:color w:val="auto"/>
        </w:rPr>
      </w:pPr>
      <w:r>
        <w:rPr>
          <w:rFonts w:ascii="Arial" w:cs="Arial" w:eastAsia="Arial" w:hAnsi="Arial"/>
          <w:sz w:val="16"/>
          <w:szCs w:val="16"/>
          <w:color w:val="42423F"/>
        </w:rPr>
        <w:t>This part of your Group Personal Excess Liability Policy provides you or a family member with liability coverage in excess of your underlying insurance anywhere in the world unless stated otherwise or an exclusion applies</w:t>
      </w:r>
      <w:r>
        <w:rPr>
          <w:rFonts w:ascii="Arial" w:cs="Arial" w:eastAsia="Arial" w:hAnsi="Arial"/>
          <w:sz w:val="16"/>
          <w:szCs w:val="16"/>
          <w:color w:val="1C1C1A"/>
        </w:rPr>
        <w:t>.</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22"/>
          <w:szCs w:val="22"/>
          <w:b w:val="1"/>
          <w:bCs w:val="1"/>
          <w:i w:val="1"/>
          <w:iCs w:val="1"/>
          <w:color w:val="42423F"/>
        </w:rPr>
        <w:t>Payment for a Loss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2423F"/>
        </w:rPr>
        <w:t>Amount of coverage</w:t>
      </w:r>
    </w:p>
    <w:p>
      <w:pPr>
        <w:spacing w:after="0" w:line="48" w:lineRule="exact"/>
        <w:rPr>
          <w:sz w:val="20"/>
          <w:szCs w:val="20"/>
          <w:color w:val="auto"/>
        </w:rPr>
      </w:pPr>
    </w:p>
    <w:p>
      <w:pPr>
        <w:ind w:left="120"/>
        <w:spacing w:after="0" w:line="328" w:lineRule="auto"/>
        <w:rPr>
          <w:sz w:val="20"/>
          <w:szCs w:val="20"/>
          <w:color w:val="auto"/>
        </w:rPr>
      </w:pPr>
      <w:r>
        <w:rPr>
          <w:rFonts w:ascii="Arial" w:cs="Arial" w:eastAsia="Arial" w:hAnsi="Arial"/>
          <w:sz w:val="16"/>
          <w:szCs w:val="16"/>
          <w:color w:val="42423F"/>
        </w:rPr>
        <w:t>The amount of coverage for liability is shown in the Coverage Summary</w:t>
      </w:r>
      <w:r>
        <w:rPr>
          <w:rFonts w:ascii="Arial" w:cs="Arial" w:eastAsia="Arial" w:hAnsi="Arial"/>
          <w:sz w:val="16"/>
          <w:szCs w:val="16"/>
          <w:color w:val="5E5E5D"/>
        </w:rPr>
        <w:t>.</w:t>
      </w:r>
      <w:r>
        <w:rPr>
          <w:rFonts w:ascii="Arial" w:cs="Arial" w:eastAsia="Arial" w:hAnsi="Arial"/>
          <w:sz w:val="16"/>
          <w:szCs w:val="16"/>
          <w:color w:val="42423F"/>
        </w:rPr>
        <w:t xml:space="preserve"> We will pay on your behalf up to that amount for covered damages from any one occurrence, regardless of how many claims, homes, vehicles, watercraft, or people are </w:t>
      </w:r>
      <w:r>
        <w:rPr>
          <w:rFonts w:ascii="Arial" w:cs="Arial" w:eastAsia="Arial" w:hAnsi="Arial"/>
          <w:sz w:val="16"/>
          <w:szCs w:val="16"/>
          <w:color w:val="2F2F2F"/>
        </w:rPr>
        <w:t>involved</w:t>
      </w:r>
      <w:r>
        <w:rPr>
          <w:rFonts w:ascii="Arial" w:cs="Arial" w:eastAsia="Arial" w:hAnsi="Arial"/>
          <w:sz w:val="16"/>
          <w:szCs w:val="16"/>
          <w:color w:val="42423F"/>
        </w:rPr>
        <w:t xml:space="preserve"> in the occurrence.</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 xml:space="preserve">Any costs we pay for legal expenses (see </w:t>
      </w:r>
      <w:r>
        <w:rPr>
          <w:rFonts w:ascii="Arial" w:cs="Arial" w:eastAsia="Arial" w:hAnsi="Arial"/>
          <w:sz w:val="17"/>
          <w:szCs w:val="17"/>
          <w:b w:val="1"/>
          <w:bCs w:val="1"/>
          <w:color w:val="42423F"/>
        </w:rPr>
        <w:t>Defense coverages)</w:t>
      </w:r>
      <w:r>
        <w:rPr>
          <w:rFonts w:ascii="Arial" w:cs="Arial" w:eastAsia="Arial" w:hAnsi="Arial"/>
          <w:sz w:val="16"/>
          <w:szCs w:val="16"/>
          <w:color w:val="42423F"/>
        </w:rPr>
        <w:t xml:space="preserve"> are in addition to the amount of coverage.</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42423F"/>
        </w:rPr>
        <w:t>Underlying Insurance</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4"/>
          <w:szCs w:val="14"/>
          <w:color w:val="42423F"/>
        </w:rPr>
        <w:t>We will pay only for co</w:t>
      </w:r>
      <w:r>
        <w:rPr>
          <w:rFonts w:ascii="Arial" w:cs="Arial" w:eastAsia="Arial" w:hAnsi="Arial"/>
          <w:sz w:val="14"/>
          <w:szCs w:val="14"/>
          <w:color w:val="5E5E5D"/>
        </w:rPr>
        <w:t>v</w:t>
      </w:r>
      <w:r>
        <w:rPr>
          <w:rFonts w:ascii="Arial" w:cs="Arial" w:eastAsia="Arial" w:hAnsi="Arial"/>
          <w:sz w:val="14"/>
          <w:szCs w:val="14"/>
          <w:color w:val="42423F"/>
        </w:rPr>
        <w:t xml:space="preserve">ered damages in excess of all underlying insurance covering those damages, even </w:t>
      </w:r>
      <w:r>
        <w:rPr>
          <w:rFonts w:ascii="Arial" w:cs="Arial" w:eastAsia="Arial" w:hAnsi="Arial"/>
          <w:sz w:val="15"/>
          <w:szCs w:val="15"/>
          <w:color w:val="42423F"/>
        </w:rPr>
        <w:t>if</w:t>
      </w:r>
      <w:r>
        <w:rPr>
          <w:rFonts w:ascii="Arial" w:cs="Arial" w:eastAsia="Arial" w:hAnsi="Arial"/>
          <w:sz w:val="14"/>
          <w:szCs w:val="14"/>
          <w:color w:val="42423F"/>
        </w:rPr>
        <w:t xml:space="preserve"> the underlying coverage is for more than the minimum amount.</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 xml:space="preserve">"Underlying insurance" includes all liability coverage that applies to the covered damages, except for other insurance purchased in excess of </w:t>
      </w:r>
      <w:r>
        <w:rPr>
          <w:rFonts w:ascii="Arial" w:cs="Arial" w:eastAsia="Arial" w:hAnsi="Arial"/>
          <w:sz w:val="15"/>
          <w:szCs w:val="15"/>
          <w:color w:val="42423F"/>
        </w:rPr>
        <w:t>this</w:t>
      </w:r>
      <w:r>
        <w:rPr>
          <w:rFonts w:ascii="Arial" w:cs="Arial" w:eastAsia="Arial" w:hAnsi="Arial"/>
          <w:sz w:val="16"/>
          <w:szCs w:val="16"/>
          <w:color w:val="42423F"/>
        </w:rPr>
        <w:t xml:space="preserve"> policy.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42423F"/>
        </w:rPr>
        <w:t xml:space="preserve">Required </w:t>
      </w:r>
      <w:r>
        <w:rPr>
          <w:rFonts w:ascii="Arial" w:cs="Arial" w:eastAsia="Arial" w:hAnsi="Arial"/>
          <w:sz w:val="16"/>
          <w:szCs w:val="16"/>
          <w:b w:val="1"/>
          <w:bCs w:val="1"/>
          <w:color w:val="42423F"/>
        </w:rPr>
        <w:t>primary</w:t>
      </w:r>
      <w:r>
        <w:rPr>
          <w:rFonts w:ascii="Arial" w:cs="Arial" w:eastAsia="Arial" w:hAnsi="Arial"/>
          <w:sz w:val="17"/>
          <w:szCs w:val="17"/>
          <w:b w:val="1"/>
          <w:bCs w:val="1"/>
          <w:color w:val="42423F"/>
        </w:rPr>
        <w:t xml:space="preserve"> underlying insurance</w:t>
      </w:r>
    </w:p>
    <w:p>
      <w:pPr>
        <w:spacing w:after="0" w:line="62" w:lineRule="exact"/>
        <w:rPr>
          <w:sz w:val="20"/>
          <w:szCs w:val="20"/>
          <w:color w:val="auto"/>
        </w:rPr>
      </w:pPr>
    </w:p>
    <w:p>
      <w:pPr>
        <w:ind w:left="140"/>
        <w:spacing w:after="0" w:line="328" w:lineRule="auto"/>
        <w:rPr>
          <w:sz w:val="20"/>
          <w:szCs w:val="20"/>
          <w:color w:val="auto"/>
        </w:rPr>
      </w:pPr>
      <w:r>
        <w:rPr>
          <w:rFonts w:ascii="Arial" w:cs="Arial" w:eastAsia="Arial" w:hAnsi="Arial"/>
          <w:sz w:val="16"/>
          <w:szCs w:val="16"/>
          <w:color w:val="42423F"/>
        </w:rPr>
        <w:t xml:space="preserve">Regardless of whatever other primary underlying insurance may be available in the event of a claim or loss, </w:t>
      </w:r>
      <w:r>
        <w:rPr>
          <w:rFonts w:ascii="Arial" w:cs="Arial" w:eastAsia="Arial" w:hAnsi="Arial"/>
          <w:sz w:val="16"/>
          <w:szCs w:val="16"/>
          <w:color w:val="2F2F2F"/>
        </w:rPr>
        <w:t>it</w:t>
      </w:r>
      <w:r>
        <w:rPr>
          <w:rFonts w:ascii="Arial" w:cs="Arial" w:eastAsia="Arial" w:hAnsi="Arial"/>
          <w:sz w:val="16"/>
          <w:szCs w:val="16"/>
          <w:color w:val="42423F"/>
        </w:rPr>
        <w:t xml:space="preserve"> is a condition of your policy </w:t>
      </w:r>
      <w:r>
        <w:rPr>
          <w:rFonts w:ascii="Arial" w:cs="Arial" w:eastAsia="Arial" w:hAnsi="Arial"/>
          <w:sz w:val="16"/>
          <w:szCs w:val="16"/>
          <w:color w:val="2F2F2F"/>
        </w:rPr>
        <w:t>that</w:t>
      </w:r>
      <w:r>
        <w:rPr>
          <w:rFonts w:ascii="Arial" w:cs="Arial" w:eastAsia="Arial" w:hAnsi="Arial"/>
          <w:sz w:val="16"/>
          <w:szCs w:val="16"/>
          <w:color w:val="42423F"/>
        </w:rPr>
        <w:t xml:space="preserve"> you and your family members must maintain in full effect primary </w:t>
      </w:r>
      <w:r>
        <w:rPr>
          <w:rFonts w:ascii="Arial" w:cs="Arial" w:eastAsia="Arial" w:hAnsi="Arial"/>
          <w:sz w:val="16"/>
          <w:szCs w:val="16"/>
          <w:color w:val="2F2F2F"/>
        </w:rPr>
        <w:t>underlying</w:t>
      </w:r>
      <w:r>
        <w:rPr>
          <w:rFonts w:ascii="Arial" w:cs="Arial" w:eastAsia="Arial" w:hAnsi="Arial"/>
          <w:sz w:val="16"/>
          <w:szCs w:val="16"/>
          <w:color w:val="42423F"/>
        </w:rPr>
        <w:t xml:space="preserve"> liability insurance of </w:t>
      </w:r>
      <w:r>
        <w:rPr>
          <w:rFonts w:ascii="Arial" w:cs="Arial" w:eastAsia="Arial" w:hAnsi="Arial"/>
          <w:sz w:val="16"/>
          <w:szCs w:val="16"/>
          <w:color w:val="2F2F2F"/>
        </w:rPr>
        <w:t>the</w:t>
      </w:r>
      <w:r>
        <w:rPr>
          <w:rFonts w:ascii="Arial" w:cs="Arial" w:eastAsia="Arial" w:hAnsi="Arial"/>
          <w:sz w:val="16"/>
          <w:szCs w:val="16"/>
          <w:color w:val="42423F"/>
        </w:rPr>
        <w:t xml:space="preserve"> types and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3 of 15</w:t>
      </w:r>
    </w:p>
    <w:p>
      <w:pPr>
        <w:sectPr>
          <w:pgSz w:w="11900" w:h="16838" w:orient="portrait"/>
          <w:cols w:equalWidth="0" w:num="1">
            <w:col w:w="11420"/>
          </w:cols>
          <w:pgMar w:left="240" w:top="570" w:right="239" w:bottom="1440" w:gutter="0" w:footer="0" w:header="0"/>
        </w:sectPr>
      </w:pPr>
    </w:p>
    <w:bookmarkStart w:id="141" w:name="page142"/>
    <w:bookmarkEnd w:id="141"/>
    <w:p>
      <w:pPr>
        <w:jc w:val="both"/>
        <w:ind w:left="140"/>
        <w:spacing w:after="0" w:line="314" w:lineRule="auto"/>
        <w:rPr>
          <w:sz w:val="20"/>
          <w:szCs w:val="20"/>
          <w:color w:val="auto"/>
        </w:rPr>
      </w:pPr>
      <w:r>
        <w:rPr>
          <w:rFonts w:ascii="Arial" w:cs="Arial" w:eastAsia="Arial" w:hAnsi="Arial"/>
          <w:sz w:val="16"/>
          <w:szCs w:val="16"/>
          <w:color w:val="42423F"/>
        </w:rPr>
        <w:t xml:space="preserve">in at least the amounts set forth below unless a different amount is shown in your Coverage Summary, covering your personal liability and to the </w:t>
      </w:r>
      <w:r>
        <w:rPr>
          <w:rFonts w:ascii="Arial" w:cs="Arial" w:eastAsia="Arial" w:hAnsi="Arial"/>
          <w:sz w:val="16"/>
          <w:szCs w:val="16"/>
          <w:color w:val="2F2F2F"/>
        </w:rPr>
        <w:t>extent</w:t>
      </w:r>
      <w:r>
        <w:rPr>
          <w:rFonts w:ascii="Arial" w:cs="Arial" w:eastAsia="Arial" w:hAnsi="Arial"/>
          <w:sz w:val="16"/>
          <w:szCs w:val="16"/>
          <w:color w:val="42423F"/>
        </w:rPr>
        <w:t xml:space="preserve"> you or a family member h</w:t>
      </w:r>
      <w:r>
        <w:rPr>
          <w:rFonts w:ascii="Arial" w:cs="Arial" w:eastAsia="Arial" w:hAnsi="Arial"/>
          <w:sz w:val="16"/>
          <w:szCs w:val="16"/>
          <w:color w:val="5E5E5D"/>
        </w:rPr>
        <w:t>a</w:t>
      </w:r>
      <w:r>
        <w:rPr>
          <w:rFonts w:ascii="Arial" w:cs="Arial" w:eastAsia="Arial" w:hAnsi="Arial"/>
          <w:sz w:val="16"/>
          <w:szCs w:val="16"/>
          <w:color w:val="42423F"/>
        </w:rPr>
        <w:t>v</w:t>
      </w:r>
      <w:r>
        <w:rPr>
          <w:rFonts w:ascii="Arial" w:cs="Arial" w:eastAsia="Arial" w:hAnsi="Arial"/>
          <w:sz w:val="16"/>
          <w:szCs w:val="16"/>
          <w:color w:val="5E5E5D"/>
        </w:rPr>
        <w:t>e</w:t>
      </w:r>
      <w:r>
        <w:rPr>
          <w:rFonts w:ascii="Arial" w:cs="Arial" w:eastAsia="Arial" w:hAnsi="Arial"/>
          <w:sz w:val="16"/>
          <w:szCs w:val="16"/>
          <w:color w:val="42423F"/>
        </w:rPr>
        <w:t xml:space="preserve"> such liability exposures, all vehicles and watercraft you or your family members own, or rent for longer than 60 days, or </w:t>
      </w:r>
      <w:r>
        <w:rPr>
          <w:rFonts w:ascii="Arial" w:cs="Arial" w:eastAsia="Arial" w:hAnsi="Arial"/>
          <w:sz w:val="16"/>
          <w:szCs w:val="16"/>
          <w:color w:val="2F2F2F"/>
        </w:rPr>
        <w:t>have</w:t>
      </w:r>
      <w:r>
        <w:rPr>
          <w:rFonts w:ascii="Arial" w:cs="Arial" w:eastAsia="Arial" w:hAnsi="Arial"/>
          <w:sz w:val="16"/>
          <w:szCs w:val="16"/>
          <w:color w:val="42423F"/>
        </w:rPr>
        <w:t xml:space="preserve"> furnished for longer than 60 days, as follows:</w:t>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6"/>
          <w:szCs w:val="16"/>
          <w:color w:val="42423F"/>
        </w:rPr>
        <w:t>Personal liability(homeowners) for personal injury and property damage in the minimum amount of $300,000 each occurrence</w:t>
      </w:r>
      <w:r>
        <w:rPr>
          <w:rFonts w:ascii="Arial" w:cs="Arial" w:eastAsia="Arial" w:hAnsi="Arial"/>
          <w:sz w:val="16"/>
          <w:szCs w:val="16"/>
          <w:color w:val="5E5E5D"/>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3 of 15</w:t>
      </w:r>
    </w:p>
    <w:p>
      <w:pPr>
        <w:sectPr>
          <w:pgSz w:w="11900" w:h="16838" w:orient="portrait"/>
          <w:cols w:equalWidth="0" w:num="1">
            <w:col w:w="11420"/>
          </w:cols>
          <w:pgMar w:left="240" w:top="616" w:right="239" w:bottom="1440" w:gutter="0" w:footer="0" w:header="0"/>
        </w:sectPr>
      </w:pPr>
    </w:p>
    <w:bookmarkStart w:id="142" w:name="page143"/>
    <w:bookmarkEnd w:id="142"/>
    <w:p>
      <w:pPr>
        <w:ind w:left="444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-162560</wp:posOffset>
            </wp:positionV>
            <wp:extent cx="110617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4">
                      <a:extLst>
                        <a:ext uri="{28A0092B-C50C-407E-A947-70E740481C1C}"/>
                      </a:extLst>
                    </a:blip>
                    <a:srcRect/>
                    <a:stretch>
                      <a:fillRect/>
                    </a:stretch>
                  </pic:blipFill>
                  <pic:spPr bwMode="auto">
                    <a:xfrm>
                      <a:off x="0" y="0"/>
                      <a:ext cx="1106170" cy="146050"/>
                    </a:xfrm>
                    <a:prstGeom prst="rect">
                      <a:avLst/>
                    </a:prstGeom>
                    <a:noFill/>
                  </pic:spPr>
                </pic:pic>
              </a:graphicData>
            </a:graphic>
          </wp:anchor>
        </w:drawing>
      </w:r>
    </w:p>
    <w:p>
      <w:pPr>
        <w:spacing w:after="0" w:line="339"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41423F"/>
        </w:rPr>
        <w:t>Payment for a Loss</w:t>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41423F"/>
        </w:rPr>
        <w:t>(continued)</w:t>
      </w:r>
    </w:p>
    <w:p>
      <w:pPr>
        <w:spacing w:after="0" w:line="257" w:lineRule="exact"/>
        <w:rPr>
          <w:sz w:val="20"/>
          <w:szCs w:val="20"/>
          <w:color w:val="auto"/>
        </w:rPr>
      </w:pPr>
    </w:p>
    <w:p>
      <w:pPr>
        <w:ind w:left="540"/>
        <w:spacing w:after="0"/>
        <w:rPr>
          <w:sz w:val="20"/>
          <w:szCs w:val="20"/>
          <w:color w:val="auto"/>
        </w:rPr>
      </w:pPr>
      <w:r>
        <w:rPr>
          <w:rFonts w:ascii="Arial" w:cs="Arial" w:eastAsia="Arial" w:hAnsi="Arial"/>
          <w:sz w:val="16"/>
          <w:szCs w:val="16"/>
          <w:color w:val="41423F"/>
        </w:rPr>
        <w:t>Registered vehicles in the minimum amount of:</w:t>
      </w:r>
    </w:p>
    <w:p>
      <w:pPr>
        <w:spacing w:after="0" w:line="49" w:lineRule="exact"/>
        <w:rPr>
          <w:sz w:val="20"/>
          <w:szCs w:val="20"/>
          <w:color w:val="auto"/>
        </w:rPr>
      </w:pPr>
    </w:p>
    <w:p>
      <w:pPr>
        <w:ind w:left="840" w:hanging="319"/>
        <w:spacing w:after="0"/>
        <w:tabs>
          <w:tab w:leader="none" w:pos="840" w:val="left"/>
        </w:tabs>
        <w:numPr>
          <w:ilvl w:val="0"/>
          <w:numId w:val="89"/>
        </w:numPr>
        <w:rPr>
          <w:rFonts w:ascii="Arial" w:cs="Arial" w:eastAsia="Arial" w:hAnsi="Arial"/>
          <w:sz w:val="20"/>
          <w:szCs w:val="20"/>
          <w:color w:val="auto"/>
        </w:rPr>
      </w:pPr>
      <w:r>
        <w:rPr>
          <w:rFonts w:ascii="Arial" w:cs="Arial" w:eastAsia="Arial" w:hAnsi="Arial"/>
          <w:sz w:val="16"/>
          <w:szCs w:val="16"/>
          <w:color w:val="41423F"/>
        </w:rPr>
        <w:t>$250,000/$500,000 bodily injury and $100,000 property damage;</w:t>
      </w:r>
    </w:p>
    <w:p>
      <w:pPr>
        <w:spacing w:after="0" w:line="53" w:lineRule="exact"/>
        <w:rPr>
          <w:rFonts w:ascii="Arial" w:cs="Arial" w:eastAsia="Arial" w:hAnsi="Arial"/>
          <w:sz w:val="20"/>
          <w:szCs w:val="20"/>
          <w:color w:val="auto"/>
        </w:rPr>
      </w:pPr>
    </w:p>
    <w:p>
      <w:pPr>
        <w:ind w:left="840" w:hanging="319"/>
        <w:spacing w:after="0"/>
        <w:tabs>
          <w:tab w:leader="none" w:pos="840" w:val="left"/>
        </w:tabs>
        <w:numPr>
          <w:ilvl w:val="0"/>
          <w:numId w:val="89"/>
        </w:numPr>
        <w:rPr>
          <w:rFonts w:ascii="Arial" w:cs="Arial" w:eastAsia="Arial" w:hAnsi="Arial"/>
          <w:sz w:val="20"/>
          <w:szCs w:val="20"/>
          <w:color w:val="auto"/>
        </w:rPr>
      </w:pPr>
      <w:r>
        <w:rPr>
          <w:rFonts w:ascii="Arial" w:cs="Arial" w:eastAsia="Arial" w:hAnsi="Arial"/>
          <w:sz w:val="16"/>
          <w:szCs w:val="16"/>
          <w:color w:val="41423F"/>
        </w:rPr>
        <w:t>$300,000/$300,000 bodily injury and $100,000 property damage; or</w:t>
      </w:r>
    </w:p>
    <w:p>
      <w:pPr>
        <w:spacing w:after="0" w:line="134" w:lineRule="exact"/>
        <w:rPr>
          <w:rFonts w:ascii="Arial" w:cs="Arial" w:eastAsia="Arial" w:hAnsi="Arial"/>
          <w:sz w:val="20"/>
          <w:szCs w:val="20"/>
          <w:color w:val="auto"/>
        </w:rPr>
      </w:pPr>
    </w:p>
    <w:p>
      <w:pPr>
        <w:ind w:left="840" w:hanging="319"/>
        <w:spacing w:after="0"/>
        <w:tabs>
          <w:tab w:leader="none" w:pos="840" w:val="left"/>
        </w:tabs>
        <w:numPr>
          <w:ilvl w:val="0"/>
          <w:numId w:val="89"/>
        </w:numPr>
        <w:rPr>
          <w:rFonts w:ascii="Arial" w:cs="Arial" w:eastAsia="Arial" w:hAnsi="Arial"/>
          <w:sz w:val="20"/>
          <w:szCs w:val="20"/>
          <w:color w:val="auto"/>
        </w:rPr>
      </w:pPr>
      <w:r>
        <w:rPr>
          <w:rFonts w:ascii="Arial" w:cs="Arial" w:eastAsia="Arial" w:hAnsi="Arial"/>
          <w:sz w:val="16"/>
          <w:szCs w:val="16"/>
          <w:color w:val="41423F"/>
        </w:rPr>
        <w:t>$300,000 single limit each occurrence</w:t>
      </w:r>
      <w:r>
        <w:rPr>
          <w:rFonts w:ascii="Arial" w:cs="Arial" w:eastAsia="Arial" w:hAnsi="Arial"/>
          <w:sz w:val="16"/>
          <w:szCs w:val="16"/>
          <w:color w:val="60605D"/>
        </w:rPr>
        <w:t>.</w:t>
      </w:r>
    </w:p>
    <w:p>
      <w:pPr>
        <w:spacing w:after="0" w:line="320" w:lineRule="exact"/>
        <w:rPr>
          <w:sz w:val="20"/>
          <w:szCs w:val="20"/>
          <w:color w:val="auto"/>
        </w:rPr>
      </w:pPr>
    </w:p>
    <w:p>
      <w:pPr>
        <w:ind w:left="540"/>
        <w:spacing w:after="0"/>
        <w:rPr>
          <w:sz w:val="20"/>
          <w:szCs w:val="20"/>
          <w:color w:val="auto"/>
        </w:rPr>
      </w:pPr>
      <w:r>
        <w:rPr>
          <w:rFonts w:ascii="Arial" w:cs="Arial" w:eastAsia="Arial" w:hAnsi="Arial"/>
          <w:sz w:val="16"/>
          <w:szCs w:val="16"/>
          <w:color w:val="41423F"/>
        </w:rPr>
        <w:t>Unregistered vehicles in the minimum amount of $300,000 bodily injury and property damage each occurrence.</w:t>
      </w:r>
    </w:p>
    <w:p>
      <w:pPr>
        <w:spacing w:after="0" w:line="235" w:lineRule="exact"/>
        <w:rPr>
          <w:sz w:val="20"/>
          <w:szCs w:val="20"/>
          <w:color w:val="auto"/>
        </w:rPr>
      </w:pPr>
    </w:p>
    <w:p>
      <w:pPr>
        <w:ind w:left="540"/>
        <w:spacing w:after="0"/>
        <w:rPr>
          <w:sz w:val="20"/>
          <w:szCs w:val="20"/>
          <w:color w:val="auto"/>
        </w:rPr>
      </w:pPr>
      <w:r>
        <w:rPr>
          <w:rFonts w:ascii="Arial" w:cs="Arial" w:eastAsia="Arial" w:hAnsi="Arial"/>
          <w:sz w:val="16"/>
          <w:szCs w:val="16"/>
          <w:color w:val="41423F"/>
        </w:rPr>
        <w:t>Registered vehicles with less than four wheels and motorhomes in the minimum amount of:</w:t>
      </w:r>
    </w:p>
    <w:p>
      <w:pPr>
        <w:spacing w:after="0" w:line="63" w:lineRule="exact"/>
        <w:rPr>
          <w:sz w:val="20"/>
          <w:szCs w:val="20"/>
          <w:color w:val="auto"/>
        </w:rPr>
      </w:pPr>
    </w:p>
    <w:p>
      <w:pPr>
        <w:ind w:left="840" w:hanging="292"/>
        <w:spacing w:after="0"/>
        <w:tabs>
          <w:tab w:leader="none" w:pos="840" w:val="left"/>
        </w:tabs>
        <w:numPr>
          <w:ilvl w:val="0"/>
          <w:numId w:val="90"/>
        </w:numPr>
        <w:rPr>
          <w:rFonts w:ascii="Arial" w:cs="Arial" w:eastAsia="Arial" w:hAnsi="Arial"/>
          <w:sz w:val="20"/>
          <w:szCs w:val="20"/>
          <w:color w:val="auto"/>
        </w:rPr>
      </w:pPr>
      <w:r>
        <w:rPr>
          <w:rFonts w:ascii="Arial" w:cs="Arial" w:eastAsia="Arial" w:hAnsi="Arial"/>
          <w:sz w:val="16"/>
          <w:szCs w:val="16"/>
          <w:color w:val="41423F"/>
        </w:rPr>
        <w:t>$250,000/$500,000 bodily injury and $100,000 property damage;</w:t>
      </w:r>
    </w:p>
    <w:p>
      <w:pPr>
        <w:spacing w:after="0" w:line="53" w:lineRule="exact"/>
        <w:rPr>
          <w:rFonts w:ascii="Arial" w:cs="Arial" w:eastAsia="Arial" w:hAnsi="Arial"/>
          <w:sz w:val="20"/>
          <w:szCs w:val="20"/>
          <w:color w:val="auto"/>
        </w:rPr>
      </w:pPr>
    </w:p>
    <w:p>
      <w:pPr>
        <w:ind w:left="840" w:hanging="292"/>
        <w:spacing w:after="0"/>
        <w:tabs>
          <w:tab w:leader="none" w:pos="840" w:val="left"/>
        </w:tabs>
        <w:numPr>
          <w:ilvl w:val="0"/>
          <w:numId w:val="90"/>
        </w:numPr>
        <w:rPr>
          <w:rFonts w:ascii="Arial" w:cs="Arial" w:eastAsia="Arial" w:hAnsi="Arial"/>
          <w:sz w:val="20"/>
          <w:szCs w:val="20"/>
          <w:color w:val="auto"/>
        </w:rPr>
      </w:pPr>
      <w:r>
        <w:rPr>
          <w:rFonts w:ascii="Arial" w:cs="Arial" w:eastAsia="Arial" w:hAnsi="Arial"/>
          <w:sz w:val="16"/>
          <w:szCs w:val="16"/>
          <w:color w:val="41423F"/>
        </w:rPr>
        <w:t>$300,000/$300,000 bodily injury and $100,000 property damage; or</w:t>
      </w:r>
    </w:p>
    <w:p>
      <w:pPr>
        <w:spacing w:after="0" w:line="67" w:lineRule="exact"/>
        <w:rPr>
          <w:rFonts w:ascii="Arial" w:cs="Arial" w:eastAsia="Arial" w:hAnsi="Arial"/>
          <w:sz w:val="20"/>
          <w:szCs w:val="20"/>
          <w:color w:val="auto"/>
        </w:rPr>
      </w:pPr>
    </w:p>
    <w:p>
      <w:pPr>
        <w:ind w:left="840" w:hanging="292"/>
        <w:spacing w:after="0"/>
        <w:tabs>
          <w:tab w:leader="none" w:pos="840" w:val="left"/>
        </w:tabs>
        <w:numPr>
          <w:ilvl w:val="0"/>
          <w:numId w:val="90"/>
        </w:numPr>
        <w:rPr>
          <w:rFonts w:ascii="Arial" w:cs="Arial" w:eastAsia="Arial" w:hAnsi="Arial"/>
          <w:sz w:val="20"/>
          <w:szCs w:val="20"/>
          <w:color w:val="auto"/>
        </w:rPr>
      </w:pPr>
      <w:r>
        <w:rPr>
          <w:rFonts w:ascii="Arial" w:cs="Arial" w:eastAsia="Arial" w:hAnsi="Arial"/>
          <w:sz w:val="16"/>
          <w:szCs w:val="16"/>
          <w:color w:val="41423F"/>
        </w:rPr>
        <w:t>$300,000 single limit each occurrence.</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5"/>
          <w:szCs w:val="15"/>
          <w:color w:val="41423F"/>
        </w:rPr>
        <w:t>Watercraft less than 26 feet and 50 engine rated horsepower or less for bodily injury and property damage in the minimum amount of $300,000 each occurrence.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5"/>
          <w:szCs w:val="15"/>
          <w:color w:val="41423F"/>
        </w:rPr>
        <w:t>Watercraft 26 feet or longer or more than 50 engine rated horsepower for bodily injury and property damage in the minimum amount of $500,000 each occurrence.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6"/>
          <w:szCs w:val="16"/>
          <w:color w:val="41423F"/>
        </w:rPr>
        <w:t>Uninsured motorists/underinsured motorist protection in the minimum amounts of:</w:t>
      </w:r>
    </w:p>
    <w:p>
      <w:pPr>
        <w:spacing w:after="0" w:line="9" w:lineRule="exact"/>
        <w:rPr>
          <w:sz w:val="20"/>
          <w:szCs w:val="20"/>
          <w:color w:val="auto"/>
        </w:rPr>
      </w:pPr>
    </w:p>
    <w:p>
      <w:pPr>
        <w:ind w:left="840" w:hanging="292"/>
        <w:spacing w:after="0"/>
        <w:tabs>
          <w:tab w:leader="none" w:pos="840" w:val="left"/>
        </w:tabs>
        <w:numPr>
          <w:ilvl w:val="0"/>
          <w:numId w:val="91"/>
        </w:numPr>
        <w:rPr>
          <w:rFonts w:ascii="Arial" w:cs="Arial" w:eastAsia="Arial" w:hAnsi="Arial"/>
          <w:sz w:val="20"/>
          <w:szCs w:val="20"/>
          <w:color w:val="auto"/>
        </w:rPr>
      </w:pPr>
      <w:r>
        <w:rPr>
          <w:rFonts w:ascii="Arial" w:cs="Arial" w:eastAsia="Arial" w:hAnsi="Arial"/>
          <w:sz w:val="16"/>
          <w:szCs w:val="16"/>
          <w:color w:val="41423F"/>
        </w:rPr>
        <w:t>$250,000/$500,000 bodily injury and $100,000 property damage;</w:t>
      </w:r>
    </w:p>
    <w:p>
      <w:pPr>
        <w:spacing w:after="0" w:line="26" w:lineRule="exact"/>
        <w:rPr>
          <w:rFonts w:ascii="Arial" w:cs="Arial" w:eastAsia="Arial" w:hAnsi="Arial"/>
          <w:sz w:val="20"/>
          <w:szCs w:val="20"/>
          <w:color w:val="auto"/>
        </w:rPr>
      </w:pPr>
    </w:p>
    <w:p>
      <w:pPr>
        <w:ind w:left="840" w:hanging="292"/>
        <w:spacing w:after="0"/>
        <w:tabs>
          <w:tab w:leader="none" w:pos="840" w:val="left"/>
        </w:tabs>
        <w:numPr>
          <w:ilvl w:val="0"/>
          <w:numId w:val="91"/>
        </w:numPr>
        <w:rPr>
          <w:rFonts w:ascii="Arial" w:cs="Arial" w:eastAsia="Arial" w:hAnsi="Arial"/>
          <w:sz w:val="20"/>
          <w:szCs w:val="20"/>
          <w:color w:val="auto"/>
        </w:rPr>
      </w:pPr>
      <w:r>
        <w:rPr>
          <w:rFonts w:ascii="Arial" w:cs="Arial" w:eastAsia="Arial" w:hAnsi="Arial"/>
          <w:sz w:val="16"/>
          <w:szCs w:val="16"/>
          <w:color w:val="41423F"/>
        </w:rPr>
        <w:t>$300,000/$300,000 bodily injury and $100,000 property damage; or</w:t>
      </w:r>
    </w:p>
    <w:p>
      <w:pPr>
        <w:spacing w:after="0" w:line="53" w:lineRule="exact"/>
        <w:rPr>
          <w:rFonts w:ascii="Arial" w:cs="Arial" w:eastAsia="Arial" w:hAnsi="Arial"/>
          <w:sz w:val="20"/>
          <w:szCs w:val="20"/>
          <w:color w:val="auto"/>
        </w:rPr>
      </w:pPr>
    </w:p>
    <w:p>
      <w:pPr>
        <w:ind w:left="840" w:hanging="292"/>
        <w:spacing w:after="0"/>
        <w:tabs>
          <w:tab w:leader="none" w:pos="840" w:val="left"/>
        </w:tabs>
        <w:numPr>
          <w:ilvl w:val="0"/>
          <w:numId w:val="91"/>
        </w:numPr>
        <w:rPr>
          <w:rFonts w:ascii="Arial" w:cs="Arial" w:eastAsia="Arial" w:hAnsi="Arial"/>
          <w:sz w:val="20"/>
          <w:szCs w:val="20"/>
          <w:color w:val="auto"/>
        </w:rPr>
      </w:pPr>
      <w:r>
        <w:rPr>
          <w:rFonts w:ascii="Arial" w:cs="Arial" w:eastAsia="Arial" w:hAnsi="Arial"/>
          <w:sz w:val="16"/>
          <w:szCs w:val="16"/>
          <w:color w:val="41423F"/>
        </w:rPr>
        <w:t>$300,000 single limit each occurrence</w:t>
      </w:r>
      <w:r>
        <w:rPr>
          <w:rFonts w:ascii="Arial" w:cs="Arial" w:eastAsia="Arial" w:hAnsi="Arial"/>
          <w:sz w:val="16"/>
          <w:szCs w:val="16"/>
          <w:color w:val="60605D"/>
        </w:rPr>
        <w:t>.</w:t>
      </w:r>
    </w:p>
    <w:p>
      <w:pPr>
        <w:spacing w:after="0" w:line="185"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41423F"/>
        </w:rPr>
        <w:t xml:space="preserve">With respect to you and your family members residing outside of the </w:t>
      </w:r>
      <w:r>
        <w:rPr>
          <w:rFonts w:ascii="Arial" w:cs="Arial" w:eastAsia="Arial" w:hAnsi="Arial"/>
          <w:sz w:val="16"/>
          <w:szCs w:val="16"/>
          <w:color w:val="60605D"/>
        </w:rPr>
        <w:t>U</w:t>
      </w:r>
      <w:r>
        <w:rPr>
          <w:rFonts w:ascii="Arial" w:cs="Arial" w:eastAsia="Arial" w:hAnsi="Arial"/>
          <w:sz w:val="16"/>
          <w:szCs w:val="16"/>
          <w:color w:val="41423F"/>
        </w:rPr>
        <w:t xml:space="preserve">nited States, the required primary underlying insurance limits of liability shall </w:t>
      </w:r>
      <w:r>
        <w:rPr>
          <w:rFonts w:ascii="Arial" w:cs="Arial" w:eastAsia="Arial" w:hAnsi="Arial"/>
          <w:sz w:val="16"/>
          <w:szCs w:val="16"/>
          <w:color w:val="2F2F2F"/>
        </w:rPr>
        <w:t>be</w:t>
      </w:r>
      <w:r>
        <w:rPr>
          <w:rFonts w:ascii="Arial" w:cs="Arial" w:eastAsia="Arial" w:hAnsi="Arial"/>
          <w:sz w:val="16"/>
          <w:szCs w:val="16"/>
          <w:color w:val="41423F"/>
        </w:rPr>
        <w:t xml:space="preserve"> the same limits of liability as shown above, unless you and your family members </w:t>
      </w:r>
      <w:r>
        <w:rPr>
          <w:rFonts w:ascii="Arial" w:cs="Arial" w:eastAsia="Arial" w:hAnsi="Arial"/>
          <w:sz w:val="16"/>
          <w:szCs w:val="16"/>
          <w:color w:val="2F2F2F"/>
        </w:rPr>
        <w:t>reside</w:t>
      </w:r>
      <w:r>
        <w:rPr>
          <w:rFonts w:ascii="Arial" w:cs="Arial" w:eastAsia="Arial" w:hAnsi="Arial"/>
          <w:sz w:val="16"/>
          <w:szCs w:val="16"/>
          <w:color w:val="41423F"/>
        </w:rPr>
        <w:t xml:space="preserve"> in a country where the minimum required primary underlying insurance limits of liability are not </w:t>
      </w:r>
      <w:r>
        <w:rPr>
          <w:rFonts w:ascii="Arial" w:cs="Arial" w:eastAsia="Arial" w:hAnsi="Arial"/>
          <w:sz w:val="16"/>
          <w:szCs w:val="16"/>
          <w:color w:val="2F2F2F"/>
        </w:rPr>
        <w:t>available.</w:t>
      </w:r>
      <w:r>
        <w:rPr>
          <w:rFonts w:ascii="Arial" w:cs="Arial" w:eastAsia="Arial" w:hAnsi="Arial"/>
          <w:sz w:val="16"/>
          <w:szCs w:val="16"/>
          <w:color w:val="41423F"/>
        </w:rPr>
        <w:t xml:space="preserve"> In these countries, you and your family members must maintain in full effect primary underlying liability insurance limits equal to </w:t>
      </w:r>
      <w:r>
        <w:rPr>
          <w:rFonts w:ascii="Arial" w:cs="Arial" w:eastAsia="Arial" w:hAnsi="Arial"/>
          <w:sz w:val="16"/>
          <w:szCs w:val="16"/>
          <w:color w:val="2F2F2F"/>
        </w:rPr>
        <w:t>the</w:t>
      </w:r>
      <w:r>
        <w:rPr>
          <w:rFonts w:ascii="Arial" w:cs="Arial" w:eastAsia="Arial" w:hAnsi="Arial"/>
          <w:sz w:val="16"/>
          <w:szCs w:val="16"/>
          <w:color w:val="41423F"/>
        </w:rPr>
        <w:t xml:space="preserve"> maximum limits of liability available in that country for all coverages up to the minimum required primary </w:t>
      </w:r>
      <w:r>
        <w:rPr>
          <w:rFonts w:ascii="Arial" w:cs="Arial" w:eastAsia="Arial" w:hAnsi="Arial"/>
          <w:sz w:val="16"/>
          <w:szCs w:val="16"/>
          <w:color w:val="2F2F2F"/>
        </w:rPr>
        <w:t>underlying</w:t>
      </w:r>
      <w:r>
        <w:rPr>
          <w:rFonts w:ascii="Arial" w:cs="Arial" w:eastAsia="Arial" w:hAnsi="Arial"/>
          <w:sz w:val="16"/>
          <w:szCs w:val="16"/>
          <w:color w:val="41423F"/>
        </w:rPr>
        <w:t xml:space="preserve"> limits shown in </w:t>
      </w:r>
      <w:r>
        <w:rPr>
          <w:rFonts w:ascii="Arial" w:cs="Arial" w:eastAsia="Arial" w:hAnsi="Arial"/>
          <w:sz w:val="16"/>
          <w:szCs w:val="16"/>
          <w:color w:val="2F2F2F"/>
        </w:rPr>
        <w:t>the</w:t>
      </w:r>
      <w:r>
        <w:rPr>
          <w:rFonts w:ascii="Arial" w:cs="Arial" w:eastAsia="Arial" w:hAnsi="Arial"/>
          <w:sz w:val="16"/>
          <w:szCs w:val="16"/>
          <w:color w:val="41423F"/>
        </w:rPr>
        <w:t xml:space="preserve"> Coverage Summary under Required Primary Underlying Insurance.</w:t>
      </w:r>
    </w:p>
    <w:p>
      <w:pPr>
        <w:spacing w:after="0" w:line="191" w:lineRule="exact"/>
        <w:rPr>
          <w:sz w:val="20"/>
          <w:szCs w:val="20"/>
          <w:color w:val="auto"/>
        </w:rPr>
      </w:pPr>
    </w:p>
    <w:p>
      <w:pPr>
        <w:jc w:val="both"/>
        <w:ind w:left="540"/>
        <w:spacing w:after="0" w:line="314" w:lineRule="auto"/>
        <w:rPr>
          <w:sz w:val="20"/>
          <w:szCs w:val="20"/>
          <w:color w:val="auto"/>
        </w:rPr>
      </w:pPr>
      <w:r>
        <w:rPr>
          <w:rFonts w:ascii="Arial" w:cs="Arial" w:eastAsia="Arial" w:hAnsi="Arial"/>
          <w:sz w:val="16"/>
          <w:szCs w:val="16"/>
          <w:color w:val="41423F"/>
        </w:rPr>
        <w:t xml:space="preserve">Failure by you or your family members to comply with this condition, or failure of any of your primary underlying </w:t>
      </w:r>
      <w:r>
        <w:rPr>
          <w:rFonts w:ascii="Arial" w:cs="Arial" w:eastAsia="Arial" w:hAnsi="Arial"/>
          <w:sz w:val="16"/>
          <w:szCs w:val="16"/>
          <w:color w:val="2F2F2F"/>
        </w:rPr>
        <w:t>insurers</w:t>
      </w:r>
      <w:r>
        <w:rPr>
          <w:rFonts w:ascii="Arial" w:cs="Arial" w:eastAsia="Arial" w:hAnsi="Arial"/>
          <w:sz w:val="16"/>
          <w:szCs w:val="16"/>
          <w:color w:val="41423F"/>
        </w:rPr>
        <w:t xml:space="preserve"> due to insolvency or bankruptcy, shall not invalidate this policy. In the event of any such failure, we shall only be liable in excess of </w:t>
      </w:r>
      <w:r>
        <w:rPr>
          <w:rFonts w:ascii="Arial" w:cs="Arial" w:eastAsia="Arial" w:hAnsi="Arial"/>
          <w:sz w:val="16"/>
          <w:szCs w:val="16"/>
          <w:color w:val="2F2F2F"/>
        </w:rPr>
        <w:t>the</w:t>
      </w:r>
      <w:r>
        <w:rPr>
          <w:rFonts w:ascii="Arial" w:cs="Arial" w:eastAsia="Arial" w:hAnsi="Arial"/>
          <w:sz w:val="16"/>
          <w:szCs w:val="16"/>
          <w:color w:val="41423F"/>
        </w:rPr>
        <w:t xml:space="preserve"> foregoing minimum amounts and to </w:t>
      </w:r>
      <w:r>
        <w:rPr>
          <w:rFonts w:ascii="Arial" w:cs="Arial" w:eastAsia="Arial" w:hAnsi="Arial"/>
          <w:sz w:val="16"/>
          <w:szCs w:val="16"/>
          <w:color w:val="2F2F2F"/>
        </w:rPr>
        <w:t>no</w:t>
      </w:r>
      <w:r>
        <w:rPr>
          <w:rFonts w:ascii="Arial" w:cs="Arial" w:eastAsia="Arial" w:hAnsi="Arial"/>
          <w:sz w:val="16"/>
          <w:szCs w:val="16"/>
          <w:color w:val="41423F"/>
        </w:rPr>
        <w:t xml:space="preserve"> greater extent with respect to coverages, amounts and defense costs than we would have been had this failure not occurred.</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6"/>
          <w:szCs w:val="16"/>
          <w:color w:val="41423F"/>
        </w:rPr>
        <w:t xml:space="preserve">You must also give notice of losses and otherwise cooperate and comply with the terms and conditions of such primary </w:t>
      </w:r>
      <w:r>
        <w:rPr>
          <w:rFonts w:ascii="Arial" w:cs="Arial" w:eastAsia="Arial" w:hAnsi="Arial"/>
          <w:sz w:val="16"/>
          <w:szCs w:val="16"/>
          <w:color w:val="2F2F2F"/>
        </w:rPr>
        <w:t>underlying</w:t>
      </w:r>
      <w:r>
        <w:rPr>
          <w:rFonts w:ascii="Arial" w:cs="Arial" w:eastAsia="Arial" w:hAnsi="Arial"/>
          <w:sz w:val="16"/>
          <w:szCs w:val="16"/>
          <w:color w:val="41423F"/>
        </w:rPr>
        <w:t xml:space="preserve"> insurance.</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22"/>
          <w:szCs w:val="22"/>
          <w:b w:val="1"/>
          <w:bCs w:val="1"/>
          <w:i w:val="1"/>
          <w:iCs w:val="1"/>
          <w:color w:val="41423F"/>
        </w:rPr>
        <w:t>Group Personal Excess Liability Coverage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color w:val="41423F"/>
        </w:rPr>
        <w:t xml:space="preserve">We </w:t>
      </w:r>
      <w:r>
        <w:rPr>
          <w:rFonts w:ascii="Arial" w:cs="Arial" w:eastAsia="Arial" w:hAnsi="Arial"/>
          <w:sz w:val="16"/>
          <w:szCs w:val="16"/>
          <w:color w:val="41423F"/>
        </w:rPr>
        <w:t>cover damages a covered person</w:t>
      </w:r>
      <w:r>
        <w:rPr>
          <w:rFonts w:ascii="Arial" w:cs="Arial" w:eastAsia="Arial" w:hAnsi="Arial"/>
          <w:sz w:val="14"/>
          <w:szCs w:val="14"/>
          <w:color w:val="41423F"/>
        </w:rPr>
        <w:t xml:space="preserve"> </w:t>
      </w:r>
      <w:r>
        <w:rPr>
          <w:rFonts w:ascii="Arial" w:cs="Arial" w:eastAsia="Arial" w:hAnsi="Arial"/>
          <w:sz w:val="16"/>
          <w:szCs w:val="16"/>
          <w:color w:val="2F2F2F"/>
        </w:rPr>
        <w:t>is legally</w:t>
      </w:r>
      <w:r>
        <w:rPr>
          <w:rFonts w:ascii="Arial" w:cs="Arial" w:eastAsia="Arial" w:hAnsi="Arial"/>
          <w:sz w:val="14"/>
          <w:szCs w:val="14"/>
          <w:color w:val="41423F"/>
        </w:rPr>
        <w:t xml:space="preserve"> </w:t>
      </w:r>
      <w:r>
        <w:rPr>
          <w:rFonts w:ascii="Arial" w:cs="Arial" w:eastAsia="Arial" w:hAnsi="Arial"/>
          <w:sz w:val="16"/>
          <w:szCs w:val="16"/>
          <w:color w:val="41423F"/>
        </w:rPr>
        <w:t>obligated to pay for personal injury or property damage, caused by an occurrence:</w:t>
      </w:r>
    </w:p>
    <w:p>
      <w:pPr>
        <w:spacing w:after="0" w:line="22" w:lineRule="exact"/>
        <w:rPr>
          <w:sz w:val="20"/>
          <w:szCs w:val="20"/>
          <w:color w:val="auto"/>
        </w:rPr>
      </w:pPr>
    </w:p>
    <w:p>
      <w:pPr>
        <w:ind w:left="880" w:hanging="318"/>
        <w:spacing w:after="0"/>
        <w:tabs>
          <w:tab w:leader="none" w:pos="880" w:val="left"/>
        </w:tabs>
        <w:numPr>
          <w:ilvl w:val="0"/>
          <w:numId w:val="92"/>
        </w:numPr>
        <w:rPr>
          <w:rFonts w:ascii="Arial" w:cs="Arial" w:eastAsia="Arial" w:hAnsi="Arial"/>
          <w:sz w:val="20"/>
          <w:szCs w:val="20"/>
          <w:color w:val="auto"/>
        </w:rPr>
      </w:pPr>
      <w:r>
        <w:rPr>
          <w:rFonts w:ascii="Arial" w:cs="Arial" w:eastAsia="Arial" w:hAnsi="Arial"/>
          <w:sz w:val="16"/>
          <w:szCs w:val="16"/>
          <w:color w:val="41423F"/>
        </w:rPr>
        <w:t xml:space="preserve">in excess of damages covered </w:t>
      </w:r>
      <w:r>
        <w:rPr>
          <w:rFonts w:ascii="Arial" w:cs="Arial" w:eastAsia="Arial" w:hAnsi="Arial"/>
          <w:sz w:val="16"/>
          <w:szCs w:val="16"/>
          <w:color w:val="2F2F2F"/>
        </w:rPr>
        <w:t>by</w:t>
      </w:r>
      <w:r>
        <w:rPr>
          <w:rFonts w:ascii="Arial" w:cs="Arial" w:eastAsia="Arial" w:hAnsi="Arial"/>
          <w:sz w:val="16"/>
          <w:szCs w:val="16"/>
          <w:color w:val="41423F"/>
        </w:rPr>
        <w:t xml:space="preserve"> the underlying insurance; or</w:t>
      </w:r>
    </w:p>
    <w:p>
      <w:pPr>
        <w:spacing w:after="0" w:line="23" w:lineRule="exact"/>
        <w:rPr>
          <w:rFonts w:ascii="Arial" w:cs="Arial" w:eastAsia="Arial" w:hAnsi="Arial"/>
          <w:sz w:val="20"/>
          <w:szCs w:val="20"/>
          <w:color w:val="auto"/>
        </w:rPr>
      </w:pPr>
    </w:p>
    <w:p>
      <w:pPr>
        <w:ind w:left="880" w:hanging="318"/>
        <w:spacing w:after="0" w:line="229" w:lineRule="auto"/>
        <w:tabs>
          <w:tab w:leader="none" w:pos="880" w:val="left"/>
        </w:tabs>
        <w:numPr>
          <w:ilvl w:val="0"/>
          <w:numId w:val="92"/>
        </w:numPr>
        <w:rPr>
          <w:rFonts w:ascii="Arial" w:cs="Arial" w:eastAsia="Arial" w:hAnsi="Arial"/>
          <w:sz w:val="20"/>
          <w:szCs w:val="20"/>
          <w:color w:val="auto"/>
        </w:rPr>
      </w:pPr>
      <w:r>
        <w:rPr>
          <w:rFonts w:ascii="Arial" w:cs="Arial" w:eastAsia="Arial" w:hAnsi="Arial"/>
          <w:sz w:val="16"/>
          <w:szCs w:val="16"/>
          <w:color w:val="41423F"/>
        </w:rPr>
        <w:t>from the first dollar of damage where no underlying insurance is required under this policy and no underlying insurance exists; or</w:t>
      </w:r>
    </w:p>
    <w:p>
      <w:pPr>
        <w:spacing w:after="0" w:line="36" w:lineRule="exact"/>
        <w:rPr>
          <w:rFonts w:ascii="Arial" w:cs="Arial" w:eastAsia="Arial" w:hAnsi="Arial"/>
          <w:sz w:val="20"/>
          <w:szCs w:val="20"/>
          <w:color w:val="auto"/>
        </w:rPr>
      </w:pPr>
    </w:p>
    <w:p>
      <w:pPr>
        <w:ind w:left="900" w:right="160" w:hanging="338"/>
        <w:spacing w:after="0" w:line="268" w:lineRule="auto"/>
        <w:tabs>
          <w:tab w:leader="none" w:pos="882" w:val="left"/>
        </w:tabs>
        <w:numPr>
          <w:ilvl w:val="0"/>
          <w:numId w:val="92"/>
        </w:numPr>
        <w:rPr>
          <w:rFonts w:ascii="Arial" w:cs="Arial" w:eastAsia="Arial" w:hAnsi="Arial"/>
          <w:sz w:val="20"/>
          <w:szCs w:val="20"/>
          <w:color w:val="auto"/>
        </w:rPr>
      </w:pPr>
      <w:r>
        <w:rPr>
          <w:rFonts w:ascii="Arial" w:cs="Arial" w:eastAsia="Arial" w:hAnsi="Arial"/>
          <w:sz w:val="16"/>
          <w:szCs w:val="16"/>
          <w:color w:val="41423F"/>
        </w:rPr>
        <w:t xml:space="preserve">from the first dollar of damage where underlying insurance </w:t>
      </w:r>
      <w:r>
        <w:rPr>
          <w:rFonts w:ascii="Arial" w:cs="Arial" w:eastAsia="Arial" w:hAnsi="Arial"/>
          <w:sz w:val="16"/>
          <w:szCs w:val="16"/>
          <w:color w:val="2F2F2F"/>
        </w:rPr>
        <w:t>is</w:t>
      </w:r>
      <w:r>
        <w:rPr>
          <w:rFonts w:ascii="Arial" w:cs="Arial" w:eastAsia="Arial" w:hAnsi="Arial"/>
          <w:sz w:val="16"/>
          <w:szCs w:val="16"/>
          <w:color w:val="41423F"/>
        </w:rPr>
        <w:t xml:space="preserve"> required </w:t>
      </w:r>
      <w:r>
        <w:rPr>
          <w:rFonts w:ascii="Arial" w:cs="Arial" w:eastAsia="Arial" w:hAnsi="Arial"/>
          <w:sz w:val="16"/>
          <w:szCs w:val="16"/>
          <w:color w:val="2F2F2F"/>
        </w:rPr>
        <w:t>under this</w:t>
      </w:r>
      <w:r>
        <w:rPr>
          <w:rFonts w:ascii="Arial" w:cs="Arial" w:eastAsia="Arial" w:hAnsi="Arial"/>
          <w:sz w:val="16"/>
          <w:szCs w:val="16"/>
          <w:color w:val="41423F"/>
        </w:rPr>
        <w:t xml:space="preserve"> policy but no coverage is provided </w:t>
      </w:r>
      <w:r>
        <w:rPr>
          <w:rFonts w:ascii="Arial" w:cs="Arial" w:eastAsia="Arial" w:hAnsi="Arial"/>
          <w:sz w:val="16"/>
          <w:szCs w:val="16"/>
          <w:color w:val="2F2F2F"/>
        </w:rPr>
        <w:t>by</w:t>
      </w:r>
      <w:r>
        <w:rPr>
          <w:rFonts w:ascii="Arial" w:cs="Arial" w:eastAsia="Arial" w:hAnsi="Arial"/>
          <w:sz w:val="16"/>
          <w:szCs w:val="16"/>
          <w:color w:val="41423F"/>
        </w:rPr>
        <w:t xml:space="preserve"> the underlying insurance for a particular occurrence;</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4 of 15</w:t>
      </w:r>
    </w:p>
    <w:p>
      <w:pPr>
        <w:sectPr>
          <w:pgSz w:w="11900" w:h="16838" w:orient="portrait"/>
          <w:cols w:equalWidth="0" w:num="1">
            <w:col w:w="11420"/>
          </w:cols>
          <w:pgMar w:left="240" w:top="757" w:right="239" w:bottom="1440" w:gutter="0" w:footer="0" w:header="0"/>
        </w:sectPr>
      </w:pPr>
    </w:p>
    <w:bookmarkStart w:id="143" w:name="page144"/>
    <w:bookmarkEnd w:id="143"/>
    <w:p>
      <w:pPr>
        <w:ind w:left="580"/>
        <w:spacing w:after="0"/>
        <w:rPr>
          <w:sz w:val="20"/>
          <w:szCs w:val="20"/>
          <w:color w:val="auto"/>
        </w:rPr>
      </w:pPr>
      <w:r>
        <w:rPr>
          <w:rFonts w:ascii="Arial" w:cs="Arial" w:eastAsia="Arial" w:hAnsi="Arial"/>
          <w:sz w:val="16"/>
          <w:szCs w:val="16"/>
          <w:color w:val="41423F"/>
        </w:rPr>
        <w:t>unless stated otherwise or an exclusion applies.</w:t>
      </w:r>
    </w:p>
    <w:p>
      <w:pPr>
        <w:spacing w:after="0" w:line="226" w:lineRule="exact"/>
        <w:rPr>
          <w:sz w:val="20"/>
          <w:szCs w:val="20"/>
          <w:color w:val="auto"/>
        </w:rPr>
      </w:pPr>
    </w:p>
    <w:p>
      <w:pPr>
        <w:ind w:left="580"/>
        <w:spacing w:after="0"/>
        <w:rPr>
          <w:sz w:val="20"/>
          <w:szCs w:val="20"/>
          <w:color w:val="auto"/>
        </w:rPr>
      </w:pPr>
      <w:r>
        <w:rPr>
          <w:rFonts w:ascii="Arial" w:cs="Arial" w:eastAsia="Arial" w:hAnsi="Arial"/>
          <w:sz w:val="16"/>
          <w:szCs w:val="16"/>
          <w:color w:val="41423F"/>
        </w:rPr>
        <w:t xml:space="preserve">Exclusions to this coverage are described in </w:t>
      </w:r>
      <w:r>
        <w:rPr>
          <w:rFonts w:ascii="Arial" w:cs="Arial" w:eastAsia="Arial" w:hAnsi="Arial"/>
          <w:sz w:val="18"/>
          <w:szCs w:val="18"/>
          <w:b w:val="1"/>
          <w:bCs w:val="1"/>
          <w:color w:val="41423F"/>
        </w:rPr>
        <w:t>Exclusions.</w:t>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41423F"/>
        </w:rPr>
        <w:t>Excess uninsured motorists/underinsured motorist protection</w:t>
      </w:r>
    </w:p>
    <w:p>
      <w:pPr>
        <w:spacing w:after="0" w:line="31" w:lineRule="exact"/>
        <w:rPr>
          <w:sz w:val="20"/>
          <w:szCs w:val="20"/>
          <w:color w:val="auto"/>
        </w:rPr>
      </w:pPr>
    </w:p>
    <w:p>
      <w:pPr>
        <w:ind w:left="540"/>
        <w:spacing w:after="0"/>
        <w:rPr>
          <w:sz w:val="20"/>
          <w:szCs w:val="20"/>
          <w:color w:val="auto"/>
        </w:rPr>
      </w:pPr>
      <w:r>
        <w:rPr>
          <w:rFonts w:ascii="Arial" w:cs="Arial" w:eastAsia="Arial" w:hAnsi="Arial"/>
          <w:sz w:val="16"/>
          <w:szCs w:val="16"/>
          <w:color w:val="41423F"/>
        </w:rPr>
        <w:t xml:space="preserve">This coverage is in </w:t>
      </w:r>
      <w:r>
        <w:rPr>
          <w:rFonts w:ascii="Arial" w:cs="Arial" w:eastAsia="Arial" w:hAnsi="Arial"/>
          <w:sz w:val="16"/>
          <w:szCs w:val="16"/>
          <w:color w:val="2F2F2F"/>
        </w:rPr>
        <w:t>effect</w:t>
      </w:r>
      <w:r>
        <w:rPr>
          <w:rFonts w:ascii="Arial" w:cs="Arial" w:eastAsia="Arial" w:hAnsi="Arial"/>
          <w:sz w:val="16"/>
          <w:szCs w:val="16"/>
          <w:color w:val="41423F"/>
        </w:rPr>
        <w:t xml:space="preserve"> only if excess uninsured motorists/underinsured motorists protection is shown in the Coverage Summary</w:t>
      </w:r>
      <w:r>
        <w:rPr>
          <w:rFonts w:ascii="Arial" w:cs="Arial" w:eastAsia="Arial" w:hAnsi="Arial"/>
          <w:sz w:val="16"/>
          <w:szCs w:val="16"/>
          <w:color w:val="60605D"/>
        </w:rPr>
        <w:t>.</w:t>
      </w: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464644"/>
        </w:rPr>
        <w:t>Group Personal Excess Liability Coverage</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464644"/>
        </w:rPr>
        <w:t>(continued)</w:t>
      </w:r>
    </w:p>
    <w:p>
      <w:pPr>
        <w:spacing w:after="0" w:line="294" w:lineRule="exact"/>
        <w:rPr>
          <w:sz w:val="20"/>
          <w:szCs w:val="20"/>
          <w:color w:val="auto"/>
        </w:rPr>
      </w:pPr>
    </w:p>
    <w:p>
      <w:pPr>
        <w:jc w:val="both"/>
        <w:ind w:left="180"/>
        <w:spacing w:after="0" w:line="314" w:lineRule="auto"/>
        <w:rPr>
          <w:sz w:val="20"/>
          <w:szCs w:val="20"/>
          <w:color w:val="auto"/>
        </w:rPr>
      </w:pPr>
      <w:r>
        <w:rPr>
          <w:rFonts w:ascii="Arial" w:cs="Arial" w:eastAsia="Arial" w:hAnsi="Arial"/>
          <w:sz w:val="16"/>
          <w:szCs w:val="16"/>
          <w:color w:val="464644"/>
        </w:rPr>
        <w:t>We cover damages for bodily injury and property damage a covered person is legally entitled to receive from the owner or operator of an uninsured motorized/underinsured motorized land vehicle. We cover these damages in excess of the underlying insurance or the Required Primary Underlying Insurance, whichever is greater, if they are caused by an occurrence during the policy period, unless otherwise stated.</w:t>
      </w:r>
    </w:p>
    <w:p>
      <w:pPr>
        <w:spacing w:after="0" w:line="192" w:lineRule="exact"/>
        <w:rPr>
          <w:sz w:val="20"/>
          <w:szCs w:val="20"/>
          <w:color w:val="auto"/>
        </w:rPr>
      </w:pPr>
    </w:p>
    <w:p>
      <w:pPr>
        <w:jc w:val="both"/>
        <w:ind w:left="140"/>
        <w:spacing w:after="0" w:line="310" w:lineRule="auto"/>
        <w:rPr>
          <w:sz w:val="20"/>
          <w:szCs w:val="20"/>
          <w:color w:val="auto"/>
        </w:rPr>
      </w:pPr>
      <w:r>
        <w:rPr>
          <w:rFonts w:ascii="Arial" w:cs="Arial" w:eastAsia="Arial" w:hAnsi="Arial"/>
          <w:sz w:val="16"/>
          <w:szCs w:val="16"/>
          <w:b w:val="1"/>
          <w:bCs w:val="1"/>
          <w:color w:val="464644"/>
        </w:rPr>
        <w:t xml:space="preserve">Amount of coverage. </w:t>
      </w:r>
      <w:r>
        <w:rPr>
          <w:rFonts w:ascii="Arial" w:cs="Arial" w:eastAsia="Arial" w:hAnsi="Arial"/>
          <w:sz w:val="16"/>
          <w:szCs w:val="16"/>
          <w:color w:val="464644"/>
        </w:rPr>
        <w:t>The maximum amount of excess uninsured motorists/underinsured motorists protection available for any one occurrence is the excess uninsured</w:t>
      </w:r>
      <w:r>
        <w:rPr>
          <w:rFonts w:ascii="Arial" w:cs="Arial" w:eastAsia="Arial" w:hAnsi="Arial"/>
          <w:sz w:val="16"/>
          <w:szCs w:val="16"/>
          <w:b w:val="1"/>
          <w:bCs w:val="1"/>
          <w:color w:val="464644"/>
        </w:rPr>
        <w:t xml:space="preserve"> </w:t>
      </w:r>
      <w:r>
        <w:rPr>
          <w:rFonts w:ascii="Arial" w:cs="Arial" w:eastAsia="Arial" w:hAnsi="Arial"/>
          <w:sz w:val="16"/>
          <w:szCs w:val="16"/>
          <w:color w:val="464644"/>
        </w:rPr>
        <w:t xml:space="preserve">motorists/underinsured motorists protection amount shown in the Coverage Summary regardless of the number of vehicles covered by the Required </w:t>
      </w:r>
      <w:r>
        <w:rPr>
          <w:rFonts w:ascii="Arial" w:cs="Arial" w:eastAsia="Arial" w:hAnsi="Arial"/>
          <w:sz w:val="15"/>
          <w:szCs w:val="15"/>
          <w:color w:val="464644"/>
        </w:rPr>
        <w:t>Primary</w:t>
      </w:r>
      <w:r>
        <w:rPr>
          <w:rFonts w:ascii="Arial" w:cs="Arial" w:eastAsia="Arial" w:hAnsi="Arial"/>
          <w:sz w:val="16"/>
          <w:szCs w:val="16"/>
          <w:color w:val="464644"/>
        </w:rPr>
        <w:t xml:space="preserve"> Underlying Insurance. We will not pay more than this amount in any one occurrence for covered damages regardless of how many claims, vehicles or people are involved in the occurrence. This coverage will follow form.</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64644"/>
        </w:rPr>
        <w:t>Uninsured motorists/underinsured motorists protection arbitration</w:t>
      </w:r>
    </w:p>
    <w:p>
      <w:pPr>
        <w:spacing w:after="0" w:line="63" w:lineRule="exact"/>
        <w:rPr>
          <w:sz w:val="20"/>
          <w:szCs w:val="20"/>
          <w:color w:val="auto"/>
        </w:rPr>
      </w:pPr>
    </w:p>
    <w:p>
      <w:pPr>
        <w:jc w:val="both"/>
        <w:ind w:left="140"/>
        <w:spacing w:after="0" w:line="331" w:lineRule="auto"/>
        <w:rPr>
          <w:sz w:val="20"/>
          <w:szCs w:val="20"/>
          <w:color w:val="auto"/>
        </w:rPr>
      </w:pPr>
      <w:r>
        <w:rPr>
          <w:rFonts w:ascii="Arial" w:cs="Arial" w:eastAsia="Arial" w:hAnsi="Arial"/>
          <w:sz w:val="15"/>
          <w:szCs w:val="15"/>
          <w:color w:val="464644"/>
        </w:rPr>
        <w:t xml:space="preserve">If we and a covered person disagree whether that person is legally entitled to recover damages from the owner or operator of an uninsured motor vehicle/underinsured motor vehicle, or do not agree as to the amount of damages, either party may make </w:t>
      </w:r>
      <w:r>
        <w:rPr>
          <w:rFonts w:ascii="Arial" w:cs="Arial" w:eastAsia="Arial" w:hAnsi="Arial"/>
          <w:sz w:val="15"/>
          <w:szCs w:val="15"/>
          <w:color w:val="5D5D5B"/>
        </w:rPr>
        <w:t>a</w:t>
      </w:r>
      <w:r>
        <w:rPr>
          <w:rFonts w:ascii="Arial" w:cs="Arial" w:eastAsia="Arial" w:hAnsi="Arial"/>
          <w:sz w:val="15"/>
          <w:szCs w:val="15"/>
          <w:color w:val="464644"/>
        </w:rPr>
        <w:t xml:space="preserve"> written demand for arbitration. In this event, each party will select an arbitrator. The two arbitrators will select a third. If they cannot agree on a third arbitrator within 45 days, either may request that the arbitration be submitted to the American Arbitration Association. When the covered person's recovery exceeds the minimum limit specified in the applicable </w:t>
      </w:r>
      <w:r>
        <w:rPr>
          <w:rFonts w:ascii="Arial" w:cs="Arial" w:eastAsia="Arial" w:hAnsi="Arial"/>
          <w:sz w:val="15"/>
          <w:szCs w:val="15"/>
          <w:color w:val="5D5D5B"/>
        </w:rPr>
        <w:t>jurisdiction's</w:t>
      </w:r>
      <w:r>
        <w:rPr>
          <w:rFonts w:ascii="Arial" w:cs="Arial" w:eastAsia="Arial" w:hAnsi="Arial"/>
          <w:sz w:val="15"/>
          <w:szCs w:val="15"/>
          <w:color w:val="464644"/>
        </w:rPr>
        <w:t xml:space="preserve"> financial responsibility law, each party will pay the expenses it incurs, and bear the expenses of the third arbitrator equally. Otherwise, we will bear all the expenses of the arbitration.</w:t>
      </w:r>
    </w:p>
    <w:p>
      <w:pPr>
        <w:spacing w:after="0" w:line="121" w:lineRule="exact"/>
        <w:rPr>
          <w:sz w:val="20"/>
          <w:szCs w:val="20"/>
          <w:color w:val="auto"/>
        </w:rPr>
      </w:pPr>
    </w:p>
    <w:p>
      <w:pPr>
        <w:jc w:val="both"/>
        <w:ind w:left="140"/>
        <w:spacing w:after="0" w:line="309" w:lineRule="auto"/>
        <w:rPr>
          <w:sz w:val="20"/>
          <w:szCs w:val="20"/>
          <w:color w:val="auto"/>
        </w:rPr>
      </w:pPr>
      <w:r>
        <w:rPr>
          <w:rFonts w:ascii="Arial" w:cs="Arial" w:eastAsia="Arial" w:hAnsi="Arial"/>
          <w:sz w:val="16"/>
          <w:szCs w:val="16"/>
          <w:color w:val="5D5D5B"/>
        </w:rPr>
        <w:t xml:space="preserve">Unless </w:t>
      </w:r>
      <w:r>
        <w:rPr>
          <w:rFonts w:ascii="Arial" w:cs="Arial" w:eastAsia="Arial" w:hAnsi="Arial"/>
          <w:sz w:val="16"/>
          <w:szCs w:val="16"/>
          <w:color w:val="464644"/>
        </w:rPr>
        <w:t>both parties agree otherwise, arbitration will take place in the county and state in which the covered person lives. Local rules of law as to procedure and evidence will</w:t>
      </w:r>
      <w:r>
        <w:rPr>
          <w:rFonts w:ascii="Arial" w:cs="Arial" w:eastAsia="Arial" w:hAnsi="Arial"/>
          <w:sz w:val="16"/>
          <w:szCs w:val="16"/>
          <w:color w:val="5D5D5B"/>
        </w:rPr>
        <w:t xml:space="preserve"> </w:t>
      </w:r>
      <w:r>
        <w:rPr>
          <w:rFonts w:ascii="Arial" w:cs="Arial" w:eastAsia="Arial" w:hAnsi="Arial"/>
          <w:sz w:val="16"/>
          <w:szCs w:val="16"/>
          <w:color w:val="464644"/>
        </w:rPr>
        <w:t xml:space="preserve">apply. </w:t>
      </w:r>
      <w:r>
        <w:rPr>
          <w:rFonts w:ascii="Arial" w:cs="Arial" w:eastAsia="Arial" w:hAnsi="Arial"/>
          <w:sz w:val="16"/>
          <w:szCs w:val="16"/>
          <w:b w:val="1"/>
          <w:bCs w:val="1"/>
          <w:color w:val="464644"/>
        </w:rPr>
        <w:t>A</w:t>
      </w:r>
      <w:r>
        <w:rPr>
          <w:rFonts w:ascii="Arial" w:cs="Arial" w:eastAsia="Arial" w:hAnsi="Arial"/>
          <w:sz w:val="16"/>
          <w:szCs w:val="16"/>
          <w:color w:val="464644"/>
        </w:rPr>
        <w:t xml:space="preserve"> decision agreed to by two arbitrators will be binding unless the recovery amount for bodily injury exceeds the minimum limit specified by the applicable </w:t>
      </w:r>
      <w:r>
        <w:rPr>
          <w:rFonts w:ascii="Arial" w:cs="Arial" w:eastAsia="Arial" w:hAnsi="Arial"/>
          <w:sz w:val="16"/>
          <w:szCs w:val="16"/>
          <w:color w:val="5D5D5B"/>
        </w:rPr>
        <w:t xml:space="preserve">jurisdiction's </w:t>
      </w:r>
      <w:r>
        <w:rPr>
          <w:rFonts w:ascii="Arial" w:cs="Arial" w:eastAsia="Arial" w:hAnsi="Arial"/>
          <w:sz w:val="16"/>
          <w:szCs w:val="16"/>
          <w:color w:val="464644"/>
        </w:rPr>
        <w:t>financial responsibility law. If the amount exceeds that limit, either party may demand the right to a trial. This demand must be made within 60 days of the</w:t>
      </w:r>
      <w:r>
        <w:rPr>
          <w:rFonts w:ascii="Arial" w:cs="Arial" w:eastAsia="Arial" w:hAnsi="Arial"/>
          <w:sz w:val="16"/>
          <w:szCs w:val="16"/>
          <w:color w:val="5D5D5B"/>
        </w:rPr>
        <w:t xml:space="preserve"> </w:t>
      </w:r>
      <w:r>
        <w:rPr>
          <w:rFonts w:ascii="Arial" w:cs="Arial" w:eastAsia="Arial" w:hAnsi="Arial"/>
          <w:sz w:val="16"/>
          <w:szCs w:val="16"/>
          <w:color w:val="464644"/>
        </w:rPr>
        <w:t>arbitrator's decision. If this demand is not made, the amount of damages agreed to by the arbitrators will be binding.</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64644"/>
        </w:rPr>
        <w:t>Uninsured/underinsured liability coverage</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464644"/>
        </w:rPr>
        <w:t>This coverage is in effect only if excess uninsured motorists/underinsure d motorists protection is shown in the Coverage Summary.</w:t>
      </w:r>
    </w:p>
    <w:p>
      <w:pPr>
        <w:spacing w:after="0" w:line="150" w:lineRule="exact"/>
        <w:rPr>
          <w:sz w:val="20"/>
          <w:szCs w:val="20"/>
          <w:color w:val="auto"/>
        </w:rPr>
      </w:pPr>
    </w:p>
    <w:p>
      <w:pPr>
        <w:jc w:val="both"/>
        <w:ind w:left="120"/>
        <w:spacing w:after="0" w:line="309" w:lineRule="auto"/>
        <w:rPr>
          <w:sz w:val="20"/>
          <w:szCs w:val="20"/>
          <w:color w:val="auto"/>
        </w:rPr>
      </w:pPr>
      <w:r>
        <w:rPr>
          <w:rFonts w:ascii="Arial" w:cs="Arial" w:eastAsia="Arial" w:hAnsi="Arial"/>
          <w:sz w:val="16"/>
          <w:szCs w:val="16"/>
          <w:color w:val="464644"/>
        </w:rPr>
        <w:t xml:space="preserve">We cover up to a maximum of $1 million for bodily injury and personal injury you or a family member are legally entitled to receive from an uninsured or underinsured negligent person caused by an occurrence, unless stated otherwise or an exclusion applies. We will not pay more than this amount for covered damages from any one occurrence, regardless of how many claims or people are involved in the occurrence. This coverage is excess over the total </w:t>
      </w:r>
      <w:r>
        <w:rPr>
          <w:rFonts w:ascii="Arial" w:cs="Arial" w:eastAsia="Arial" w:hAnsi="Arial"/>
          <w:sz w:val="16"/>
          <w:szCs w:val="16"/>
          <w:color w:val="5D5D5B"/>
        </w:rPr>
        <w:t>of</w:t>
      </w:r>
      <w:r>
        <w:rPr>
          <w:rFonts w:ascii="Arial" w:cs="Arial" w:eastAsia="Arial" w:hAnsi="Arial"/>
          <w:sz w:val="16"/>
          <w:szCs w:val="16"/>
          <w:color w:val="464644"/>
        </w:rPr>
        <w:t xml:space="preserve"> any other collectible insurance that covers damages from the occurrence.</w:t>
      </w:r>
    </w:p>
    <w:p>
      <w:pPr>
        <w:spacing w:after="0" w:line="200" w:lineRule="exact"/>
        <w:rPr>
          <w:sz w:val="20"/>
          <w:szCs w:val="20"/>
          <w:color w:val="auto"/>
        </w:rPr>
      </w:pPr>
    </w:p>
    <w:p>
      <w:pPr>
        <w:jc w:val="both"/>
        <w:ind w:left="120" w:firstLine="14"/>
        <w:spacing w:after="0" w:line="331" w:lineRule="auto"/>
        <w:rPr>
          <w:sz w:val="20"/>
          <w:szCs w:val="20"/>
          <w:color w:val="auto"/>
        </w:rPr>
      </w:pPr>
      <w:r>
        <w:rPr>
          <w:rFonts w:ascii="Arial" w:cs="Arial" w:eastAsia="Arial" w:hAnsi="Arial"/>
          <w:sz w:val="15"/>
          <w:szCs w:val="15"/>
          <w:color w:val="464644"/>
        </w:rPr>
        <w:t xml:space="preserve">All the exclusions under the Group Personal Excess Liability Coverage are applicable to this </w:t>
      </w:r>
      <w:r>
        <w:rPr>
          <w:rFonts w:ascii="Arial" w:cs="Arial" w:eastAsia="Arial" w:hAnsi="Arial"/>
          <w:sz w:val="15"/>
          <w:szCs w:val="15"/>
          <w:color w:val="5D5D5B"/>
        </w:rPr>
        <w:t>Uninsured/underinsured</w:t>
      </w:r>
      <w:r>
        <w:rPr>
          <w:rFonts w:ascii="Arial" w:cs="Arial" w:eastAsia="Arial" w:hAnsi="Arial"/>
          <w:sz w:val="15"/>
          <w:szCs w:val="15"/>
          <w:color w:val="464644"/>
        </w:rPr>
        <w:t xml:space="preserve"> liability coverage, and where used, the definition of you or a family member is extended to include negligent person. This coverage also does not apply to damages from an occurrence arising out of any business </w:t>
      </w:r>
      <w:r>
        <w:rPr>
          <w:rFonts w:ascii="Arial" w:cs="Arial" w:eastAsia="Arial" w:hAnsi="Arial"/>
          <w:sz w:val="15"/>
          <w:szCs w:val="15"/>
          <w:color w:val="5D5D5B"/>
        </w:rPr>
        <w:t>activities;</w:t>
      </w:r>
      <w:r>
        <w:rPr>
          <w:rFonts w:ascii="Arial" w:cs="Arial" w:eastAsia="Arial" w:hAnsi="Arial"/>
          <w:sz w:val="15"/>
          <w:szCs w:val="15"/>
          <w:color w:val="464644"/>
        </w:rPr>
        <w:t xml:space="preserve"> any activities involving business property or the sale or transfer of property; or the ownership, maintenance, use, loading, unloading, or towing of any motor vehicle, watercraft, or aircraft</w:t>
      </w:r>
      <w:r>
        <w:rPr>
          <w:rFonts w:ascii="Arial" w:cs="Arial" w:eastAsia="Arial" w:hAnsi="Arial"/>
          <w:sz w:val="15"/>
          <w:szCs w:val="15"/>
          <w:color w:val="1D1D1C"/>
        </w:rPr>
        <w:t>.</w:t>
      </w:r>
      <w:r>
        <w:rPr>
          <w:rFonts w:ascii="Arial" w:cs="Arial" w:eastAsia="Arial" w:hAnsi="Arial"/>
          <w:sz w:val="15"/>
          <w:szCs w:val="15"/>
          <w:color w:val="464644"/>
        </w:rPr>
        <w:t xml:space="preserve"> In addition, this coverage does not apply to damages from an occurrence arising from any employment related harassment, termination, demotion, breach of an oral or written employment contract or agreement or violation of any </w:t>
      </w:r>
      <w:r>
        <w:rPr>
          <w:rFonts w:ascii="Arial" w:cs="Arial" w:eastAsia="Arial" w:hAnsi="Arial"/>
          <w:sz w:val="15"/>
          <w:szCs w:val="15"/>
          <w:color w:val="5D5D5B"/>
        </w:rPr>
        <w:t>state</w:t>
      </w:r>
      <w:r>
        <w:rPr>
          <w:rFonts w:ascii="Arial" w:cs="Arial" w:eastAsia="Arial" w:hAnsi="Arial"/>
          <w:sz w:val="15"/>
          <w:szCs w:val="15"/>
          <w:color w:val="464644"/>
        </w:rPr>
        <w:t xml:space="preserve"> or federal wrongful employment practices act or similar law.</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4 of 15</w:t>
      </w:r>
    </w:p>
    <w:p>
      <w:pPr>
        <w:sectPr>
          <w:pgSz w:w="11900" w:h="16838" w:orient="portrait"/>
          <w:cols w:equalWidth="0" w:num="1">
            <w:col w:w="11420"/>
          </w:cols>
          <w:pgMar w:left="240" w:top="792" w:right="239" w:bottom="1440" w:gutter="0" w:footer="0" w:header="0"/>
        </w:sectPr>
      </w:pPr>
    </w:p>
    <w:bookmarkStart w:id="144" w:name="page145"/>
    <w:bookmarkEnd w:id="144"/>
    <w:p>
      <w:pPr>
        <w:jc w:val="both"/>
        <w:ind w:left="120"/>
        <w:spacing w:after="0" w:line="271" w:lineRule="auto"/>
        <w:rPr>
          <w:sz w:val="20"/>
          <w:szCs w:val="20"/>
          <w:color w:val="auto"/>
        </w:rPr>
      </w:pPr>
      <w:r>
        <w:rPr>
          <w:rFonts w:ascii="Arial" w:cs="Arial" w:eastAsia="Arial" w:hAnsi="Arial"/>
          <w:sz w:val="17"/>
          <w:szCs w:val="17"/>
          <w:color w:val="464644"/>
        </w:rPr>
        <w:t xml:space="preserve">We </w:t>
      </w:r>
      <w:r>
        <w:rPr>
          <w:rFonts w:ascii="Arial" w:cs="Arial" w:eastAsia="Arial" w:hAnsi="Arial"/>
          <w:sz w:val="16"/>
          <w:szCs w:val="16"/>
          <w:color w:val="464644"/>
        </w:rPr>
        <w:t>also</w:t>
      </w:r>
      <w:r>
        <w:rPr>
          <w:rFonts w:ascii="Arial" w:cs="Arial" w:eastAsia="Arial" w:hAnsi="Arial"/>
          <w:sz w:val="17"/>
          <w:szCs w:val="17"/>
          <w:color w:val="464644"/>
        </w:rPr>
        <w:t xml:space="preserve"> do </w:t>
      </w:r>
      <w:r>
        <w:rPr>
          <w:rFonts w:ascii="Arial" w:cs="Arial" w:eastAsia="Arial" w:hAnsi="Arial"/>
          <w:sz w:val="16"/>
          <w:szCs w:val="16"/>
          <w:color w:val="464644"/>
        </w:rPr>
        <w:t>not cover any fines, penalties, taxes, punitive, exemplary or multiplied damages, or any claim or suit</w:t>
      </w:r>
      <w:r>
        <w:rPr>
          <w:rFonts w:ascii="Arial" w:cs="Arial" w:eastAsia="Arial" w:hAnsi="Arial"/>
          <w:sz w:val="17"/>
          <w:szCs w:val="17"/>
          <w:color w:val="464644"/>
        </w:rPr>
        <w:t xml:space="preserve"> </w:t>
      </w:r>
      <w:r>
        <w:rPr>
          <w:rFonts w:ascii="Arial" w:cs="Arial" w:eastAsia="Arial" w:hAnsi="Arial"/>
          <w:sz w:val="16"/>
          <w:szCs w:val="16"/>
          <w:color w:val="5D5D5B"/>
        </w:rPr>
        <w:t>seeking</w:t>
      </w:r>
      <w:r>
        <w:rPr>
          <w:rFonts w:ascii="Arial" w:cs="Arial" w:eastAsia="Arial" w:hAnsi="Arial"/>
          <w:sz w:val="17"/>
          <w:szCs w:val="17"/>
          <w:color w:val="464644"/>
        </w:rPr>
        <w:t xml:space="preserve"> </w:t>
      </w:r>
      <w:r>
        <w:rPr>
          <w:rFonts w:ascii="Arial" w:cs="Arial" w:eastAsia="Arial" w:hAnsi="Arial"/>
          <w:sz w:val="16"/>
          <w:szCs w:val="16"/>
          <w:color w:val="464644"/>
        </w:rPr>
        <w:t>non monetary relief, including but not limited to,</w:t>
      </w:r>
      <w:r>
        <w:rPr>
          <w:rFonts w:ascii="Arial" w:cs="Arial" w:eastAsia="Arial" w:hAnsi="Arial"/>
          <w:sz w:val="17"/>
          <w:szCs w:val="17"/>
          <w:color w:val="464644"/>
        </w:rPr>
        <w:t xml:space="preserve"> </w:t>
      </w:r>
      <w:r>
        <w:rPr>
          <w:rFonts w:ascii="Arial" w:cs="Arial" w:eastAsia="Arial" w:hAnsi="Arial"/>
          <w:sz w:val="16"/>
          <w:szCs w:val="16"/>
          <w:color w:val="464644"/>
        </w:rPr>
        <w:t>injunctive relief, declaratory relief or other equitable remedies.</w:t>
      </w:r>
    </w:p>
    <w:p>
      <w:pPr>
        <w:spacing w:after="0" w:line="215" w:lineRule="exact"/>
        <w:rPr>
          <w:sz w:val="20"/>
          <w:szCs w:val="20"/>
          <w:color w:val="auto"/>
        </w:rPr>
      </w:pPr>
    </w:p>
    <w:p>
      <w:pPr>
        <w:jc w:val="both"/>
        <w:ind w:left="120"/>
        <w:spacing w:after="0" w:line="328" w:lineRule="auto"/>
        <w:rPr>
          <w:sz w:val="20"/>
          <w:szCs w:val="20"/>
          <w:color w:val="auto"/>
        </w:rPr>
      </w:pPr>
      <w:r>
        <w:rPr>
          <w:rFonts w:ascii="Arial" w:cs="Arial" w:eastAsia="Arial" w:hAnsi="Arial"/>
          <w:sz w:val="16"/>
          <w:szCs w:val="16"/>
          <w:color w:val="464644"/>
        </w:rPr>
        <w:t>''Negligent person" means an identifiable natural person by legal name who is not a family member, and who is legally responsible for damages sustained by you or a family member caused by an occurrence.</w:t>
      </w:r>
    </w:p>
    <w:p>
      <w:pPr>
        <w:spacing w:after="0" w:line="13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b w:val="1"/>
          <w:bCs w:val="1"/>
          <w:color w:val="464644"/>
        </w:rPr>
        <w:t xml:space="preserve">Duplication of coverage. </w:t>
      </w:r>
      <w:r>
        <w:rPr>
          <w:rFonts w:ascii="Arial" w:cs="Arial" w:eastAsia="Arial" w:hAnsi="Arial"/>
          <w:sz w:val="16"/>
          <w:szCs w:val="16"/>
          <w:color w:val="464644"/>
        </w:rPr>
        <w:t>We</w:t>
      </w:r>
      <w:r>
        <w:rPr>
          <w:rFonts w:ascii="Arial" w:cs="Arial" w:eastAsia="Arial" w:hAnsi="Arial"/>
          <w:sz w:val="16"/>
          <w:szCs w:val="16"/>
          <w:b w:val="1"/>
          <w:bCs w:val="1"/>
          <w:color w:val="464644"/>
        </w:rPr>
        <w:t xml:space="preserve"> </w:t>
      </w:r>
      <w:r>
        <w:rPr>
          <w:rFonts w:ascii="Arial" w:cs="Arial" w:eastAsia="Arial" w:hAnsi="Arial"/>
          <w:sz w:val="16"/>
          <w:szCs w:val="16"/>
          <w:color w:val="464644"/>
        </w:rPr>
        <w:t>will</w:t>
      </w:r>
      <w:r>
        <w:rPr>
          <w:rFonts w:ascii="Arial" w:cs="Arial" w:eastAsia="Arial" w:hAnsi="Arial"/>
          <w:sz w:val="16"/>
          <w:szCs w:val="16"/>
          <w:b w:val="1"/>
          <w:bCs w:val="1"/>
          <w:color w:val="464644"/>
        </w:rPr>
        <w:t xml:space="preserve"> </w:t>
      </w:r>
      <w:r>
        <w:rPr>
          <w:rFonts w:ascii="Arial" w:cs="Arial" w:eastAsia="Arial" w:hAnsi="Arial"/>
          <w:sz w:val="16"/>
          <w:szCs w:val="16"/>
          <w:color w:val="464644"/>
        </w:rPr>
        <w:t>not make a duplicate payment for any portion of damages</w:t>
      </w:r>
      <w:r>
        <w:rPr>
          <w:rFonts w:ascii="Arial" w:cs="Arial" w:eastAsia="Arial" w:hAnsi="Arial"/>
          <w:sz w:val="16"/>
          <w:szCs w:val="16"/>
          <w:b w:val="1"/>
          <w:bCs w:val="1"/>
          <w:color w:val="464644"/>
        </w:rPr>
        <w:t xml:space="preserve"> </w:t>
      </w:r>
      <w:r>
        <w:rPr>
          <w:rFonts w:ascii="Arial" w:cs="Arial" w:eastAsia="Arial" w:hAnsi="Arial"/>
          <w:sz w:val="16"/>
          <w:szCs w:val="16"/>
          <w:color w:val="5D5D5B"/>
        </w:rPr>
        <w:t>for</w:t>
      </w:r>
      <w:r>
        <w:rPr>
          <w:rFonts w:ascii="Arial" w:cs="Arial" w:eastAsia="Arial" w:hAnsi="Arial"/>
          <w:sz w:val="16"/>
          <w:szCs w:val="16"/>
          <w:b w:val="1"/>
          <w:bCs w:val="1"/>
          <w:color w:val="464644"/>
        </w:rPr>
        <w:t xml:space="preserve"> </w:t>
      </w:r>
      <w:r>
        <w:rPr>
          <w:rFonts w:ascii="Arial" w:cs="Arial" w:eastAsia="Arial" w:hAnsi="Arial"/>
          <w:sz w:val="16"/>
          <w:szCs w:val="16"/>
          <w:color w:val="464644"/>
        </w:rPr>
        <w:t>which payment has been made by or on behalf of persons who may</w:t>
      </w:r>
      <w:r>
        <w:rPr>
          <w:rFonts w:ascii="Arial" w:cs="Arial" w:eastAsia="Arial" w:hAnsi="Arial"/>
          <w:sz w:val="16"/>
          <w:szCs w:val="16"/>
          <w:b w:val="1"/>
          <w:bCs w:val="1"/>
          <w:color w:val="464644"/>
        </w:rPr>
        <w:t xml:space="preserve"> </w:t>
      </w:r>
      <w:r>
        <w:rPr>
          <w:rFonts w:ascii="Arial" w:cs="Arial" w:eastAsia="Arial" w:hAnsi="Arial"/>
          <w:sz w:val="17"/>
          <w:szCs w:val="17"/>
          <w:color w:val="464644"/>
        </w:rPr>
        <w:t>be</w:t>
      </w:r>
      <w:r>
        <w:rPr>
          <w:rFonts w:ascii="Arial" w:cs="Arial" w:eastAsia="Arial" w:hAnsi="Arial"/>
          <w:sz w:val="16"/>
          <w:szCs w:val="16"/>
          <w:b w:val="1"/>
          <w:bCs w:val="1"/>
          <w:color w:val="464644"/>
        </w:rPr>
        <w:t xml:space="preserve"> </w:t>
      </w:r>
      <w:r>
        <w:rPr>
          <w:rFonts w:ascii="Arial" w:cs="Arial" w:eastAsia="Arial" w:hAnsi="Arial"/>
          <w:sz w:val="16"/>
          <w:szCs w:val="16"/>
          <w:color w:val="464644"/>
        </w:rPr>
        <w:t>legally</w:t>
      </w:r>
      <w:r>
        <w:rPr>
          <w:rFonts w:ascii="Arial" w:cs="Arial" w:eastAsia="Arial" w:hAnsi="Arial"/>
          <w:sz w:val="16"/>
          <w:szCs w:val="16"/>
          <w:b w:val="1"/>
          <w:bCs w:val="1"/>
          <w:color w:val="464644"/>
        </w:rPr>
        <w:t xml:space="preserve"> </w:t>
      </w:r>
      <w:r>
        <w:rPr>
          <w:rFonts w:ascii="Arial" w:cs="Arial" w:eastAsia="Arial" w:hAnsi="Arial"/>
          <w:sz w:val="16"/>
          <w:szCs w:val="16"/>
          <w:color w:val="464644"/>
        </w:rPr>
        <w:t>responsible, or otherwise covered by any other collectible insurance. Nor will we pay for any portion of damages if you or a family member is entitled to receive payment for the same portion of damages under any workers' compensation law, disability benefits law or similar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5 of 15</w:t>
      </w:r>
    </w:p>
    <w:p>
      <w:pPr>
        <w:sectPr>
          <w:pgSz w:w="11900" w:h="16838" w:orient="portrait"/>
          <w:cols w:equalWidth="0" w:num="1">
            <w:col w:w="11420"/>
          </w:cols>
          <w:pgMar w:left="240" w:top="783" w:right="239" w:bottom="1440" w:gutter="0" w:footer="0" w:header="0"/>
        </w:sectPr>
      </w:pPr>
    </w:p>
    <w:bookmarkStart w:id="145" w:name="page146"/>
    <w:bookmarkEnd w:id="145"/>
    <w:p>
      <w:pPr>
        <w:ind w:left="422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-162560</wp:posOffset>
            </wp:positionV>
            <wp:extent cx="110617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5">
                      <a:extLst>
                        <a:ext uri="{28A0092B-C50C-407E-A947-70E740481C1C}"/>
                      </a:extLst>
                    </a:blip>
                    <a:srcRect/>
                    <a:stretch>
                      <a:fillRect/>
                    </a:stretch>
                  </pic:blipFill>
                  <pic:spPr bwMode="auto">
                    <a:xfrm>
                      <a:off x="0" y="0"/>
                      <a:ext cx="1106170" cy="1460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383836"/>
        </w:rPr>
        <w:t>Group Personal Excess Liability Coverage</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383836"/>
        </w:rPr>
        <w:t>(continued)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383836"/>
        </w:rPr>
        <w:t>Defense coverages</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6"/>
          <w:szCs w:val="16"/>
          <w:color w:val="383836"/>
        </w:rPr>
        <w:t>We will defend a covered person against any suit seeking covered damages for personal injury or property damage that is either:</w:t>
      </w:r>
    </w:p>
    <w:p>
      <w:pPr>
        <w:spacing w:after="0" w:line="43" w:lineRule="exact"/>
        <w:rPr>
          <w:sz w:val="20"/>
          <w:szCs w:val="20"/>
          <w:color w:val="auto"/>
        </w:rPr>
      </w:pPr>
    </w:p>
    <w:p>
      <w:pPr>
        <w:ind w:left="880" w:hanging="305"/>
        <w:spacing w:after="0"/>
        <w:tabs>
          <w:tab w:leader="none" w:pos="880" w:val="left"/>
        </w:tabs>
        <w:numPr>
          <w:ilvl w:val="0"/>
          <w:numId w:val="93"/>
        </w:numPr>
        <w:rPr>
          <w:rFonts w:ascii="Arial" w:cs="Arial" w:eastAsia="Arial" w:hAnsi="Arial"/>
          <w:sz w:val="20"/>
          <w:szCs w:val="20"/>
          <w:color w:val="auto"/>
        </w:rPr>
      </w:pPr>
      <w:r>
        <w:rPr>
          <w:rFonts w:ascii="Arial" w:cs="Arial" w:eastAsia="Arial" w:hAnsi="Arial"/>
          <w:sz w:val="16"/>
          <w:szCs w:val="16"/>
          <w:color w:val="383836"/>
        </w:rPr>
        <w:t>not covered by any underlying insurance; or</w:t>
      </w:r>
    </w:p>
    <w:p>
      <w:pPr>
        <w:spacing w:after="0" w:line="67" w:lineRule="exact"/>
        <w:rPr>
          <w:rFonts w:ascii="Arial" w:cs="Arial" w:eastAsia="Arial" w:hAnsi="Arial"/>
          <w:sz w:val="20"/>
          <w:szCs w:val="20"/>
          <w:color w:val="auto"/>
        </w:rPr>
      </w:pPr>
    </w:p>
    <w:p>
      <w:pPr>
        <w:ind w:left="900" w:hanging="325"/>
        <w:spacing w:after="0"/>
        <w:tabs>
          <w:tab w:leader="none" w:pos="900" w:val="left"/>
        </w:tabs>
        <w:numPr>
          <w:ilvl w:val="0"/>
          <w:numId w:val="93"/>
        </w:numPr>
        <w:rPr>
          <w:rFonts w:ascii="Arial" w:cs="Arial" w:eastAsia="Arial" w:hAnsi="Arial"/>
          <w:sz w:val="20"/>
          <w:szCs w:val="20"/>
          <w:color w:val="auto"/>
        </w:rPr>
      </w:pPr>
      <w:r>
        <w:rPr>
          <w:rFonts w:ascii="Arial" w:cs="Arial" w:eastAsia="Arial" w:hAnsi="Arial"/>
          <w:sz w:val="16"/>
          <w:szCs w:val="16"/>
          <w:color w:val="383836"/>
        </w:rPr>
        <w:t>covered by an underlying policy. This will apply to each Defense Coverage as it has been exhausted by payment of claims.</w:t>
      </w:r>
    </w:p>
    <w:p>
      <w:pPr>
        <w:spacing w:after="0" w:line="123" w:lineRule="exact"/>
        <w:rPr>
          <w:sz w:val="20"/>
          <w:szCs w:val="20"/>
          <w:color w:val="auto"/>
        </w:rPr>
      </w:pPr>
    </w:p>
    <w:p>
      <w:pPr>
        <w:ind w:left="560" w:right="280"/>
        <w:spacing w:after="0" w:line="341" w:lineRule="auto"/>
        <w:rPr>
          <w:sz w:val="20"/>
          <w:szCs w:val="20"/>
          <w:color w:val="auto"/>
        </w:rPr>
      </w:pPr>
      <w:r>
        <w:rPr>
          <w:rFonts w:ascii="Arial" w:cs="Arial" w:eastAsia="Arial" w:hAnsi="Arial"/>
          <w:sz w:val="16"/>
          <w:szCs w:val="16"/>
          <w:color w:val="383836"/>
        </w:rPr>
        <w:t xml:space="preserve">We provide this defense at our expense, with counsel of our choice, even </w:t>
      </w:r>
      <w:r>
        <w:rPr>
          <w:rFonts w:ascii="Arial" w:cs="Arial" w:eastAsia="Arial" w:hAnsi="Arial"/>
          <w:sz w:val="17"/>
          <w:szCs w:val="17"/>
          <w:color w:val="383836"/>
        </w:rPr>
        <w:t>if</w:t>
      </w:r>
      <w:r>
        <w:rPr>
          <w:rFonts w:ascii="Arial" w:cs="Arial" w:eastAsia="Arial" w:hAnsi="Arial"/>
          <w:sz w:val="16"/>
          <w:szCs w:val="16"/>
          <w:color w:val="383836"/>
        </w:rPr>
        <w:t xml:space="preserve"> the suit is groundless, false, or fraudulent. We may investigate, negotiate, and settle any such claim or suit at our discretion</w:t>
      </w:r>
      <w:r>
        <w:rPr>
          <w:rFonts w:ascii="Arial" w:cs="Arial" w:eastAsia="Arial" w:hAnsi="Arial"/>
          <w:sz w:val="16"/>
          <w:szCs w:val="16"/>
          <w:color w:val="696767"/>
        </w:rPr>
        <w:t>.</w:t>
      </w:r>
    </w:p>
    <w:p>
      <w:pPr>
        <w:spacing w:after="0" w:line="296" w:lineRule="exact"/>
        <w:rPr>
          <w:sz w:val="20"/>
          <w:szCs w:val="20"/>
          <w:color w:val="auto"/>
        </w:rPr>
      </w:pPr>
    </w:p>
    <w:p>
      <w:pPr>
        <w:ind w:left="920" w:hanging="318"/>
        <w:spacing w:after="0"/>
        <w:tabs>
          <w:tab w:leader="none" w:pos="920" w:val="left"/>
        </w:tabs>
        <w:numPr>
          <w:ilvl w:val="0"/>
          <w:numId w:val="94"/>
        </w:numPr>
        <w:rPr>
          <w:rFonts w:ascii="Arial" w:cs="Arial" w:eastAsia="Arial" w:hAnsi="Arial"/>
          <w:sz w:val="20"/>
          <w:szCs w:val="20"/>
          <w:color w:val="auto"/>
        </w:rPr>
      </w:pPr>
      <w:r>
        <w:rPr>
          <w:rFonts w:ascii="Arial" w:cs="Arial" w:eastAsia="Arial" w:hAnsi="Arial"/>
          <w:sz w:val="16"/>
          <w:szCs w:val="16"/>
          <w:color w:val="383836"/>
        </w:rPr>
        <w:t>all premiums on appeal bonds required in any suit we defend;</w:t>
      </w:r>
    </w:p>
    <w:p>
      <w:pPr>
        <w:spacing w:after="0" w:line="78" w:lineRule="exact"/>
        <w:rPr>
          <w:rFonts w:ascii="Arial" w:cs="Arial" w:eastAsia="Arial" w:hAnsi="Arial"/>
          <w:sz w:val="20"/>
          <w:szCs w:val="20"/>
          <w:color w:val="auto"/>
        </w:rPr>
      </w:pPr>
    </w:p>
    <w:p>
      <w:pPr>
        <w:ind w:left="920" w:hanging="318"/>
        <w:spacing w:after="0"/>
        <w:tabs>
          <w:tab w:leader="none" w:pos="920" w:val="left"/>
        </w:tabs>
        <w:numPr>
          <w:ilvl w:val="0"/>
          <w:numId w:val="94"/>
        </w:numPr>
        <w:rPr>
          <w:rFonts w:ascii="Arial" w:cs="Arial" w:eastAsia="Arial" w:hAnsi="Arial"/>
          <w:sz w:val="19"/>
          <w:szCs w:val="19"/>
          <w:color w:val="auto"/>
        </w:rPr>
      </w:pPr>
      <w:r>
        <w:rPr>
          <w:rFonts w:ascii="Arial" w:cs="Arial" w:eastAsia="Arial" w:hAnsi="Arial"/>
          <w:sz w:val="15"/>
          <w:szCs w:val="15"/>
          <w:color w:val="383836"/>
        </w:rPr>
        <w:t>all premiums on bonds to release attachments for any amount up to the amount of coverage (but we are not obligated to apply for or furnish any bond);</w:t>
      </w:r>
    </w:p>
    <w:p>
      <w:pPr>
        <w:spacing w:after="0" w:line="26" w:lineRule="exact"/>
        <w:rPr>
          <w:rFonts w:ascii="Arial" w:cs="Arial" w:eastAsia="Arial" w:hAnsi="Arial"/>
          <w:sz w:val="19"/>
          <w:szCs w:val="19"/>
          <w:color w:val="auto"/>
        </w:rPr>
      </w:pPr>
    </w:p>
    <w:p>
      <w:pPr>
        <w:ind w:left="920" w:hanging="318"/>
        <w:spacing w:after="0"/>
        <w:tabs>
          <w:tab w:leader="none" w:pos="920" w:val="left"/>
        </w:tabs>
        <w:numPr>
          <w:ilvl w:val="0"/>
          <w:numId w:val="94"/>
        </w:numPr>
        <w:rPr>
          <w:rFonts w:ascii="Arial" w:cs="Arial" w:eastAsia="Arial" w:hAnsi="Arial"/>
          <w:sz w:val="20"/>
          <w:szCs w:val="20"/>
          <w:color w:val="auto"/>
        </w:rPr>
      </w:pPr>
      <w:r>
        <w:rPr>
          <w:rFonts w:ascii="Arial" w:cs="Arial" w:eastAsia="Arial" w:hAnsi="Arial"/>
          <w:sz w:val="16"/>
          <w:szCs w:val="16"/>
          <w:color w:val="383836"/>
        </w:rPr>
        <w:t>all expenses incurred by us;</w:t>
      </w:r>
    </w:p>
    <w:p>
      <w:pPr>
        <w:spacing w:after="0" w:line="40" w:lineRule="exact"/>
        <w:rPr>
          <w:rFonts w:ascii="Arial" w:cs="Arial" w:eastAsia="Arial" w:hAnsi="Arial"/>
          <w:sz w:val="20"/>
          <w:szCs w:val="20"/>
          <w:color w:val="auto"/>
        </w:rPr>
      </w:pPr>
    </w:p>
    <w:p>
      <w:pPr>
        <w:ind w:left="920" w:hanging="318"/>
        <w:spacing w:after="0"/>
        <w:tabs>
          <w:tab w:leader="none" w:pos="920" w:val="left"/>
        </w:tabs>
        <w:numPr>
          <w:ilvl w:val="0"/>
          <w:numId w:val="94"/>
        </w:numPr>
        <w:rPr>
          <w:rFonts w:ascii="Arial" w:cs="Arial" w:eastAsia="Arial" w:hAnsi="Arial"/>
          <w:sz w:val="20"/>
          <w:szCs w:val="20"/>
          <w:color w:val="auto"/>
        </w:rPr>
      </w:pPr>
      <w:r>
        <w:rPr>
          <w:rFonts w:ascii="Arial" w:cs="Arial" w:eastAsia="Arial" w:hAnsi="Arial"/>
          <w:sz w:val="16"/>
          <w:szCs w:val="16"/>
          <w:color w:val="383836"/>
        </w:rPr>
        <w:t>all costs taxed against a covered person;</w:t>
      </w:r>
    </w:p>
    <w:p>
      <w:pPr>
        <w:spacing w:after="0" w:line="90" w:lineRule="exact"/>
        <w:rPr>
          <w:rFonts w:ascii="Arial" w:cs="Arial" w:eastAsia="Arial" w:hAnsi="Arial"/>
          <w:sz w:val="20"/>
          <w:szCs w:val="20"/>
          <w:color w:val="auto"/>
        </w:rPr>
      </w:pPr>
    </w:p>
    <w:p>
      <w:pPr>
        <w:ind w:left="900" w:right="460" w:hanging="298"/>
        <w:spacing w:after="0" w:line="321" w:lineRule="auto"/>
        <w:tabs>
          <w:tab w:leader="none" w:pos="900" w:val="left"/>
        </w:tabs>
        <w:numPr>
          <w:ilvl w:val="0"/>
          <w:numId w:val="94"/>
        </w:numPr>
        <w:rPr>
          <w:rFonts w:ascii="Arial" w:cs="Arial" w:eastAsia="Arial" w:hAnsi="Arial"/>
          <w:sz w:val="20"/>
          <w:szCs w:val="20"/>
          <w:color w:val="auto"/>
        </w:rPr>
      </w:pPr>
      <w:r>
        <w:rPr>
          <w:rFonts w:ascii="Arial" w:cs="Arial" w:eastAsia="Arial" w:hAnsi="Arial"/>
          <w:sz w:val="16"/>
          <w:szCs w:val="16"/>
          <w:color w:val="383836"/>
        </w:rPr>
        <w:t>all interest accruing after a judgment is entered in a suit we defend on only that part of the judgment we are responsible for paying. We will not pay interest accruing after we have paid the judgment up to the amount of coverage;</w:t>
      </w:r>
    </w:p>
    <w:p>
      <w:pPr>
        <w:ind w:left="920"/>
        <w:spacing w:after="0"/>
        <w:rPr>
          <w:rFonts w:ascii="Arial" w:cs="Arial" w:eastAsia="Arial" w:hAnsi="Arial"/>
          <w:sz w:val="20"/>
          <w:szCs w:val="20"/>
          <w:color w:val="auto"/>
        </w:rPr>
      </w:pPr>
      <w:r>
        <w:rPr>
          <w:rFonts w:ascii="Arial" w:cs="Arial" w:eastAsia="Arial" w:hAnsi="Arial"/>
          <w:sz w:val="16"/>
          <w:szCs w:val="16"/>
          <w:color w:val="383836"/>
        </w:rPr>
        <w:t>all prejudgment interest awarded against a covered person on that part of the judgment we pay or offer to pay.</w:t>
      </w:r>
    </w:p>
    <w:p>
      <w:pPr>
        <w:spacing w:after="0" w:line="400" w:lineRule="exact"/>
        <w:rPr>
          <w:sz w:val="20"/>
          <w:szCs w:val="20"/>
          <w:color w:val="auto"/>
        </w:rPr>
      </w:pPr>
    </w:p>
    <w:p>
      <w:pPr>
        <w:ind w:left="920" w:hanging="304"/>
        <w:spacing w:after="0"/>
        <w:tabs>
          <w:tab w:leader="none" w:pos="920" w:val="left"/>
        </w:tabs>
        <w:numPr>
          <w:ilvl w:val="0"/>
          <w:numId w:val="95"/>
        </w:numPr>
        <w:rPr>
          <w:rFonts w:ascii="Arial" w:cs="Arial" w:eastAsia="Arial" w:hAnsi="Arial"/>
          <w:sz w:val="20"/>
          <w:szCs w:val="20"/>
          <w:color w:val="auto"/>
        </w:rPr>
      </w:pPr>
      <w:r>
        <w:rPr>
          <w:rFonts w:ascii="Arial" w:cs="Arial" w:eastAsia="Arial" w:hAnsi="Arial"/>
          <w:sz w:val="16"/>
          <w:szCs w:val="16"/>
          <w:color w:val="383836"/>
        </w:rPr>
        <w:t>all earnings lost by each covered person at our request; up to $25,000</w:t>
      </w:r>
      <w:r>
        <w:rPr>
          <w:rFonts w:ascii="Arial" w:cs="Arial" w:eastAsia="Arial" w:hAnsi="Arial"/>
          <w:sz w:val="16"/>
          <w:szCs w:val="16"/>
          <w:color w:val="595756"/>
        </w:rPr>
        <w:t>;</w:t>
      </w:r>
    </w:p>
    <w:p>
      <w:pPr>
        <w:spacing w:after="0" w:line="53" w:lineRule="exact"/>
        <w:rPr>
          <w:rFonts w:ascii="Arial" w:cs="Arial" w:eastAsia="Arial" w:hAnsi="Arial"/>
          <w:sz w:val="20"/>
          <w:szCs w:val="20"/>
          <w:color w:val="auto"/>
        </w:rPr>
      </w:pPr>
    </w:p>
    <w:p>
      <w:pPr>
        <w:ind w:left="920" w:hanging="304"/>
        <w:spacing w:after="0"/>
        <w:tabs>
          <w:tab w:leader="none" w:pos="920" w:val="left"/>
        </w:tabs>
        <w:numPr>
          <w:ilvl w:val="0"/>
          <w:numId w:val="95"/>
        </w:numPr>
        <w:rPr>
          <w:rFonts w:ascii="Arial" w:cs="Arial" w:eastAsia="Arial" w:hAnsi="Arial"/>
          <w:sz w:val="20"/>
          <w:szCs w:val="20"/>
          <w:color w:val="auto"/>
        </w:rPr>
      </w:pPr>
      <w:r>
        <w:rPr>
          <w:rFonts w:ascii="Arial" w:cs="Arial" w:eastAsia="Arial" w:hAnsi="Arial"/>
          <w:sz w:val="16"/>
          <w:szCs w:val="16"/>
          <w:color w:val="383836"/>
        </w:rPr>
        <w:t>other reasonable expenses incurred by a covered person at our request; and</w:t>
      </w:r>
    </w:p>
    <w:p>
      <w:pPr>
        <w:spacing w:after="0" w:line="26" w:lineRule="exact"/>
        <w:rPr>
          <w:rFonts w:ascii="Arial" w:cs="Arial" w:eastAsia="Arial" w:hAnsi="Arial"/>
          <w:sz w:val="20"/>
          <w:szCs w:val="20"/>
          <w:color w:val="auto"/>
        </w:rPr>
      </w:pPr>
    </w:p>
    <w:p>
      <w:pPr>
        <w:ind w:left="940" w:hanging="324"/>
        <w:spacing w:after="0"/>
        <w:tabs>
          <w:tab w:leader="none" w:pos="940" w:val="left"/>
        </w:tabs>
        <w:numPr>
          <w:ilvl w:val="0"/>
          <w:numId w:val="95"/>
        </w:numPr>
        <w:rPr>
          <w:rFonts w:ascii="Arial" w:cs="Arial" w:eastAsia="Arial" w:hAnsi="Arial"/>
          <w:sz w:val="20"/>
          <w:szCs w:val="20"/>
          <w:color w:val="auto"/>
        </w:rPr>
      </w:pPr>
      <w:r>
        <w:rPr>
          <w:rFonts w:ascii="Arial" w:cs="Arial" w:eastAsia="Arial" w:hAnsi="Arial"/>
          <w:sz w:val="16"/>
          <w:szCs w:val="16"/>
          <w:color w:val="383836"/>
        </w:rPr>
        <w:t>the cost of bail bonds required of a covered person because of a covered loss.</w:t>
      </w:r>
    </w:p>
    <w:p>
      <w:pPr>
        <w:spacing w:after="0" w:line="131" w:lineRule="exact"/>
        <w:rPr>
          <w:sz w:val="20"/>
          <w:szCs w:val="20"/>
          <w:color w:val="auto"/>
        </w:rPr>
      </w:pPr>
    </w:p>
    <w:p>
      <w:pPr>
        <w:ind w:left="580" w:right="60" w:hanging="26"/>
        <w:spacing w:after="0" w:line="275" w:lineRule="auto"/>
        <w:rPr>
          <w:sz w:val="20"/>
          <w:szCs w:val="20"/>
          <w:color w:val="auto"/>
        </w:rPr>
      </w:pPr>
      <w:r>
        <w:rPr>
          <w:rFonts w:ascii="Arial" w:cs="Arial" w:eastAsia="Arial" w:hAnsi="Arial"/>
          <w:sz w:val="16"/>
          <w:szCs w:val="16"/>
          <w:color w:val="383836"/>
        </w:rPr>
        <w:t>In jurisdictions where we may be prevented by local law from carrying out these Defense Coverages, we will pay only those defense expenses that we agree in writing to pay and that are incurred by you</w:t>
      </w:r>
      <w:r>
        <w:rPr>
          <w:rFonts w:ascii="Arial" w:cs="Arial" w:eastAsia="Arial" w:hAnsi="Arial"/>
          <w:sz w:val="16"/>
          <w:szCs w:val="16"/>
          <w:color w:val="696767"/>
        </w:rPr>
        <w:t>.</w:t>
      </w:r>
    </w:p>
    <w:p>
      <w:pPr>
        <w:spacing w:after="0" w:line="99" w:lineRule="exact"/>
        <w:rPr>
          <w:sz w:val="20"/>
          <w:szCs w:val="20"/>
          <w:color w:val="auto"/>
        </w:rPr>
      </w:pPr>
    </w:p>
    <w:p>
      <w:pPr>
        <w:ind w:left="600"/>
        <w:spacing w:after="0"/>
        <w:rPr>
          <w:sz w:val="20"/>
          <w:szCs w:val="20"/>
          <w:color w:val="auto"/>
        </w:rPr>
      </w:pPr>
      <w:r>
        <w:rPr>
          <w:rFonts w:ascii="Arial" w:cs="Arial" w:eastAsia="Arial" w:hAnsi="Arial"/>
          <w:sz w:val="22"/>
          <w:szCs w:val="22"/>
          <w:b w:val="1"/>
          <w:bCs w:val="1"/>
          <w:i w:val="1"/>
          <w:iCs w:val="1"/>
          <w:color w:val="383836"/>
        </w:rPr>
        <w:t>Extra Coverages</w:t>
      </w:r>
    </w:p>
    <w:p>
      <w:pPr>
        <w:spacing w:after="0" w:line="171" w:lineRule="exact"/>
        <w:rPr>
          <w:sz w:val="20"/>
          <w:szCs w:val="20"/>
          <w:color w:val="auto"/>
        </w:rPr>
      </w:pPr>
    </w:p>
    <w:p>
      <w:pPr>
        <w:ind w:left="600" w:right="220" w:hanging="26"/>
        <w:spacing w:after="0" w:line="363" w:lineRule="auto"/>
        <w:rPr>
          <w:sz w:val="20"/>
          <w:szCs w:val="20"/>
          <w:color w:val="auto"/>
        </w:rPr>
      </w:pPr>
      <w:r>
        <w:rPr>
          <w:rFonts w:ascii="Arial" w:cs="Arial" w:eastAsia="Arial" w:hAnsi="Arial"/>
          <w:sz w:val="16"/>
          <w:szCs w:val="16"/>
          <w:color w:val="383836"/>
        </w:rPr>
        <w:t>In addition to covering damages and defense costs, we also provide other related coverages. These coverages are in addition to the amount of coverage for damages and defense costs unless stated otherwise.</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383836"/>
        </w:rPr>
        <w:t>Shadow defense coverage</w:t>
      </w:r>
    </w:p>
    <w:p>
      <w:pPr>
        <w:spacing w:after="0" w:line="67" w:lineRule="exact"/>
        <w:rPr>
          <w:sz w:val="20"/>
          <w:szCs w:val="20"/>
          <w:color w:val="auto"/>
        </w:rPr>
      </w:pPr>
    </w:p>
    <w:p>
      <w:pPr>
        <w:jc w:val="both"/>
        <w:ind w:left="580" w:firstLine="14"/>
        <w:spacing w:after="0" w:line="347" w:lineRule="auto"/>
        <w:rPr>
          <w:sz w:val="20"/>
          <w:szCs w:val="20"/>
          <w:color w:val="auto"/>
        </w:rPr>
      </w:pPr>
      <w:r>
        <w:rPr>
          <w:rFonts w:ascii="Arial" w:cs="Arial" w:eastAsia="Arial" w:hAnsi="Arial"/>
          <w:sz w:val="16"/>
          <w:szCs w:val="16"/>
          <w:color w:val="383836"/>
        </w:rPr>
        <w:t xml:space="preserve">If </w:t>
      </w:r>
      <w:r>
        <w:rPr>
          <w:rFonts w:ascii="Arial" w:cs="Arial" w:eastAsia="Arial" w:hAnsi="Arial"/>
          <w:sz w:val="15"/>
          <w:szCs w:val="15"/>
          <w:color w:val="383836"/>
        </w:rPr>
        <w:t>we are defending you or a family member in a suit seeking covered damages, we will pay reasonable expenses you or a family member incur up to $10,000 or the</w:t>
      </w:r>
      <w:r>
        <w:rPr>
          <w:rFonts w:ascii="Arial" w:cs="Arial" w:eastAsia="Arial" w:hAnsi="Arial"/>
          <w:sz w:val="16"/>
          <w:szCs w:val="16"/>
          <w:color w:val="383836"/>
        </w:rPr>
        <w:t xml:space="preserve"> </w:t>
      </w:r>
      <w:r>
        <w:rPr>
          <w:rFonts w:ascii="Arial" w:cs="Arial" w:eastAsia="Arial" w:hAnsi="Arial"/>
          <w:sz w:val="15"/>
          <w:szCs w:val="15"/>
          <w:color w:val="383836"/>
        </w:rPr>
        <w:t>amount shown in the Coverage Summary for a law firm of your choice to review and monitor the defense. However, any recommendation by your persona attorney is not binding on us. We will pay these costs provided that you obtain prior approval from us before incurring any fees or expenses.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383836"/>
        </w:rPr>
        <w:t>Identity fraud</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6"/>
          <w:szCs w:val="16"/>
          <w:color w:val="383836"/>
        </w:rPr>
        <w:t>We will pay for your or a family member's identity fraud expenses, up to a maximum of $25,000, for each identity fraud occurrence.</w:t>
      </w:r>
    </w:p>
    <w:p>
      <w:pPr>
        <w:spacing w:after="0" w:line="208" w:lineRule="exact"/>
        <w:rPr>
          <w:sz w:val="20"/>
          <w:szCs w:val="20"/>
          <w:color w:val="auto"/>
        </w:rPr>
      </w:pPr>
    </w:p>
    <w:p>
      <w:pPr>
        <w:ind w:left="600" w:right="60"/>
        <w:spacing w:after="0" w:line="275" w:lineRule="auto"/>
        <w:rPr>
          <w:sz w:val="20"/>
          <w:szCs w:val="20"/>
          <w:color w:val="auto"/>
        </w:rPr>
      </w:pPr>
      <w:r>
        <w:rPr>
          <w:rFonts w:ascii="Arial" w:cs="Arial" w:eastAsia="Arial" w:hAnsi="Arial"/>
          <w:sz w:val="16"/>
          <w:szCs w:val="16"/>
          <w:color w:val="383836"/>
        </w:rPr>
        <w:t>"Identity fraud" means the act of knowingly transferring or using, without lawful authority, your or a family member</w:t>
      </w:r>
      <w:r>
        <w:rPr>
          <w:rFonts w:ascii="Arial" w:cs="Arial" w:eastAsia="Arial" w:hAnsi="Arial"/>
          <w:sz w:val="16"/>
          <w:szCs w:val="16"/>
          <w:color w:val="595756"/>
        </w:rPr>
        <w:t>'</w:t>
      </w:r>
      <w:r>
        <w:rPr>
          <w:rFonts w:ascii="Arial" w:cs="Arial" w:eastAsia="Arial" w:hAnsi="Arial"/>
          <w:sz w:val="16"/>
          <w:szCs w:val="16"/>
          <w:color w:val="383836"/>
        </w:rPr>
        <w:t xml:space="preserve"> s means of identity which constitutes a violation of federal law or a crime under any applicable state or local law</w:t>
      </w:r>
      <w:r>
        <w:rPr>
          <w:rFonts w:ascii="Arial" w:cs="Arial" w:eastAsia="Arial" w:hAnsi="Arial"/>
          <w:sz w:val="16"/>
          <w:szCs w:val="16"/>
          <w:color w:val="131511"/>
        </w:rPr>
        <w:t>.</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6"/>
          <w:szCs w:val="16"/>
          <w:color w:val="383836"/>
        </w:rPr>
        <w:t>"Identity fraud occurrence" means any act or series of acts of identity fraud by a person or group commencing in the policy period.</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6"/>
          <w:szCs w:val="16"/>
          <w:color w:val="383836"/>
        </w:rPr>
        <w:t>"Identity fraud expenses" means:</w:t>
      </w:r>
    </w:p>
    <w:p>
      <w:pPr>
        <w:spacing w:after="0" w:line="74" w:lineRule="exact"/>
        <w:rPr>
          <w:sz w:val="20"/>
          <w:szCs w:val="20"/>
          <w:color w:val="auto"/>
        </w:rPr>
      </w:pPr>
    </w:p>
    <w:p>
      <w:pPr>
        <w:ind w:left="920" w:hanging="304"/>
        <w:spacing w:after="0"/>
        <w:tabs>
          <w:tab w:leader="none" w:pos="920" w:val="left"/>
        </w:tabs>
        <w:numPr>
          <w:ilvl w:val="0"/>
          <w:numId w:val="96"/>
        </w:numPr>
        <w:rPr>
          <w:rFonts w:ascii="Arial" w:cs="Arial" w:eastAsia="Arial" w:hAnsi="Arial"/>
          <w:sz w:val="19"/>
          <w:szCs w:val="19"/>
          <w:color w:val="auto"/>
        </w:rPr>
      </w:pPr>
      <w:r>
        <w:rPr>
          <w:rFonts w:ascii="Arial" w:cs="Arial" w:eastAsia="Arial" w:hAnsi="Arial"/>
          <w:sz w:val="15"/>
          <w:szCs w:val="15"/>
          <w:color w:val="383836"/>
        </w:rPr>
        <w:t>the costs for notarizing affidavits or similar documents for law enforcement agencies, financial institutions or similar credit grantors, and credit agencies;</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6 of 15</w:t>
      </w:r>
    </w:p>
    <w:p>
      <w:pPr>
        <w:sectPr>
          <w:pgSz w:w="11900" w:h="16838" w:orient="portrait"/>
          <w:cols w:equalWidth="0" w:num="1">
            <w:col w:w="11420"/>
          </w:cols>
          <w:pgMar w:left="240" w:top="757" w:right="239" w:bottom="1440" w:gutter="0" w:footer="0" w:header="0"/>
        </w:sectPr>
      </w:pPr>
    </w:p>
    <w:bookmarkStart w:id="146" w:name="page147"/>
    <w:bookmarkEnd w:id="146"/>
    <w:p>
      <w:pPr>
        <w:ind w:left="920" w:hanging="318"/>
        <w:spacing w:after="0"/>
        <w:tabs>
          <w:tab w:leader="none" w:pos="920" w:val="left"/>
        </w:tabs>
        <w:numPr>
          <w:ilvl w:val="0"/>
          <w:numId w:val="97"/>
        </w:numPr>
        <w:rPr>
          <w:rFonts w:ascii="Arial" w:cs="Arial" w:eastAsia="Arial" w:hAnsi="Arial"/>
          <w:sz w:val="18"/>
          <w:szCs w:val="18"/>
          <w:color w:val="auto"/>
        </w:rPr>
      </w:pPr>
      <w:r>
        <w:rPr>
          <w:rFonts w:ascii="Arial" w:cs="Arial" w:eastAsia="Arial" w:hAnsi="Arial"/>
          <w:sz w:val="14"/>
          <w:szCs w:val="14"/>
          <w:color w:val="383836"/>
        </w:rPr>
        <w:t>the costs for sending certified mail to law enforcement agencies, financial institutions or similar credit grantors, and credit agencies;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6 of 15</w:t>
      </w:r>
    </w:p>
    <w:p>
      <w:pPr>
        <w:sectPr>
          <w:pgSz w:w="11900" w:h="16838" w:orient="portrait"/>
          <w:cols w:equalWidth="0" w:num="1">
            <w:col w:w="10219"/>
          </w:cols>
          <w:pgMar w:left="240" w:top="656" w:right="1440" w:bottom="1440" w:gutter="0" w:footer="0" w:header="0"/>
        </w:sectPr>
      </w:pPr>
    </w:p>
    <w:bookmarkStart w:id="147" w:name="page148"/>
    <w:bookmarkEnd w:id="147"/>
    <w:p>
      <w:pPr>
        <w:ind w:left="120"/>
        <w:spacing w:after="0"/>
        <w:rPr>
          <w:sz w:val="20"/>
          <w:szCs w:val="20"/>
          <w:color w:val="auto"/>
        </w:rPr>
      </w:pPr>
      <w:r>
        <w:rPr>
          <w:rFonts w:ascii="Arial" w:cs="Arial" w:eastAsia="Arial" w:hAnsi="Arial"/>
          <w:sz w:val="22"/>
          <w:szCs w:val="22"/>
          <w:b w:val="1"/>
          <w:bCs w:val="1"/>
          <w:i w:val="1"/>
          <w:iCs w:val="1"/>
          <w:color w:val="42423F"/>
        </w:rPr>
        <w:t>Extra Coverages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42423F"/>
        </w:rPr>
        <w:t>(continued)</w:t>
      </w:r>
    </w:p>
    <w:p>
      <w:pPr>
        <w:spacing w:after="0" w:line="284" w:lineRule="exact"/>
        <w:rPr>
          <w:sz w:val="20"/>
          <w:szCs w:val="20"/>
          <w:color w:val="auto"/>
        </w:rPr>
      </w:pPr>
    </w:p>
    <w:p>
      <w:pPr>
        <w:ind w:left="340" w:hanging="264"/>
        <w:spacing w:after="0"/>
        <w:tabs>
          <w:tab w:leader="none" w:pos="340" w:val="left"/>
        </w:tabs>
        <w:numPr>
          <w:ilvl w:val="0"/>
          <w:numId w:val="98"/>
        </w:numPr>
        <w:rPr>
          <w:rFonts w:ascii="Arial" w:cs="Arial" w:eastAsia="Arial" w:hAnsi="Arial"/>
          <w:sz w:val="21"/>
          <w:szCs w:val="21"/>
          <w:color w:val="auto"/>
        </w:rPr>
      </w:pPr>
      <w:r>
        <w:rPr>
          <w:rFonts w:ascii="Arial" w:cs="Arial" w:eastAsia="Arial" w:hAnsi="Arial"/>
          <w:sz w:val="16"/>
          <w:szCs w:val="16"/>
          <w:color w:val="42423F"/>
        </w:rPr>
        <w:t>the loan application fees for reapplying for loan(s) due to the re</w:t>
      </w:r>
      <w:r>
        <w:rPr>
          <w:rFonts w:ascii="Arial" w:cs="Arial" w:eastAsia="Arial" w:hAnsi="Arial"/>
          <w:sz w:val="16"/>
          <w:szCs w:val="16"/>
          <w:color w:val="5B5B59"/>
        </w:rPr>
        <w:t>j</w:t>
      </w:r>
      <w:r>
        <w:rPr>
          <w:rFonts w:ascii="Arial" w:cs="Arial" w:eastAsia="Arial" w:hAnsi="Arial"/>
          <w:sz w:val="16"/>
          <w:szCs w:val="16"/>
          <w:color w:val="42423F"/>
        </w:rPr>
        <w:t>ection of the original application because the lender received incorrect credit information;</w:t>
      </w:r>
    </w:p>
    <w:p>
      <w:pPr>
        <w:spacing w:after="0" w:line="41" w:lineRule="exact"/>
        <w:rPr>
          <w:rFonts w:ascii="Arial" w:cs="Arial" w:eastAsia="Arial" w:hAnsi="Arial"/>
          <w:sz w:val="21"/>
          <w:szCs w:val="21"/>
          <w:color w:val="auto"/>
        </w:rPr>
      </w:pPr>
    </w:p>
    <w:p>
      <w:pPr>
        <w:ind w:left="340" w:hanging="264"/>
        <w:spacing w:after="0"/>
        <w:tabs>
          <w:tab w:leader="none" w:pos="340" w:val="left"/>
        </w:tabs>
        <w:numPr>
          <w:ilvl w:val="0"/>
          <w:numId w:val="98"/>
        </w:numPr>
        <w:rPr>
          <w:rFonts w:ascii="Arial" w:cs="Arial" w:eastAsia="Arial" w:hAnsi="Arial"/>
          <w:sz w:val="16"/>
          <w:szCs w:val="16"/>
          <w:color w:val="42423F"/>
        </w:rPr>
      </w:pPr>
      <w:r>
        <w:rPr>
          <w:rFonts w:ascii="Arial" w:cs="Arial" w:eastAsia="Arial" w:hAnsi="Arial"/>
          <w:sz w:val="16"/>
          <w:szCs w:val="16"/>
          <w:color w:val="42423F"/>
        </w:rPr>
        <w:t>the telephone expenses for calls to businesses</w:t>
      </w:r>
      <w:r>
        <w:rPr>
          <w:rFonts w:ascii="Arial" w:cs="Arial" w:eastAsia="Arial" w:hAnsi="Arial"/>
          <w:sz w:val="16"/>
          <w:szCs w:val="16"/>
          <w:color w:val="5B5B59"/>
        </w:rPr>
        <w:t>,</w:t>
      </w:r>
      <w:r>
        <w:rPr>
          <w:rFonts w:ascii="Arial" w:cs="Arial" w:eastAsia="Arial" w:hAnsi="Arial"/>
          <w:sz w:val="16"/>
          <w:szCs w:val="16"/>
          <w:color w:val="42423F"/>
        </w:rPr>
        <w:t xml:space="preserve"> law enforcement agencies, financial institutions or similar credit grantors</w:t>
      </w:r>
      <w:r>
        <w:rPr>
          <w:rFonts w:ascii="Arial" w:cs="Arial" w:eastAsia="Arial" w:hAnsi="Arial"/>
          <w:sz w:val="16"/>
          <w:szCs w:val="16"/>
          <w:color w:val="5B5B59"/>
        </w:rPr>
        <w:t>,</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6"/>
          <w:szCs w:val="16"/>
          <w:color w:val="42423F"/>
        </w:rPr>
        <w:t>and credit agencies</w:t>
      </w:r>
      <w:r>
        <w:rPr>
          <w:rFonts w:ascii="Arial" w:cs="Arial" w:eastAsia="Arial" w:hAnsi="Arial"/>
          <w:sz w:val="16"/>
          <w:szCs w:val="16"/>
          <w:color w:val="5B5B59"/>
        </w:rPr>
        <w:t>;</w:t>
      </w:r>
    </w:p>
    <w:p>
      <w:pPr>
        <w:spacing w:after="0" w:line="32" w:lineRule="exact"/>
        <w:rPr>
          <w:sz w:val="20"/>
          <w:szCs w:val="20"/>
          <w:color w:val="auto"/>
        </w:rPr>
      </w:pPr>
    </w:p>
    <w:p>
      <w:pPr>
        <w:ind w:left="340" w:right="20" w:hanging="264"/>
        <w:spacing w:after="0" w:line="269" w:lineRule="auto"/>
        <w:tabs>
          <w:tab w:leader="none" w:pos="340" w:val="left"/>
        </w:tabs>
        <w:numPr>
          <w:ilvl w:val="0"/>
          <w:numId w:val="99"/>
        </w:numPr>
        <w:rPr>
          <w:rFonts w:ascii="Arial" w:cs="Arial" w:eastAsia="Arial" w:hAnsi="Arial"/>
          <w:sz w:val="20"/>
          <w:szCs w:val="20"/>
          <w:color w:val="auto"/>
        </w:rPr>
      </w:pPr>
      <w:r>
        <w:rPr>
          <w:rFonts w:ascii="Arial" w:cs="Arial" w:eastAsia="Arial" w:hAnsi="Arial"/>
          <w:sz w:val="16"/>
          <w:szCs w:val="16"/>
          <w:color w:val="42423F"/>
        </w:rPr>
        <w:t>earnings lost by you or a family member as a result of time off from work to complete fraud affidavits, meet with law enforcement agencies, credit agencies, merchants, or legal counsel;</w:t>
      </w:r>
    </w:p>
    <w:p>
      <w:pPr>
        <w:ind w:left="340" w:hanging="264"/>
        <w:spacing w:after="0"/>
        <w:tabs>
          <w:tab w:leader="none" w:pos="340" w:val="left"/>
        </w:tabs>
        <w:numPr>
          <w:ilvl w:val="0"/>
          <w:numId w:val="99"/>
        </w:numPr>
        <w:rPr>
          <w:rFonts w:ascii="Arial" w:cs="Arial" w:eastAsia="Arial" w:hAnsi="Arial"/>
          <w:sz w:val="20"/>
          <w:szCs w:val="20"/>
          <w:color w:val="auto"/>
        </w:rPr>
      </w:pPr>
      <w:r>
        <w:rPr>
          <w:rFonts w:ascii="Arial" w:cs="Arial" w:eastAsia="Arial" w:hAnsi="Arial"/>
          <w:sz w:val="16"/>
          <w:szCs w:val="16"/>
          <w:color w:val="42423F"/>
        </w:rPr>
        <w:t xml:space="preserve">the reasonable attorney fees incurred with prior notice to </w:t>
      </w:r>
      <w:r>
        <w:rPr>
          <w:rFonts w:ascii="Arial" w:cs="Arial" w:eastAsia="Arial" w:hAnsi="Arial"/>
          <w:sz w:val="16"/>
          <w:szCs w:val="16"/>
          <w:color w:val="31312F"/>
        </w:rPr>
        <w:t>us</w:t>
      </w:r>
      <w:r>
        <w:rPr>
          <w:rFonts w:ascii="Arial" w:cs="Arial" w:eastAsia="Arial" w:hAnsi="Arial"/>
          <w:sz w:val="16"/>
          <w:szCs w:val="16"/>
          <w:color w:val="42423F"/>
        </w:rPr>
        <w:t xml:space="preserve"> for:</w:t>
      </w:r>
    </w:p>
    <w:p>
      <w:pPr>
        <w:spacing w:after="0" w:line="23" w:lineRule="exact"/>
        <w:rPr>
          <w:rFonts w:ascii="Arial" w:cs="Arial" w:eastAsia="Arial" w:hAnsi="Arial"/>
          <w:sz w:val="20"/>
          <w:szCs w:val="20"/>
          <w:color w:val="auto"/>
        </w:rPr>
      </w:pPr>
    </w:p>
    <w:p>
      <w:pPr>
        <w:ind w:left="340" w:hanging="264"/>
        <w:spacing w:after="0" w:line="218" w:lineRule="auto"/>
        <w:tabs>
          <w:tab w:leader="none" w:pos="340" w:val="left"/>
        </w:tabs>
        <w:numPr>
          <w:ilvl w:val="0"/>
          <w:numId w:val="99"/>
        </w:numPr>
        <w:rPr>
          <w:rFonts w:ascii="Arial" w:cs="Arial" w:eastAsia="Arial" w:hAnsi="Arial"/>
          <w:sz w:val="21"/>
          <w:szCs w:val="21"/>
          <w:color w:val="auto"/>
        </w:rPr>
      </w:pPr>
      <w:r>
        <w:rPr>
          <w:rFonts w:ascii="Arial" w:cs="Arial" w:eastAsia="Arial" w:hAnsi="Arial"/>
          <w:sz w:val="16"/>
          <w:szCs w:val="16"/>
          <w:color w:val="42423F"/>
        </w:rPr>
        <w:t xml:space="preserve">the defense of you or a </w:t>
      </w:r>
      <w:r>
        <w:rPr>
          <w:rFonts w:ascii="Arial" w:cs="Arial" w:eastAsia="Arial" w:hAnsi="Arial"/>
          <w:sz w:val="16"/>
          <w:szCs w:val="16"/>
          <w:color w:val="31312F"/>
        </w:rPr>
        <w:t>family</w:t>
      </w:r>
      <w:r>
        <w:rPr>
          <w:rFonts w:ascii="Arial" w:cs="Arial" w:eastAsia="Arial" w:hAnsi="Arial"/>
          <w:sz w:val="16"/>
          <w:szCs w:val="16"/>
          <w:color w:val="42423F"/>
        </w:rPr>
        <w:t xml:space="preserve"> member </w:t>
      </w:r>
      <w:r>
        <w:rPr>
          <w:rFonts w:ascii="Arial" w:cs="Arial" w:eastAsia="Arial" w:hAnsi="Arial"/>
          <w:sz w:val="16"/>
          <w:szCs w:val="16"/>
          <w:color w:val="31312F"/>
        </w:rPr>
        <w:t>against</w:t>
      </w:r>
      <w:r>
        <w:rPr>
          <w:rFonts w:ascii="Arial" w:cs="Arial" w:eastAsia="Arial" w:hAnsi="Arial"/>
          <w:sz w:val="16"/>
          <w:szCs w:val="16"/>
          <w:color w:val="42423F"/>
        </w:rPr>
        <w:t xml:space="preserve"> any suit(s) by busine</w:t>
      </w:r>
      <w:r>
        <w:rPr>
          <w:rFonts w:ascii="Arial" w:cs="Arial" w:eastAsia="Arial" w:hAnsi="Arial"/>
          <w:sz w:val="16"/>
          <w:szCs w:val="16"/>
          <w:color w:val="5B5B59"/>
        </w:rPr>
        <w:t>s</w:t>
      </w:r>
      <w:r>
        <w:rPr>
          <w:rFonts w:ascii="Arial" w:cs="Arial" w:eastAsia="Arial" w:hAnsi="Arial"/>
          <w:sz w:val="16"/>
          <w:szCs w:val="16"/>
          <w:color w:val="42423F"/>
        </w:rPr>
        <w:t>ses or their collection agencies;</w:t>
      </w:r>
    </w:p>
    <w:p>
      <w:pPr>
        <w:spacing w:after="0" w:line="41" w:lineRule="exact"/>
        <w:rPr>
          <w:rFonts w:ascii="Arial" w:cs="Arial" w:eastAsia="Arial" w:hAnsi="Arial"/>
          <w:sz w:val="21"/>
          <w:szCs w:val="21"/>
          <w:color w:val="auto"/>
        </w:rPr>
      </w:pPr>
    </w:p>
    <w:p>
      <w:pPr>
        <w:ind w:left="340" w:hanging="264"/>
        <w:spacing w:after="0" w:line="227" w:lineRule="auto"/>
        <w:tabs>
          <w:tab w:leader="none" w:pos="340" w:val="left"/>
        </w:tabs>
        <w:numPr>
          <w:ilvl w:val="0"/>
          <w:numId w:val="99"/>
        </w:numPr>
        <w:rPr>
          <w:rFonts w:ascii="Arial" w:cs="Arial" w:eastAsia="Arial" w:hAnsi="Arial"/>
          <w:sz w:val="21"/>
          <w:szCs w:val="21"/>
          <w:color w:val="auto"/>
        </w:rPr>
      </w:pPr>
      <w:r>
        <w:rPr>
          <w:rFonts w:ascii="Arial" w:cs="Arial" w:eastAsia="Arial" w:hAnsi="Arial"/>
          <w:sz w:val="16"/>
          <w:szCs w:val="16"/>
          <w:color w:val="42423F"/>
        </w:rPr>
        <w:t>the removal of any criminal or civil judgements wrongly entered against you or a family member;</w:t>
      </w:r>
    </w:p>
    <w:p>
      <w:pPr>
        <w:spacing w:after="0" w:line="28" w:lineRule="exact"/>
        <w:rPr>
          <w:rFonts w:ascii="Arial" w:cs="Arial" w:eastAsia="Arial" w:hAnsi="Arial"/>
          <w:sz w:val="21"/>
          <w:szCs w:val="21"/>
          <w:color w:val="auto"/>
        </w:rPr>
      </w:pPr>
    </w:p>
    <w:p>
      <w:pPr>
        <w:ind w:left="340" w:hanging="264"/>
        <w:spacing w:after="0"/>
        <w:tabs>
          <w:tab w:leader="none" w:pos="340" w:val="left"/>
        </w:tabs>
        <w:numPr>
          <w:ilvl w:val="0"/>
          <w:numId w:val="99"/>
        </w:numPr>
        <w:rPr>
          <w:rFonts w:ascii="Arial" w:cs="Arial" w:eastAsia="Arial" w:hAnsi="Arial"/>
          <w:sz w:val="16"/>
          <w:szCs w:val="16"/>
          <w:color w:val="42423F"/>
        </w:rPr>
      </w:pPr>
      <w:r>
        <w:rPr>
          <w:rFonts w:ascii="Arial" w:cs="Arial" w:eastAsia="Arial" w:hAnsi="Arial"/>
          <w:sz w:val="16"/>
          <w:szCs w:val="16"/>
          <w:color w:val="42423F"/>
        </w:rPr>
        <w:t>any challenge to the information in your or a family member</w:t>
      </w:r>
      <w:r>
        <w:rPr>
          <w:rFonts w:ascii="Arial" w:cs="Arial" w:eastAsia="Arial" w:hAnsi="Arial"/>
          <w:sz w:val="16"/>
          <w:szCs w:val="16"/>
          <w:color w:val="6B6B69"/>
        </w:rPr>
        <w:t>'</w:t>
      </w:r>
      <w:r>
        <w:rPr>
          <w:rFonts w:ascii="Arial" w:cs="Arial" w:eastAsia="Arial" w:hAnsi="Arial"/>
          <w:sz w:val="16"/>
          <w:szCs w:val="16"/>
          <w:color w:val="42423F"/>
        </w:rPr>
        <w:t xml:space="preserve"> s consumer credit report; and</w:t>
      </w:r>
    </w:p>
    <w:p>
      <w:pPr>
        <w:spacing w:after="0" w:line="18" w:lineRule="exact"/>
        <w:rPr>
          <w:rFonts w:ascii="Arial" w:cs="Arial" w:eastAsia="Arial" w:hAnsi="Arial"/>
          <w:sz w:val="16"/>
          <w:szCs w:val="16"/>
          <w:color w:val="42423F"/>
        </w:rPr>
      </w:pPr>
    </w:p>
    <w:p>
      <w:pPr>
        <w:ind w:left="340" w:hanging="264"/>
        <w:spacing w:after="0" w:line="211" w:lineRule="auto"/>
        <w:tabs>
          <w:tab w:leader="none" w:pos="340" w:val="left"/>
        </w:tabs>
        <w:numPr>
          <w:ilvl w:val="0"/>
          <w:numId w:val="99"/>
        </w:numPr>
        <w:rPr>
          <w:rFonts w:ascii="Arial" w:cs="Arial" w:eastAsia="Arial" w:hAnsi="Arial"/>
          <w:sz w:val="20"/>
          <w:szCs w:val="20"/>
          <w:color w:val="auto"/>
        </w:rPr>
      </w:pPr>
      <w:r>
        <w:rPr>
          <w:rFonts w:ascii="Arial" w:cs="Arial" w:eastAsia="Arial" w:hAnsi="Arial"/>
          <w:sz w:val="16"/>
          <w:szCs w:val="16"/>
          <w:color w:val="31312F"/>
        </w:rPr>
        <w:t xml:space="preserve">the </w:t>
      </w:r>
      <w:r>
        <w:rPr>
          <w:rFonts w:ascii="Arial" w:cs="Arial" w:eastAsia="Arial" w:hAnsi="Arial"/>
          <w:sz w:val="16"/>
          <w:szCs w:val="16"/>
          <w:color w:val="42423F"/>
        </w:rPr>
        <w:t>reasonable</w:t>
      </w:r>
      <w:r>
        <w:rPr>
          <w:rFonts w:ascii="Arial" w:cs="Arial" w:eastAsia="Arial" w:hAnsi="Arial"/>
          <w:sz w:val="16"/>
          <w:szCs w:val="16"/>
          <w:color w:val="31312F"/>
        </w:rPr>
        <w:t xml:space="preserve"> fees </w:t>
      </w:r>
      <w:r>
        <w:rPr>
          <w:rFonts w:ascii="Arial" w:cs="Arial" w:eastAsia="Arial" w:hAnsi="Arial"/>
          <w:sz w:val="16"/>
          <w:szCs w:val="16"/>
          <w:color w:val="42423F"/>
        </w:rPr>
        <w:t>incurred with prior notice to us by an identity fraud mitigation entity to</w:t>
      </w:r>
      <w:r>
        <w:rPr>
          <w:rFonts w:ascii="Arial" w:cs="Arial" w:eastAsia="Arial" w:hAnsi="Arial"/>
          <w:sz w:val="16"/>
          <w:szCs w:val="16"/>
          <w:color w:val="6B6B69"/>
        </w:rPr>
        <w:t>:</w:t>
      </w:r>
    </w:p>
    <w:p>
      <w:pPr>
        <w:spacing w:after="0" w:line="23" w:lineRule="exact"/>
        <w:rPr>
          <w:rFonts w:ascii="Arial" w:cs="Arial" w:eastAsia="Arial" w:hAnsi="Arial"/>
          <w:sz w:val="20"/>
          <w:szCs w:val="20"/>
          <w:color w:val="auto"/>
        </w:rPr>
      </w:pPr>
    </w:p>
    <w:p>
      <w:pPr>
        <w:ind w:left="340" w:hanging="264"/>
        <w:spacing w:after="0" w:line="229" w:lineRule="auto"/>
        <w:tabs>
          <w:tab w:leader="none" w:pos="340" w:val="left"/>
        </w:tabs>
        <w:numPr>
          <w:ilvl w:val="0"/>
          <w:numId w:val="99"/>
        </w:numPr>
        <w:rPr>
          <w:rFonts w:ascii="Arial" w:cs="Arial" w:eastAsia="Arial" w:hAnsi="Arial"/>
          <w:sz w:val="20"/>
          <w:szCs w:val="20"/>
          <w:color w:val="auto"/>
        </w:rPr>
      </w:pPr>
      <w:r>
        <w:rPr>
          <w:rFonts w:ascii="Arial" w:cs="Arial" w:eastAsia="Arial" w:hAnsi="Arial"/>
          <w:sz w:val="16"/>
          <w:szCs w:val="16"/>
          <w:color w:val="42423F"/>
        </w:rPr>
        <w:t>provide services for the activities described above;</w:t>
      </w:r>
    </w:p>
    <w:p>
      <w:pPr>
        <w:spacing w:after="0" w:line="23" w:lineRule="exact"/>
        <w:rPr>
          <w:rFonts w:ascii="Arial" w:cs="Arial" w:eastAsia="Arial" w:hAnsi="Arial"/>
          <w:sz w:val="20"/>
          <w:szCs w:val="20"/>
          <w:color w:val="auto"/>
        </w:rPr>
      </w:pPr>
    </w:p>
    <w:p>
      <w:pPr>
        <w:ind w:left="340" w:hanging="264"/>
        <w:spacing w:after="0" w:line="218" w:lineRule="auto"/>
        <w:tabs>
          <w:tab w:leader="none" w:pos="340" w:val="left"/>
        </w:tabs>
        <w:numPr>
          <w:ilvl w:val="0"/>
          <w:numId w:val="99"/>
        </w:numPr>
        <w:rPr>
          <w:rFonts w:ascii="Arial" w:cs="Arial" w:eastAsia="Arial" w:hAnsi="Arial"/>
          <w:sz w:val="21"/>
          <w:szCs w:val="21"/>
          <w:color w:val="auto"/>
        </w:rPr>
      </w:pPr>
      <w:r>
        <w:rPr>
          <w:rFonts w:ascii="Arial" w:cs="Arial" w:eastAsia="Arial" w:hAnsi="Arial"/>
          <w:sz w:val="16"/>
          <w:szCs w:val="16"/>
          <w:color w:val="42423F"/>
        </w:rPr>
        <w:t>restore accounts or credit standing with financial institutions or similar credit grantors and credit agencies; and</w:t>
      </w:r>
    </w:p>
    <w:p>
      <w:pPr>
        <w:spacing w:after="0" w:line="41" w:lineRule="exact"/>
        <w:rPr>
          <w:rFonts w:ascii="Arial" w:cs="Arial" w:eastAsia="Arial" w:hAnsi="Arial"/>
          <w:sz w:val="21"/>
          <w:szCs w:val="21"/>
          <w:color w:val="auto"/>
        </w:rPr>
      </w:pPr>
    </w:p>
    <w:p>
      <w:pPr>
        <w:ind w:left="340" w:hanging="264"/>
        <w:spacing w:after="0"/>
        <w:tabs>
          <w:tab w:leader="none" w:pos="340" w:val="left"/>
        </w:tabs>
        <w:numPr>
          <w:ilvl w:val="0"/>
          <w:numId w:val="99"/>
        </w:numPr>
        <w:rPr>
          <w:rFonts w:ascii="Arial" w:cs="Arial" w:eastAsia="Arial" w:hAnsi="Arial"/>
          <w:sz w:val="20"/>
          <w:szCs w:val="20"/>
          <w:color w:val="auto"/>
        </w:rPr>
      </w:pPr>
      <w:r>
        <w:rPr>
          <w:rFonts w:ascii="Arial" w:cs="Arial" w:eastAsia="Arial" w:hAnsi="Arial"/>
          <w:sz w:val="16"/>
          <w:szCs w:val="16"/>
          <w:color w:val="42423F"/>
        </w:rPr>
        <w:t xml:space="preserve">monitor for </w:t>
      </w:r>
      <w:r>
        <w:rPr>
          <w:rFonts w:ascii="Arial" w:cs="Arial" w:eastAsia="Arial" w:hAnsi="Arial"/>
          <w:sz w:val="16"/>
          <w:szCs w:val="16"/>
          <w:color w:val="31312F"/>
        </w:rPr>
        <w:t>up</w:t>
      </w:r>
      <w:r>
        <w:rPr>
          <w:rFonts w:ascii="Arial" w:cs="Arial" w:eastAsia="Arial" w:hAnsi="Arial"/>
          <w:sz w:val="16"/>
          <w:szCs w:val="16"/>
          <w:color w:val="42423F"/>
        </w:rPr>
        <w:t xml:space="preserve"> to one </w:t>
      </w:r>
      <w:r>
        <w:rPr>
          <w:rFonts w:ascii="Arial" w:cs="Arial" w:eastAsia="Arial" w:hAnsi="Arial"/>
          <w:sz w:val="16"/>
          <w:szCs w:val="16"/>
          <w:color w:val="31312F"/>
        </w:rPr>
        <w:t>year the</w:t>
      </w:r>
      <w:r>
        <w:rPr>
          <w:rFonts w:ascii="Arial" w:cs="Arial" w:eastAsia="Arial" w:hAnsi="Arial"/>
          <w:sz w:val="16"/>
          <w:szCs w:val="16"/>
          <w:color w:val="42423F"/>
        </w:rPr>
        <w:t xml:space="preserve"> effectiveness of the fraud mitigation and to detect additional </w:t>
      </w:r>
      <w:r>
        <w:rPr>
          <w:rFonts w:ascii="Arial" w:cs="Arial" w:eastAsia="Arial" w:hAnsi="Arial"/>
          <w:sz w:val="16"/>
          <w:szCs w:val="16"/>
          <w:color w:val="31312F"/>
        </w:rPr>
        <w:t>identity</w:t>
      </w:r>
      <w:r>
        <w:rPr>
          <w:rFonts w:ascii="Arial" w:cs="Arial" w:eastAsia="Arial" w:hAnsi="Arial"/>
          <w:sz w:val="16"/>
          <w:szCs w:val="16"/>
          <w:color w:val="42423F"/>
        </w:rPr>
        <w:t xml:space="preserve"> fraud activity after the first identify fraud occurrence.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 xml:space="preserve">However, such monitoring must begin no </w:t>
      </w:r>
      <w:r>
        <w:rPr>
          <w:rFonts w:ascii="Arial" w:cs="Arial" w:eastAsia="Arial" w:hAnsi="Arial"/>
          <w:sz w:val="16"/>
          <w:szCs w:val="16"/>
          <w:color w:val="31312F"/>
        </w:rPr>
        <w:t>later</w:t>
      </w:r>
      <w:r>
        <w:rPr>
          <w:rFonts w:ascii="Arial" w:cs="Arial" w:eastAsia="Arial" w:hAnsi="Arial"/>
          <w:sz w:val="16"/>
          <w:szCs w:val="16"/>
          <w:color w:val="42423F"/>
        </w:rPr>
        <w:t xml:space="preserve"> than one year after you or a family member first report an identity fraud occurrence to </w:t>
      </w:r>
      <w:r>
        <w:rPr>
          <w:rFonts w:ascii="Arial" w:cs="Arial" w:eastAsia="Arial" w:hAnsi="Arial"/>
          <w:sz w:val="16"/>
          <w:szCs w:val="16"/>
          <w:color w:val="31312F"/>
        </w:rPr>
        <w:t>us</w:t>
      </w:r>
      <w:r>
        <w:rPr>
          <w:rFonts w:ascii="Arial" w:cs="Arial" w:eastAsia="Arial" w:hAnsi="Arial"/>
          <w:sz w:val="16"/>
          <w:szCs w:val="16"/>
          <w:color w:val="5B5B59"/>
        </w:rPr>
        <w:t>.</w:t>
      </w:r>
    </w:p>
    <w:p>
      <w:pPr>
        <w:spacing w:after="0" w:line="248" w:lineRule="exact"/>
        <w:rPr>
          <w:sz w:val="20"/>
          <w:szCs w:val="20"/>
          <w:color w:val="auto"/>
        </w:rPr>
      </w:pPr>
    </w:p>
    <w:p>
      <w:pPr>
        <w:jc w:val="both"/>
        <w:ind w:left="120" w:right="20"/>
        <w:spacing w:after="0" w:line="328" w:lineRule="auto"/>
        <w:rPr>
          <w:sz w:val="20"/>
          <w:szCs w:val="20"/>
          <w:color w:val="auto"/>
        </w:rPr>
      </w:pPr>
      <w:r>
        <w:rPr>
          <w:rFonts w:ascii="Arial" w:cs="Arial" w:eastAsia="Arial" w:hAnsi="Arial"/>
          <w:sz w:val="16"/>
          <w:szCs w:val="16"/>
          <w:color w:val="42423F"/>
        </w:rPr>
        <w:t>However</w:t>
      </w:r>
      <w:r>
        <w:rPr>
          <w:rFonts w:ascii="Arial" w:cs="Arial" w:eastAsia="Arial" w:hAnsi="Arial"/>
          <w:sz w:val="16"/>
          <w:szCs w:val="16"/>
          <w:color w:val="5B5B59"/>
        </w:rPr>
        <w:t>,</w:t>
      </w:r>
      <w:r>
        <w:rPr>
          <w:rFonts w:ascii="Arial" w:cs="Arial" w:eastAsia="Arial" w:hAnsi="Arial"/>
          <w:sz w:val="16"/>
          <w:szCs w:val="16"/>
          <w:color w:val="42423F"/>
        </w:rPr>
        <w:t xml:space="preserve"> "identity fraud expenses" does not include expenses incurred due to any fraudulent, dishonest or criminal act by a covered person or any person acting with a covered person, or by any authorized representative of a covered person, whether acting alone or in collusion with others.</w:t>
      </w:r>
    </w:p>
    <w:p>
      <w:pPr>
        <w:spacing w:after="0" w:line="226" w:lineRule="exact"/>
        <w:rPr>
          <w:sz w:val="20"/>
          <w:szCs w:val="20"/>
          <w:color w:val="auto"/>
        </w:rPr>
      </w:pPr>
    </w:p>
    <w:p>
      <w:pPr>
        <w:jc w:val="both"/>
        <w:ind w:left="120" w:right="20"/>
        <w:spacing w:after="0" w:line="346" w:lineRule="auto"/>
        <w:rPr>
          <w:sz w:val="20"/>
          <w:szCs w:val="20"/>
          <w:color w:val="auto"/>
        </w:rPr>
      </w:pPr>
      <w:r>
        <w:rPr>
          <w:rFonts w:ascii="Arial" w:cs="Arial" w:eastAsia="Arial" w:hAnsi="Arial"/>
          <w:sz w:val="16"/>
          <w:szCs w:val="16"/>
          <w:color w:val="5B5B59"/>
        </w:rPr>
        <w:t>"</w:t>
      </w:r>
      <w:r>
        <w:rPr>
          <w:rFonts w:ascii="Arial" w:cs="Arial" w:eastAsia="Arial" w:hAnsi="Arial"/>
          <w:sz w:val="16"/>
          <w:szCs w:val="16"/>
          <w:color w:val="42423F"/>
        </w:rPr>
        <w:t>Identity fraud mitigation entity</w:t>
      </w:r>
      <w:r>
        <w:rPr>
          <w:rFonts w:ascii="Arial" w:cs="Arial" w:eastAsia="Arial" w:hAnsi="Arial"/>
          <w:sz w:val="16"/>
          <w:szCs w:val="16"/>
          <w:color w:val="5B5B59"/>
        </w:rPr>
        <w:t xml:space="preserve">" </w:t>
      </w:r>
      <w:r>
        <w:rPr>
          <w:rFonts w:ascii="Arial" w:cs="Arial" w:eastAsia="Arial" w:hAnsi="Arial"/>
          <w:sz w:val="16"/>
          <w:szCs w:val="16"/>
          <w:color w:val="42423F"/>
        </w:rPr>
        <w:t>means a company that principally provides professional, specialized services to counter identity fraud for individuals or groups of</w:t>
      </w:r>
      <w:r>
        <w:rPr>
          <w:rFonts w:ascii="Arial" w:cs="Arial" w:eastAsia="Arial" w:hAnsi="Arial"/>
          <w:sz w:val="16"/>
          <w:szCs w:val="16"/>
          <w:color w:val="5B5B59"/>
        </w:rPr>
        <w:t xml:space="preserve"> </w:t>
      </w:r>
      <w:r>
        <w:rPr>
          <w:rFonts w:ascii="Arial" w:cs="Arial" w:eastAsia="Arial" w:hAnsi="Arial"/>
          <w:sz w:val="16"/>
          <w:szCs w:val="16"/>
          <w:color w:val="42423F"/>
        </w:rPr>
        <w:t>individuals, or a financial institution that provides similar services.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42423F"/>
        </w:rPr>
        <w:t xml:space="preserve">In </w:t>
      </w:r>
      <w:r>
        <w:rPr>
          <w:rFonts w:ascii="Arial" w:cs="Arial" w:eastAsia="Arial" w:hAnsi="Arial"/>
          <w:sz w:val="16"/>
          <w:szCs w:val="16"/>
          <w:color w:val="42423F"/>
        </w:rPr>
        <w:t>addition to the duties described in Policy T</w:t>
      </w:r>
      <w:r>
        <w:rPr>
          <w:rFonts w:ascii="Arial" w:cs="Arial" w:eastAsia="Arial" w:hAnsi="Arial"/>
          <w:sz w:val="16"/>
          <w:szCs w:val="16"/>
          <w:color w:val="5B5B59"/>
        </w:rPr>
        <w:t>e</w:t>
      </w:r>
      <w:r>
        <w:rPr>
          <w:rFonts w:ascii="Arial" w:cs="Arial" w:eastAsia="Arial" w:hAnsi="Arial"/>
          <w:sz w:val="16"/>
          <w:szCs w:val="16"/>
          <w:color w:val="42423F"/>
        </w:rPr>
        <w:t>rms, Liability Conditions, Your duties after a loss, you shall notify an applicable law enforcement agency.</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2423F"/>
        </w:rPr>
        <w:t xml:space="preserve">Kidnap </w:t>
      </w:r>
      <w:r>
        <w:rPr>
          <w:rFonts w:ascii="Arial" w:cs="Arial" w:eastAsia="Arial" w:hAnsi="Arial"/>
          <w:sz w:val="15"/>
          <w:szCs w:val="15"/>
          <w:b w:val="1"/>
          <w:bCs w:val="1"/>
          <w:color w:val="42423F"/>
        </w:rPr>
        <w:t>expenses</w:t>
      </w:r>
    </w:p>
    <w:p>
      <w:pPr>
        <w:spacing w:after="0" w:line="63" w:lineRule="exact"/>
        <w:rPr>
          <w:sz w:val="20"/>
          <w:szCs w:val="20"/>
          <w:color w:val="auto"/>
        </w:rPr>
      </w:pPr>
    </w:p>
    <w:p>
      <w:pPr>
        <w:jc w:val="both"/>
        <w:ind w:left="120"/>
        <w:spacing w:after="0" w:line="299" w:lineRule="auto"/>
        <w:rPr>
          <w:sz w:val="20"/>
          <w:szCs w:val="20"/>
          <w:color w:val="auto"/>
        </w:rPr>
      </w:pPr>
      <w:r>
        <w:rPr>
          <w:rFonts w:ascii="Arial" w:cs="Arial" w:eastAsia="Arial" w:hAnsi="Arial"/>
          <w:sz w:val="16"/>
          <w:szCs w:val="16"/>
          <w:color w:val="42423F"/>
        </w:rPr>
        <w:t xml:space="preserve">We will pay up to a maximum of $100,000 for kidnap expenses you or a family member incurs solely and directly as a </w:t>
      </w:r>
      <w:r>
        <w:rPr>
          <w:rFonts w:ascii="Arial" w:cs="Arial" w:eastAsia="Arial" w:hAnsi="Arial"/>
          <w:sz w:val="16"/>
          <w:szCs w:val="16"/>
          <w:color w:val="31312F"/>
        </w:rPr>
        <w:t>result</w:t>
      </w:r>
      <w:r>
        <w:rPr>
          <w:rFonts w:ascii="Arial" w:cs="Arial" w:eastAsia="Arial" w:hAnsi="Arial"/>
          <w:sz w:val="16"/>
          <w:szCs w:val="16"/>
          <w:color w:val="42423F"/>
        </w:rPr>
        <w:t xml:space="preserve"> of a kidnap and ransom occurrence. In addition, we also will pay up </w:t>
      </w:r>
      <w:r>
        <w:rPr>
          <w:rFonts w:ascii="Arial" w:cs="Arial" w:eastAsia="Arial" w:hAnsi="Arial"/>
          <w:sz w:val="16"/>
          <w:szCs w:val="16"/>
          <w:color w:val="31312F"/>
        </w:rPr>
        <w:t>to</w:t>
      </w:r>
      <w:r>
        <w:rPr>
          <w:rFonts w:ascii="Arial" w:cs="Arial" w:eastAsia="Arial" w:hAnsi="Arial"/>
          <w:sz w:val="16"/>
          <w:szCs w:val="16"/>
          <w:color w:val="42423F"/>
        </w:rPr>
        <w:t xml:space="preserve"> $25,000 to any person for information not otherwise available leading to the arrest and conviction of any person(s) who kidnaps you, a family member or a covered relative. The following are not eligible to receive this reward payment:</w:t>
      </w:r>
    </w:p>
    <w:p>
      <w:pPr>
        <w:spacing w:after="0" w:line="1" w:lineRule="exact"/>
        <w:rPr>
          <w:sz w:val="20"/>
          <w:szCs w:val="20"/>
          <w:color w:val="auto"/>
        </w:rPr>
      </w:pPr>
    </w:p>
    <w:p>
      <w:pPr>
        <w:ind w:left="440" w:hanging="310"/>
        <w:spacing w:after="0"/>
        <w:tabs>
          <w:tab w:leader="none" w:pos="440" w:val="left"/>
        </w:tabs>
        <w:numPr>
          <w:ilvl w:val="1"/>
          <w:numId w:val="100"/>
        </w:numPr>
        <w:rPr>
          <w:rFonts w:ascii="Arial" w:cs="Arial" w:eastAsia="Arial" w:hAnsi="Arial"/>
          <w:sz w:val="16"/>
          <w:szCs w:val="16"/>
          <w:color w:val="auto"/>
        </w:rPr>
      </w:pPr>
      <w:r>
        <w:rPr>
          <w:rFonts w:ascii="Arial" w:cs="Arial" w:eastAsia="Arial" w:hAnsi="Arial"/>
          <w:sz w:val="16"/>
          <w:szCs w:val="16"/>
          <w:color w:val="42423F"/>
        </w:rPr>
        <w:t>you or a family member; o</w:t>
      </w:r>
      <w:r>
        <w:rPr>
          <w:rFonts w:ascii="Arial" w:cs="Arial" w:eastAsia="Arial" w:hAnsi="Arial"/>
          <w:sz w:val="16"/>
          <w:szCs w:val="16"/>
          <w:color w:val="5B5B59"/>
        </w:rPr>
        <w:t>r</w:t>
      </w:r>
    </w:p>
    <w:p>
      <w:pPr>
        <w:spacing w:after="0" w:line="32" w:lineRule="exact"/>
        <w:rPr>
          <w:rFonts w:ascii="Arial" w:cs="Arial" w:eastAsia="Arial" w:hAnsi="Arial"/>
          <w:sz w:val="16"/>
          <w:szCs w:val="16"/>
          <w:color w:val="auto"/>
        </w:rPr>
      </w:pPr>
    </w:p>
    <w:p>
      <w:pPr>
        <w:ind w:left="420" w:hanging="304"/>
        <w:spacing w:after="0"/>
        <w:tabs>
          <w:tab w:leader="none" w:pos="420" w:val="left"/>
        </w:tabs>
        <w:numPr>
          <w:ilvl w:val="0"/>
          <w:numId w:val="100"/>
        </w:numPr>
        <w:rPr>
          <w:rFonts w:ascii="Arial" w:cs="Arial" w:eastAsia="Arial" w:hAnsi="Arial"/>
          <w:sz w:val="16"/>
          <w:szCs w:val="16"/>
          <w:color w:val="auto"/>
        </w:rPr>
      </w:pPr>
      <w:r>
        <w:rPr>
          <w:rFonts w:ascii="Arial" w:cs="Arial" w:eastAsia="Arial" w:hAnsi="Arial"/>
          <w:sz w:val="16"/>
          <w:szCs w:val="16"/>
          <w:color w:val="42423F"/>
        </w:rPr>
        <w:t>a covered relative who witnessed the occurrence</w:t>
      </w:r>
      <w:r>
        <w:rPr>
          <w:rFonts w:ascii="Arial" w:cs="Arial" w:eastAsia="Arial" w:hAnsi="Arial"/>
          <w:sz w:val="16"/>
          <w:szCs w:val="16"/>
          <w:color w:val="6B6B69"/>
        </w:rPr>
        <w:t>.</w:t>
      </w:r>
    </w:p>
    <w:p>
      <w:pPr>
        <w:spacing w:after="0" w:line="140" w:lineRule="exact"/>
        <w:rPr>
          <w:sz w:val="20"/>
          <w:szCs w:val="20"/>
          <w:color w:val="auto"/>
        </w:rPr>
      </w:pPr>
    </w:p>
    <w:p>
      <w:pPr>
        <w:ind w:left="140"/>
        <w:spacing w:after="0"/>
        <w:rPr>
          <w:sz w:val="20"/>
          <w:szCs w:val="20"/>
          <w:color w:val="auto"/>
        </w:rPr>
      </w:pPr>
      <w:r>
        <w:rPr>
          <w:rFonts w:ascii="Arial" w:cs="Arial" w:eastAsia="Arial" w:hAnsi="Arial"/>
          <w:sz w:val="16"/>
          <w:szCs w:val="16"/>
          <w:color w:val="42423F"/>
        </w:rPr>
        <w:t>"Kidnap and ransom occurrence" means the actual or alleged wrongful taking of:</w:t>
      </w:r>
    </w:p>
    <w:p>
      <w:pPr>
        <w:spacing w:after="0" w:line="24" w:lineRule="exact"/>
        <w:rPr>
          <w:sz w:val="20"/>
          <w:szCs w:val="20"/>
          <w:color w:val="auto"/>
        </w:rPr>
      </w:pPr>
    </w:p>
    <w:p>
      <w:pPr>
        <w:ind w:left="420" w:hanging="304"/>
        <w:spacing w:after="0"/>
        <w:tabs>
          <w:tab w:leader="none" w:pos="420" w:val="left"/>
        </w:tabs>
        <w:numPr>
          <w:ilvl w:val="0"/>
          <w:numId w:val="101"/>
        </w:numPr>
        <w:rPr>
          <w:rFonts w:ascii="Arial" w:cs="Arial" w:eastAsia="Arial" w:hAnsi="Arial"/>
          <w:sz w:val="21"/>
          <w:szCs w:val="21"/>
          <w:color w:val="auto"/>
        </w:rPr>
      </w:pPr>
      <w:r>
        <w:rPr>
          <w:rFonts w:ascii="Arial" w:cs="Arial" w:eastAsia="Arial" w:hAnsi="Arial"/>
          <w:sz w:val="16"/>
          <w:szCs w:val="16"/>
          <w:color w:val="42423F"/>
        </w:rPr>
        <w:t>you;</w:t>
      </w:r>
    </w:p>
    <w:p>
      <w:pPr>
        <w:spacing w:after="0" w:line="23" w:lineRule="exact"/>
        <w:rPr>
          <w:rFonts w:ascii="Arial" w:cs="Arial" w:eastAsia="Arial" w:hAnsi="Arial"/>
          <w:sz w:val="21"/>
          <w:szCs w:val="21"/>
          <w:color w:val="auto"/>
        </w:rPr>
      </w:pPr>
    </w:p>
    <w:p>
      <w:pPr>
        <w:ind w:left="420"/>
        <w:spacing w:after="0"/>
        <w:rPr>
          <w:rFonts w:ascii="Arial" w:cs="Arial" w:eastAsia="Arial" w:hAnsi="Arial"/>
          <w:sz w:val="21"/>
          <w:szCs w:val="21"/>
          <w:color w:val="auto"/>
        </w:rPr>
      </w:pPr>
      <w:r>
        <w:rPr>
          <w:rFonts w:ascii="Arial" w:cs="Arial" w:eastAsia="Arial" w:hAnsi="Arial"/>
          <w:sz w:val="16"/>
          <w:szCs w:val="16"/>
          <w:color w:val="42423F"/>
        </w:rPr>
        <w:t>one or more family members; or</w:t>
      </w:r>
    </w:p>
    <w:p>
      <w:pPr>
        <w:spacing w:after="0" w:line="8" w:lineRule="exact"/>
        <w:rPr>
          <w:rFonts w:ascii="Arial" w:cs="Arial" w:eastAsia="Arial" w:hAnsi="Arial"/>
          <w:sz w:val="21"/>
          <w:szCs w:val="21"/>
          <w:color w:val="auto"/>
        </w:rPr>
      </w:pPr>
    </w:p>
    <w:p>
      <w:pPr>
        <w:ind w:left="420"/>
        <w:spacing w:after="0"/>
        <w:rPr>
          <w:rFonts w:ascii="Arial" w:cs="Arial" w:eastAsia="Arial" w:hAnsi="Arial"/>
          <w:sz w:val="21"/>
          <w:szCs w:val="21"/>
          <w:color w:val="auto"/>
        </w:rPr>
      </w:pPr>
      <w:r>
        <w:rPr>
          <w:rFonts w:ascii="Arial" w:cs="Arial" w:eastAsia="Arial" w:hAnsi="Arial"/>
          <w:sz w:val="16"/>
          <w:szCs w:val="16"/>
          <w:color w:val="42423F"/>
        </w:rPr>
        <w:t xml:space="preserve">one or </w:t>
      </w:r>
      <w:r>
        <w:rPr>
          <w:rFonts w:ascii="Arial" w:cs="Arial" w:eastAsia="Arial" w:hAnsi="Arial"/>
          <w:sz w:val="16"/>
          <w:szCs w:val="16"/>
          <w:color w:val="31312F"/>
        </w:rPr>
        <w:t>more</w:t>
      </w:r>
      <w:r>
        <w:rPr>
          <w:rFonts w:ascii="Arial" w:cs="Arial" w:eastAsia="Arial" w:hAnsi="Arial"/>
          <w:sz w:val="16"/>
          <w:szCs w:val="16"/>
          <w:color w:val="42423F"/>
        </w:rPr>
        <w:t xml:space="preserve"> covered </w:t>
      </w:r>
      <w:r>
        <w:rPr>
          <w:rFonts w:ascii="Arial" w:cs="Arial" w:eastAsia="Arial" w:hAnsi="Arial"/>
          <w:sz w:val="16"/>
          <w:szCs w:val="16"/>
          <w:color w:val="31312F"/>
        </w:rPr>
        <w:t>relatives</w:t>
      </w:r>
      <w:r>
        <w:rPr>
          <w:rFonts w:ascii="Arial" w:cs="Arial" w:eastAsia="Arial" w:hAnsi="Arial"/>
          <w:sz w:val="16"/>
          <w:szCs w:val="16"/>
          <w:color w:val="42423F"/>
        </w:rPr>
        <w:t xml:space="preserve"> while visiting or </w:t>
      </w:r>
      <w:r>
        <w:rPr>
          <w:rFonts w:ascii="Arial" w:cs="Arial" w:eastAsia="Arial" w:hAnsi="Arial"/>
          <w:sz w:val="16"/>
          <w:szCs w:val="16"/>
          <w:color w:val="31312F"/>
        </w:rPr>
        <w:t>legally</w:t>
      </w:r>
      <w:r>
        <w:rPr>
          <w:rFonts w:ascii="Arial" w:cs="Arial" w:eastAsia="Arial" w:hAnsi="Arial"/>
          <w:sz w:val="16"/>
          <w:szCs w:val="16"/>
          <w:color w:val="42423F"/>
        </w:rPr>
        <w:t xml:space="preserve"> traveling with you or a family member;</w:t>
      </w:r>
    </w:p>
    <w:p>
      <w:pPr>
        <w:spacing w:after="0" w:line="28" w:lineRule="exact"/>
        <w:rPr>
          <w:rFonts w:ascii="Arial" w:cs="Arial" w:eastAsia="Arial" w:hAnsi="Arial"/>
          <w:sz w:val="21"/>
          <w:szCs w:val="21"/>
          <w:color w:val="auto"/>
        </w:rPr>
      </w:pPr>
    </w:p>
    <w:p>
      <w:pPr>
        <w:jc w:val="both"/>
        <w:ind w:left="420" w:hanging="290"/>
        <w:spacing w:after="0" w:line="296" w:lineRule="auto"/>
        <w:tabs>
          <w:tab w:leader="none" w:pos="420" w:val="left"/>
        </w:tabs>
        <w:numPr>
          <w:ilvl w:val="0"/>
          <w:numId w:val="101"/>
        </w:numPr>
        <w:rPr>
          <w:rFonts w:ascii="Arial" w:cs="Arial" w:eastAsia="Arial" w:hAnsi="Arial"/>
          <w:sz w:val="16"/>
          <w:szCs w:val="16"/>
          <w:color w:val="42423F"/>
        </w:rPr>
      </w:pPr>
      <w:r>
        <w:rPr>
          <w:rFonts w:ascii="Arial" w:cs="Arial" w:eastAsia="Arial" w:hAnsi="Arial"/>
          <w:sz w:val="16"/>
          <w:szCs w:val="16"/>
          <w:color w:val="42423F"/>
        </w:rPr>
        <w:t xml:space="preserve">from anywhere in the world except those places listed on the United States State Department Bureau of Consular Affairs Travel Warnings list at the time of the occurrence. The occurrence must include a demand for ransom payment which </w:t>
      </w:r>
      <w:r>
        <w:rPr>
          <w:rFonts w:ascii="Arial" w:cs="Arial" w:eastAsia="Arial" w:hAnsi="Arial"/>
          <w:sz w:val="16"/>
          <w:szCs w:val="16"/>
          <w:color w:val="31312F"/>
        </w:rPr>
        <w:t>would</w:t>
      </w:r>
      <w:r>
        <w:rPr>
          <w:rFonts w:ascii="Arial" w:cs="Arial" w:eastAsia="Arial" w:hAnsi="Arial"/>
          <w:sz w:val="16"/>
          <w:szCs w:val="16"/>
          <w:color w:val="42423F"/>
        </w:rPr>
        <w:t xml:space="preserve"> be paid by you or a family member </w:t>
      </w:r>
      <w:r>
        <w:rPr>
          <w:rFonts w:ascii="Arial" w:cs="Arial" w:eastAsia="Arial" w:hAnsi="Arial"/>
          <w:sz w:val="15"/>
          <w:szCs w:val="15"/>
          <w:color w:val="42423F"/>
        </w:rPr>
        <w:t>in</w:t>
      </w:r>
      <w:r>
        <w:rPr>
          <w:rFonts w:ascii="Arial" w:cs="Arial" w:eastAsia="Arial" w:hAnsi="Arial"/>
          <w:sz w:val="16"/>
          <w:szCs w:val="16"/>
          <w:color w:val="42423F"/>
        </w:rPr>
        <w:t xml:space="preserve"> exchange for the release of the kidnapped person(s).</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"Kidnap expenses" means the reasonable costs for:</w:t>
      </w:r>
    </w:p>
    <w:p>
      <w:pPr>
        <w:spacing w:after="0" w:line="22" w:lineRule="exact"/>
        <w:rPr>
          <w:sz w:val="20"/>
          <w:szCs w:val="20"/>
          <w:color w:val="auto"/>
        </w:rPr>
      </w:pPr>
    </w:p>
    <w:p>
      <w:pPr>
        <w:ind w:left="460" w:hanging="330"/>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42423F"/>
        </w:rPr>
        <w:t xml:space="preserve">a professional </w:t>
      </w:r>
      <w:r>
        <w:rPr>
          <w:rFonts w:ascii="Arial" w:cs="Arial" w:eastAsia="Arial" w:hAnsi="Arial"/>
          <w:sz w:val="16"/>
          <w:szCs w:val="16"/>
          <w:color w:val="31312F"/>
        </w:rPr>
        <w:t>negotiator;</w:t>
      </w:r>
    </w:p>
    <w:p>
      <w:pPr>
        <w:spacing w:after="0" w:line="55" w:lineRule="exact"/>
        <w:rPr>
          <w:rFonts w:ascii="Arial" w:cs="Arial" w:eastAsia="Arial" w:hAnsi="Arial"/>
          <w:sz w:val="16"/>
          <w:szCs w:val="16"/>
          <w:color w:val="auto"/>
        </w:rPr>
      </w:pPr>
    </w:p>
    <w:p>
      <w:pPr>
        <w:ind w:left="460" w:hanging="330"/>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42423F"/>
        </w:rPr>
        <w:t xml:space="preserve">a </w:t>
      </w:r>
      <w:r>
        <w:rPr>
          <w:rFonts w:ascii="Arial" w:cs="Arial" w:eastAsia="Arial" w:hAnsi="Arial"/>
          <w:sz w:val="16"/>
          <w:szCs w:val="16"/>
          <w:color w:val="31312F"/>
        </w:rPr>
        <w:t>professional security</w:t>
      </w:r>
      <w:r>
        <w:rPr>
          <w:rFonts w:ascii="Arial" w:cs="Arial" w:eastAsia="Arial" w:hAnsi="Arial"/>
          <w:sz w:val="16"/>
          <w:szCs w:val="16"/>
          <w:color w:val="42423F"/>
        </w:rPr>
        <w:t xml:space="preserve"> consultant;</w:t>
      </w:r>
    </w:p>
    <w:p>
      <w:pPr>
        <w:spacing w:after="0" w:line="45" w:lineRule="exact"/>
        <w:rPr>
          <w:rFonts w:ascii="Arial" w:cs="Arial" w:eastAsia="Arial" w:hAnsi="Arial"/>
          <w:sz w:val="16"/>
          <w:szCs w:val="16"/>
          <w:color w:val="auto"/>
        </w:rPr>
      </w:pPr>
    </w:p>
    <w:p>
      <w:pPr>
        <w:ind w:left="460" w:hanging="330"/>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31312F"/>
        </w:rPr>
        <w:t xml:space="preserve">professional security </w:t>
      </w:r>
      <w:r>
        <w:rPr>
          <w:rFonts w:ascii="Arial" w:cs="Arial" w:eastAsia="Arial" w:hAnsi="Arial"/>
          <w:sz w:val="16"/>
          <w:szCs w:val="16"/>
          <w:color w:val="42423F"/>
        </w:rPr>
        <w:t>guard services;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7 of 15</w:t>
      </w:r>
    </w:p>
    <w:p>
      <w:pPr>
        <w:sectPr>
          <w:pgSz w:w="11900" w:h="16838" w:orient="portrait"/>
          <w:cols w:equalWidth="0" w:num="1">
            <w:col w:w="11420"/>
          </w:cols>
          <w:pgMar w:left="240" w:top="569" w:right="239" w:bottom="1440" w:gutter="0" w:footer="0" w:header="0"/>
        </w:sectPr>
      </w:pPr>
    </w:p>
    <w:bookmarkStart w:id="148" w:name="page149"/>
    <w:bookmarkEnd w:id="148"/>
    <w:p>
      <w:pPr>
        <w:ind w:left="460" w:hanging="330"/>
        <w:spacing w:after="0"/>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42423F"/>
        </w:rPr>
        <w:t>a professional public relations consultant;</w:t>
      </w:r>
    </w:p>
    <w:p>
      <w:pPr>
        <w:spacing w:after="0" w:line="45" w:lineRule="exact"/>
        <w:rPr>
          <w:rFonts w:ascii="Arial" w:cs="Arial" w:eastAsia="Arial" w:hAnsi="Arial"/>
          <w:sz w:val="16"/>
          <w:szCs w:val="16"/>
          <w:color w:val="auto"/>
        </w:rPr>
      </w:pPr>
    </w:p>
    <w:p>
      <w:pPr>
        <w:ind w:left="460" w:hanging="330"/>
        <w:spacing w:after="0"/>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42423F"/>
        </w:rPr>
        <w:t>travel</w:t>
      </w:r>
      <w:r>
        <w:rPr>
          <w:rFonts w:ascii="Arial" w:cs="Arial" w:eastAsia="Arial" w:hAnsi="Arial"/>
          <w:sz w:val="16"/>
          <w:szCs w:val="16"/>
          <w:color w:val="5B5B59"/>
        </w:rPr>
        <w:t>,</w:t>
      </w:r>
      <w:r>
        <w:rPr>
          <w:rFonts w:ascii="Arial" w:cs="Arial" w:eastAsia="Arial" w:hAnsi="Arial"/>
          <w:sz w:val="16"/>
          <w:szCs w:val="16"/>
          <w:color w:val="42423F"/>
        </w:rPr>
        <w:t xml:space="preserve"> meals, lodging and phone expenses incurred by you or a family member</w:t>
      </w:r>
      <w:r>
        <w:rPr>
          <w:rFonts w:ascii="Arial" w:cs="Arial" w:eastAsia="Arial" w:hAnsi="Arial"/>
          <w:sz w:val="16"/>
          <w:szCs w:val="16"/>
          <w:color w:val="5B5B59"/>
        </w:rPr>
        <w:t>;</w:t>
      </w:r>
    </w:p>
    <w:p>
      <w:pPr>
        <w:spacing w:after="0" w:line="32" w:lineRule="exact"/>
        <w:rPr>
          <w:rFonts w:ascii="Arial" w:cs="Arial" w:eastAsia="Arial" w:hAnsi="Arial"/>
          <w:sz w:val="16"/>
          <w:szCs w:val="16"/>
          <w:color w:val="auto"/>
        </w:rPr>
      </w:pPr>
    </w:p>
    <w:p>
      <w:pPr>
        <w:ind w:left="460" w:hanging="330"/>
        <w:spacing w:after="0"/>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42423F"/>
        </w:rPr>
        <w:t>advertising, communications and recording equipment;</w:t>
      </w:r>
    </w:p>
    <w:p>
      <w:pPr>
        <w:spacing w:after="0" w:line="22" w:lineRule="exact"/>
        <w:rPr>
          <w:rFonts w:ascii="Arial" w:cs="Arial" w:eastAsia="Arial" w:hAnsi="Arial"/>
          <w:sz w:val="16"/>
          <w:szCs w:val="16"/>
          <w:color w:val="auto"/>
        </w:rPr>
      </w:pPr>
    </w:p>
    <w:p>
      <w:pPr>
        <w:ind w:left="460" w:hanging="330"/>
        <w:spacing w:after="0"/>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42423F"/>
        </w:rPr>
        <w:t xml:space="preserve">related medical, cosmetic, psychiatric </w:t>
      </w:r>
      <w:r>
        <w:rPr>
          <w:rFonts w:ascii="Arial" w:cs="Arial" w:eastAsia="Arial" w:hAnsi="Arial"/>
          <w:sz w:val="14"/>
          <w:szCs w:val="14"/>
          <w:color w:val="31312F"/>
        </w:rPr>
        <w:t>and</w:t>
      </w:r>
      <w:r>
        <w:rPr>
          <w:rFonts w:ascii="Arial" w:cs="Arial" w:eastAsia="Arial" w:hAnsi="Arial"/>
          <w:sz w:val="14"/>
          <w:szCs w:val="14"/>
          <w:color w:val="42423F"/>
        </w:rPr>
        <w:t xml:space="preserve"> dental expenses incurred by a kidnapped person within 12 months from that person</w:t>
      </w:r>
      <w:r>
        <w:rPr>
          <w:rFonts w:ascii="Arial" w:cs="Arial" w:eastAsia="Arial" w:hAnsi="Arial"/>
          <w:sz w:val="14"/>
          <w:szCs w:val="14"/>
          <w:color w:val="6B6B69"/>
        </w:rPr>
        <w:t>'</w:t>
      </w:r>
      <w:r>
        <w:rPr>
          <w:rFonts w:ascii="Arial" w:cs="Arial" w:eastAsia="Arial" w:hAnsi="Arial"/>
          <w:sz w:val="14"/>
          <w:szCs w:val="14"/>
          <w:color w:val="42423F"/>
        </w:rPr>
        <w:t>s release;</w:t>
      </w:r>
    </w:p>
    <w:p>
      <w:pPr>
        <w:spacing w:after="0" w:line="41" w:lineRule="exact"/>
        <w:rPr>
          <w:rFonts w:ascii="Arial" w:cs="Arial" w:eastAsia="Arial" w:hAnsi="Arial"/>
          <w:sz w:val="14"/>
          <w:szCs w:val="14"/>
          <w:color w:val="auto"/>
        </w:rPr>
      </w:pPr>
    </w:p>
    <w:p>
      <w:pPr>
        <w:ind w:left="460" w:hanging="330"/>
        <w:spacing w:after="0"/>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42423F"/>
        </w:rPr>
        <w:t>attorney’s fees;</w:t>
      </w:r>
    </w:p>
    <w:p>
      <w:pPr>
        <w:spacing w:after="0" w:line="41" w:lineRule="exact"/>
        <w:rPr>
          <w:rFonts w:ascii="Arial" w:cs="Arial" w:eastAsia="Arial" w:hAnsi="Arial"/>
          <w:sz w:val="16"/>
          <w:szCs w:val="16"/>
          <w:color w:val="auto"/>
        </w:rPr>
      </w:pPr>
    </w:p>
    <w:p>
      <w:pPr>
        <w:ind w:left="460" w:hanging="330"/>
        <w:spacing w:after="0"/>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42423F"/>
        </w:rPr>
        <w:t>a professional forensic analyst;</w:t>
      </w:r>
    </w:p>
    <w:p>
      <w:pPr>
        <w:spacing w:after="0" w:line="45" w:lineRule="exact"/>
        <w:rPr>
          <w:rFonts w:ascii="Arial" w:cs="Arial" w:eastAsia="Arial" w:hAnsi="Arial"/>
          <w:sz w:val="16"/>
          <w:szCs w:val="16"/>
          <w:color w:val="auto"/>
        </w:rPr>
      </w:pPr>
    </w:p>
    <w:p>
      <w:pPr>
        <w:ind w:left="460" w:hanging="330"/>
        <w:spacing w:after="0"/>
        <w:tabs>
          <w:tab w:leader="none" w:pos="460" w:val="left"/>
        </w:tabs>
        <w:numPr>
          <w:ilvl w:val="0"/>
          <w:numId w:val="103"/>
        </w:numPr>
        <w:rPr>
          <w:rFonts w:ascii="Arial" w:cs="Arial" w:eastAsia="Arial" w:hAnsi="Arial"/>
          <w:sz w:val="16"/>
          <w:szCs w:val="16"/>
          <w:color w:val="auto"/>
        </w:rPr>
      </w:pPr>
      <w:r>
        <w:rPr>
          <w:rFonts w:ascii="Arial" w:cs="Arial" w:eastAsia="Arial" w:hAnsi="Arial"/>
          <w:sz w:val="16"/>
          <w:szCs w:val="16"/>
          <w:color w:val="42423F"/>
        </w:rPr>
        <w:t>earnings lost by you or a family member, up to $25</w:t>
      </w:r>
      <w:r>
        <w:rPr>
          <w:rFonts w:ascii="Arial" w:cs="Arial" w:eastAsia="Arial" w:hAnsi="Arial"/>
          <w:sz w:val="16"/>
          <w:szCs w:val="16"/>
          <w:color w:val="5B5B59"/>
        </w:rPr>
        <w:t>,</w:t>
      </w:r>
      <w:r>
        <w:rPr>
          <w:rFonts w:ascii="Arial" w:cs="Arial" w:eastAsia="Arial" w:hAnsi="Arial"/>
          <w:sz w:val="16"/>
          <w:szCs w:val="16"/>
          <w:color w:val="42423F"/>
        </w:rPr>
        <w:t>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_________________________________________________________________________________________________________________________</w:t>
      </w:r>
    </w:p>
    <w:p>
      <w:pPr>
        <w:spacing w:after="0" w:line="5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7 of 15</w:t>
      </w:r>
    </w:p>
    <w:p>
      <w:pPr>
        <w:sectPr>
          <w:pgSz w:w="11900" w:h="16838" w:orient="portrait"/>
          <w:cols w:equalWidth="0" w:num="1">
            <w:col w:w="10219"/>
          </w:cols>
          <w:pgMar w:left="240" w:top="616" w:right="1440" w:bottom="1440" w:gutter="0" w:footer="0" w:header="0"/>
        </w:sectPr>
      </w:pPr>
    </w:p>
    <w:bookmarkStart w:id="149" w:name="page150"/>
    <w:bookmarkEnd w:id="149"/>
    <w:p>
      <w:pPr>
        <w:ind w:left="422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-162560</wp:posOffset>
            </wp:positionV>
            <wp:extent cx="110617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6">
                      <a:extLst>
                        <a:ext uri="{28A0092B-C50C-407E-A947-70E740481C1C}"/>
                      </a:extLst>
                    </a:blip>
                    <a:srcRect/>
                    <a:stretch>
                      <a:fillRect/>
                    </a:stretch>
                  </pic:blipFill>
                  <pic:spPr bwMode="auto">
                    <a:xfrm>
                      <a:off x="0" y="0"/>
                      <a:ext cx="1106170" cy="146050"/>
                    </a:xfrm>
                    <a:prstGeom prst="rect">
                      <a:avLst/>
                    </a:prstGeom>
                    <a:noFill/>
                  </pic:spPr>
                </pic:pic>
              </a:graphicData>
            </a:graphic>
          </wp:anchor>
        </w:drawing>
      </w:r>
    </w:p>
    <w:p>
      <w:pPr>
        <w:spacing w:after="0" w:line="339"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383836"/>
        </w:rPr>
        <w:t>Extra Coverages</w:t>
      </w:r>
    </w:p>
    <w:p>
      <w:pPr>
        <w:spacing w:after="0" w:line="33"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383836"/>
        </w:rPr>
        <w:t>(continued)</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6"/>
          <w:szCs w:val="16"/>
          <w:color w:val="383836"/>
        </w:rPr>
        <w:t>However, "kidnap expenses" does not include expenses incurred due to any kidnap and ransom occurrence caused by:</w:t>
      </w:r>
    </w:p>
    <w:p>
      <w:pPr>
        <w:spacing w:after="0" w:line="19" w:lineRule="exact"/>
        <w:rPr>
          <w:sz w:val="20"/>
          <w:szCs w:val="20"/>
          <w:color w:val="auto"/>
        </w:rPr>
      </w:pPr>
    </w:p>
    <w:p>
      <w:pPr>
        <w:ind w:left="840" w:hanging="292"/>
        <w:spacing w:after="0"/>
        <w:tabs>
          <w:tab w:leader="none" w:pos="840" w:val="left"/>
        </w:tabs>
        <w:numPr>
          <w:ilvl w:val="0"/>
          <w:numId w:val="104"/>
        </w:numPr>
        <w:rPr>
          <w:rFonts w:ascii="Arial" w:cs="Arial" w:eastAsia="Arial" w:hAnsi="Arial"/>
          <w:sz w:val="16"/>
          <w:szCs w:val="16"/>
          <w:color w:val="383836"/>
        </w:rPr>
      </w:pPr>
      <w:r>
        <w:rPr>
          <w:rFonts w:ascii="Arial" w:cs="Arial" w:eastAsia="Arial" w:hAnsi="Arial"/>
          <w:sz w:val="16"/>
          <w:szCs w:val="16"/>
          <w:color w:val="383836"/>
        </w:rPr>
        <w:t>you or a family member;</w:t>
      </w:r>
    </w:p>
    <w:p>
      <w:pPr>
        <w:spacing w:after="0" w:line="5" w:lineRule="exact"/>
        <w:rPr>
          <w:rFonts w:ascii="Arial" w:cs="Arial" w:eastAsia="Arial" w:hAnsi="Arial"/>
          <w:sz w:val="16"/>
          <w:szCs w:val="16"/>
          <w:color w:val="383836"/>
        </w:rPr>
      </w:pPr>
    </w:p>
    <w:p>
      <w:pPr>
        <w:ind w:left="840" w:hanging="292"/>
        <w:spacing w:after="0"/>
        <w:tabs>
          <w:tab w:leader="none" w:pos="840" w:val="left"/>
        </w:tabs>
        <w:numPr>
          <w:ilvl w:val="0"/>
          <w:numId w:val="104"/>
        </w:numPr>
        <w:rPr>
          <w:rFonts w:ascii="Arial" w:cs="Arial" w:eastAsia="Arial" w:hAnsi="Arial"/>
          <w:sz w:val="16"/>
          <w:szCs w:val="16"/>
          <w:color w:val="383836"/>
        </w:rPr>
      </w:pPr>
      <w:r>
        <w:rPr>
          <w:rFonts w:ascii="Arial" w:cs="Arial" w:eastAsia="Arial" w:hAnsi="Arial"/>
          <w:sz w:val="16"/>
          <w:szCs w:val="16"/>
          <w:color w:val="383836"/>
        </w:rPr>
        <w:t>a covered relative</w:t>
      </w:r>
      <w:r>
        <w:rPr>
          <w:rFonts w:ascii="Arial" w:cs="Arial" w:eastAsia="Arial" w:hAnsi="Arial"/>
          <w:sz w:val="16"/>
          <w:szCs w:val="16"/>
          <w:color w:val="525250"/>
        </w:rPr>
        <w:t>;</w:t>
      </w:r>
    </w:p>
    <w:p>
      <w:pPr>
        <w:spacing w:after="0" w:line="8" w:lineRule="exact"/>
        <w:rPr>
          <w:rFonts w:ascii="Arial" w:cs="Arial" w:eastAsia="Arial" w:hAnsi="Arial"/>
          <w:sz w:val="16"/>
          <w:szCs w:val="16"/>
          <w:color w:val="383836"/>
        </w:rPr>
      </w:pPr>
    </w:p>
    <w:p>
      <w:pPr>
        <w:ind w:left="840" w:hanging="292"/>
        <w:spacing w:after="0"/>
        <w:tabs>
          <w:tab w:leader="none" w:pos="840" w:val="left"/>
        </w:tabs>
        <w:numPr>
          <w:ilvl w:val="0"/>
          <w:numId w:val="104"/>
        </w:numPr>
        <w:rPr>
          <w:rFonts w:ascii="Arial" w:cs="Arial" w:eastAsia="Arial" w:hAnsi="Arial"/>
          <w:sz w:val="16"/>
          <w:szCs w:val="16"/>
          <w:color w:val="383836"/>
        </w:rPr>
      </w:pPr>
      <w:r>
        <w:rPr>
          <w:rFonts w:ascii="Arial" w:cs="Arial" w:eastAsia="Arial" w:hAnsi="Arial"/>
          <w:sz w:val="16"/>
          <w:szCs w:val="16"/>
          <w:color w:val="383836"/>
        </w:rPr>
        <w:t>any guardian, or former guardian of you, a family member or covered relative;</w:t>
      </w:r>
    </w:p>
    <w:p>
      <w:pPr>
        <w:spacing w:after="0" w:line="55" w:lineRule="exact"/>
        <w:rPr>
          <w:rFonts w:ascii="Arial" w:cs="Arial" w:eastAsia="Arial" w:hAnsi="Arial"/>
          <w:sz w:val="16"/>
          <w:szCs w:val="16"/>
          <w:color w:val="383836"/>
        </w:rPr>
      </w:pPr>
    </w:p>
    <w:p>
      <w:pPr>
        <w:ind w:left="840" w:hanging="292"/>
        <w:spacing w:after="0"/>
        <w:tabs>
          <w:tab w:leader="none" w:pos="840" w:val="left"/>
        </w:tabs>
        <w:numPr>
          <w:ilvl w:val="0"/>
          <w:numId w:val="104"/>
        </w:numPr>
        <w:rPr>
          <w:rFonts w:ascii="Arial" w:cs="Arial" w:eastAsia="Arial" w:hAnsi="Arial"/>
          <w:sz w:val="16"/>
          <w:szCs w:val="16"/>
          <w:color w:val="383836"/>
        </w:rPr>
      </w:pPr>
      <w:r>
        <w:rPr>
          <w:rFonts w:ascii="Arial" w:cs="Arial" w:eastAsia="Arial" w:hAnsi="Arial"/>
          <w:sz w:val="16"/>
          <w:szCs w:val="16"/>
          <w:color w:val="383836"/>
        </w:rPr>
        <w:t>any estranged spouse or domestic partner, or former spouse or domestic partner of you or a family member;</w:t>
      </w:r>
    </w:p>
    <w:p>
      <w:pPr>
        <w:spacing w:after="0" w:line="59" w:lineRule="exact"/>
        <w:rPr>
          <w:rFonts w:ascii="Arial" w:cs="Arial" w:eastAsia="Arial" w:hAnsi="Arial"/>
          <w:sz w:val="16"/>
          <w:szCs w:val="16"/>
          <w:color w:val="383836"/>
        </w:rPr>
      </w:pPr>
    </w:p>
    <w:p>
      <w:pPr>
        <w:ind w:left="840" w:hanging="292"/>
        <w:spacing w:after="0" w:line="299" w:lineRule="auto"/>
        <w:tabs>
          <w:tab w:leader="none" w:pos="840" w:val="left"/>
        </w:tabs>
        <w:numPr>
          <w:ilvl w:val="0"/>
          <w:numId w:val="104"/>
        </w:numPr>
        <w:rPr>
          <w:rFonts w:ascii="Arial" w:cs="Arial" w:eastAsia="Arial" w:hAnsi="Arial"/>
          <w:sz w:val="16"/>
          <w:szCs w:val="16"/>
          <w:color w:val="383836"/>
        </w:rPr>
      </w:pPr>
      <w:r>
        <w:rPr>
          <w:rFonts w:ascii="Arial" w:cs="Arial" w:eastAsia="Arial" w:hAnsi="Arial"/>
          <w:sz w:val="16"/>
          <w:szCs w:val="16"/>
          <w:color w:val="383836"/>
        </w:rPr>
        <w:t>any person unrelated to you or a family member who lives with you or a family member or has ever lived with you or a family member for 6 or more months, other than a domestic employee</w:t>
      </w:r>
      <w:r>
        <w:rPr>
          <w:rFonts w:ascii="Arial" w:cs="Arial" w:eastAsia="Arial" w:hAnsi="Arial"/>
          <w:sz w:val="16"/>
          <w:szCs w:val="16"/>
          <w:color w:val="525250"/>
        </w:rPr>
        <w:t>,</w:t>
      </w:r>
      <w:r>
        <w:rPr>
          <w:rFonts w:ascii="Arial" w:cs="Arial" w:eastAsia="Arial" w:hAnsi="Arial"/>
          <w:sz w:val="16"/>
          <w:szCs w:val="16"/>
          <w:color w:val="383836"/>
        </w:rPr>
        <w:t xml:space="preserve"> residential staff, or a person employed by you or a family member for farm work; or</w:t>
      </w:r>
    </w:p>
    <w:p>
      <w:pPr>
        <w:ind w:left="840" w:hanging="292"/>
        <w:spacing w:after="0"/>
        <w:tabs>
          <w:tab w:leader="none" w:pos="840" w:val="left"/>
        </w:tabs>
        <w:numPr>
          <w:ilvl w:val="0"/>
          <w:numId w:val="104"/>
        </w:numPr>
        <w:rPr>
          <w:rFonts w:ascii="Arial" w:cs="Arial" w:eastAsia="Arial" w:hAnsi="Arial"/>
          <w:sz w:val="16"/>
          <w:szCs w:val="16"/>
          <w:color w:val="383836"/>
        </w:rPr>
      </w:pPr>
      <w:r>
        <w:rPr>
          <w:rFonts w:ascii="Arial" w:cs="Arial" w:eastAsia="Arial" w:hAnsi="Arial"/>
          <w:sz w:val="16"/>
          <w:szCs w:val="16"/>
          <w:color w:val="383836"/>
        </w:rPr>
        <w:t>a civil authority,</w:t>
      </w:r>
    </w:p>
    <w:p>
      <w:pPr>
        <w:spacing w:after="0" w:line="22" w:lineRule="exact"/>
        <w:rPr>
          <w:sz w:val="20"/>
          <w:szCs w:val="20"/>
          <w:color w:val="auto"/>
        </w:rPr>
      </w:pPr>
    </w:p>
    <w:p>
      <w:pPr>
        <w:ind w:left="540"/>
        <w:spacing w:after="0"/>
        <w:rPr>
          <w:sz w:val="20"/>
          <w:szCs w:val="20"/>
          <w:color w:val="auto"/>
        </w:rPr>
      </w:pPr>
      <w:r>
        <w:rPr>
          <w:rFonts w:ascii="Arial" w:cs="Arial" w:eastAsia="Arial" w:hAnsi="Arial"/>
          <w:sz w:val="16"/>
          <w:szCs w:val="16"/>
          <w:color w:val="383836"/>
        </w:rPr>
        <w:t>or any person acting on behalf of any of the above, whether acting alone or in collusion with others</w:t>
      </w:r>
      <w:r>
        <w:rPr>
          <w:rFonts w:ascii="Arial" w:cs="Arial" w:eastAsia="Arial" w:hAnsi="Arial"/>
          <w:sz w:val="16"/>
          <w:szCs w:val="16"/>
          <w:color w:val="525250"/>
        </w:rPr>
        <w:t>.</w:t>
      </w:r>
    </w:p>
    <w:p>
      <w:pPr>
        <w:spacing w:after="0" w:line="285" w:lineRule="exact"/>
        <w:rPr>
          <w:sz w:val="20"/>
          <w:szCs w:val="20"/>
          <w:color w:val="auto"/>
        </w:rPr>
      </w:pPr>
    </w:p>
    <w:p>
      <w:pPr>
        <w:ind w:left="540"/>
        <w:spacing w:after="0"/>
        <w:rPr>
          <w:sz w:val="20"/>
          <w:szCs w:val="20"/>
          <w:color w:val="auto"/>
        </w:rPr>
      </w:pPr>
      <w:r>
        <w:rPr>
          <w:rFonts w:ascii="Arial" w:cs="Arial" w:eastAsia="Arial" w:hAnsi="Arial"/>
          <w:sz w:val="16"/>
          <w:szCs w:val="16"/>
          <w:color w:val="383836"/>
        </w:rPr>
        <w:t>"Covered relative" means the following relatives of you, or a spouse or domestic partner who lives with you, or any family member</w:t>
      </w:r>
      <w:r>
        <w:rPr>
          <w:rFonts w:ascii="Arial" w:cs="Arial" w:eastAsia="Arial" w:hAnsi="Arial"/>
          <w:sz w:val="16"/>
          <w:szCs w:val="16"/>
          <w:color w:val="525250"/>
        </w:rPr>
        <w:t>:</w:t>
      </w:r>
    </w:p>
    <w:p>
      <w:pPr>
        <w:spacing w:after="0" w:line="46" w:lineRule="exact"/>
        <w:rPr>
          <w:sz w:val="20"/>
          <w:szCs w:val="20"/>
          <w:color w:val="auto"/>
        </w:rPr>
      </w:pPr>
    </w:p>
    <w:p>
      <w:pPr>
        <w:ind w:left="820" w:hanging="258"/>
        <w:spacing w:after="0"/>
        <w:tabs>
          <w:tab w:leader="none" w:pos="820" w:val="left"/>
        </w:tabs>
        <w:numPr>
          <w:ilvl w:val="0"/>
          <w:numId w:val="105"/>
        </w:numPr>
        <w:rPr>
          <w:rFonts w:ascii="Arial" w:cs="Arial" w:eastAsia="Arial" w:hAnsi="Arial"/>
          <w:sz w:val="16"/>
          <w:szCs w:val="16"/>
          <w:color w:val="383836"/>
        </w:rPr>
      </w:pPr>
      <w:r>
        <w:rPr>
          <w:rFonts w:ascii="Arial" w:cs="Arial" w:eastAsia="Arial" w:hAnsi="Arial"/>
          <w:sz w:val="16"/>
          <w:szCs w:val="16"/>
          <w:color w:val="383836"/>
        </w:rPr>
        <w:t>children</w:t>
      </w:r>
      <w:r>
        <w:rPr>
          <w:rFonts w:ascii="Arial" w:cs="Arial" w:eastAsia="Arial" w:hAnsi="Arial"/>
          <w:sz w:val="16"/>
          <w:szCs w:val="16"/>
          <w:color w:val="525250"/>
        </w:rPr>
        <w:t>,</w:t>
      </w:r>
      <w:r>
        <w:rPr>
          <w:rFonts w:ascii="Arial" w:cs="Arial" w:eastAsia="Arial" w:hAnsi="Arial"/>
          <w:sz w:val="16"/>
          <w:szCs w:val="16"/>
          <w:color w:val="383836"/>
        </w:rPr>
        <w:t xml:space="preserve"> their children or other descendants of theirs</w:t>
      </w:r>
      <w:r>
        <w:rPr>
          <w:rFonts w:ascii="Arial" w:cs="Arial" w:eastAsia="Arial" w:hAnsi="Arial"/>
          <w:sz w:val="16"/>
          <w:szCs w:val="16"/>
          <w:color w:val="525250"/>
        </w:rPr>
        <w:t>;</w:t>
      </w:r>
    </w:p>
    <w:p>
      <w:pPr>
        <w:spacing w:after="0" w:line="32" w:lineRule="exact"/>
        <w:rPr>
          <w:rFonts w:ascii="Arial" w:cs="Arial" w:eastAsia="Arial" w:hAnsi="Arial"/>
          <w:sz w:val="16"/>
          <w:szCs w:val="16"/>
          <w:color w:val="383836"/>
        </w:rPr>
      </w:pPr>
    </w:p>
    <w:p>
      <w:pPr>
        <w:ind w:left="820" w:hanging="258"/>
        <w:spacing w:after="0"/>
        <w:tabs>
          <w:tab w:leader="none" w:pos="820" w:val="left"/>
        </w:tabs>
        <w:numPr>
          <w:ilvl w:val="0"/>
          <w:numId w:val="105"/>
        </w:numPr>
        <w:rPr>
          <w:rFonts w:ascii="Arial" w:cs="Arial" w:eastAsia="Arial" w:hAnsi="Arial"/>
          <w:sz w:val="16"/>
          <w:szCs w:val="16"/>
          <w:color w:val="383836"/>
        </w:rPr>
      </w:pPr>
      <w:r>
        <w:rPr>
          <w:rFonts w:ascii="Arial" w:cs="Arial" w:eastAsia="Arial" w:hAnsi="Arial"/>
          <w:sz w:val="16"/>
          <w:szCs w:val="16"/>
          <w:color w:val="383836"/>
        </w:rPr>
        <w:t>parents, grandparents or other ancestors of theirs; or</w:t>
      </w:r>
    </w:p>
    <w:p>
      <w:pPr>
        <w:spacing w:after="0" w:line="22" w:lineRule="exact"/>
        <w:rPr>
          <w:rFonts w:ascii="Arial" w:cs="Arial" w:eastAsia="Arial" w:hAnsi="Arial"/>
          <w:sz w:val="16"/>
          <w:szCs w:val="16"/>
          <w:color w:val="383836"/>
        </w:rPr>
      </w:pPr>
    </w:p>
    <w:p>
      <w:pPr>
        <w:ind w:left="820" w:hanging="258"/>
        <w:spacing w:after="0"/>
        <w:tabs>
          <w:tab w:leader="none" w:pos="820" w:val="left"/>
        </w:tabs>
        <w:numPr>
          <w:ilvl w:val="0"/>
          <w:numId w:val="105"/>
        </w:numPr>
        <w:rPr>
          <w:rFonts w:ascii="Arial" w:cs="Arial" w:eastAsia="Arial" w:hAnsi="Arial"/>
          <w:sz w:val="16"/>
          <w:szCs w:val="16"/>
          <w:color w:val="383836"/>
        </w:rPr>
      </w:pPr>
      <w:r>
        <w:rPr>
          <w:rFonts w:ascii="Arial" w:cs="Arial" w:eastAsia="Arial" w:hAnsi="Arial"/>
          <w:sz w:val="16"/>
          <w:szCs w:val="16"/>
          <w:color w:val="383836"/>
        </w:rPr>
        <w:t>siblings, their children or other descendants of theirs;</w:t>
      </w:r>
    </w:p>
    <w:p>
      <w:pPr>
        <w:spacing w:after="0" w:line="42" w:lineRule="exact"/>
        <w:rPr>
          <w:sz w:val="20"/>
          <w:szCs w:val="20"/>
          <w:color w:val="auto"/>
        </w:rPr>
      </w:pPr>
    </w:p>
    <w:p>
      <w:pPr>
        <w:jc w:val="both"/>
        <w:ind w:left="540"/>
        <w:spacing w:after="0" w:line="328" w:lineRule="auto"/>
        <w:rPr>
          <w:sz w:val="20"/>
          <w:szCs w:val="20"/>
          <w:color w:val="auto"/>
        </w:rPr>
      </w:pPr>
      <w:r>
        <w:rPr>
          <w:rFonts w:ascii="Arial" w:cs="Arial" w:eastAsia="Arial" w:hAnsi="Arial"/>
          <w:sz w:val="16"/>
          <w:szCs w:val="16"/>
          <w:color w:val="383836"/>
        </w:rPr>
        <w:t>who do not live with you</w:t>
      </w:r>
      <w:r>
        <w:rPr>
          <w:rFonts w:ascii="Arial" w:cs="Arial" w:eastAsia="Arial" w:hAnsi="Arial"/>
          <w:sz w:val="16"/>
          <w:szCs w:val="16"/>
          <w:color w:val="525250"/>
        </w:rPr>
        <w:t>,</w:t>
      </w:r>
      <w:r>
        <w:rPr>
          <w:rFonts w:ascii="Arial" w:cs="Arial" w:eastAsia="Arial" w:hAnsi="Arial"/>
          <w:sz w:val="16"/>
          <w:szCs w:val="16"/>
          <w:color w:val="383836"/>
        </w:rPr>
        <w:t xml:space="preserve"> including spouses or domestic partners of all of the above. Parents, grandparents and other ancestors include adoptive parents, stepparents and step grandparents</w:t>
      </w:r>
      <w:r>
        <w:rPr>
          <w:rFonts w:ascii="Arial" w:cs="Arial" w:eastAsia="Arial" w:hAnsi="Arial"/>
          <w:sz w:val="16"/>
          <w:szCs w:val="16"/>
          <w:color w:val="525250"/>
        </w:rPr>
        <w:t>.</w:t>
      </w:r>
    </w:p>
    <w:p>
      <w:pPr>
        <w:spacing w:after="0" w:line="236" w:lineRule="exact"/>
        <w:rPr>
          <w:sz w:val="20"/>
          <w:szCs w:val="20"/>
          <w:color w:val="auto"/>
        </w:rPr>
      </w:pPr>
    </w:p>
    <w:p>
      <w:pPr>
        <w:jc w:val="both"/>
        <w:ind w:left="540" w:firstLine="14"/>
        <w:spacing w:after="0" w:line="307" w:lineRule="auto"/>
        <w:rPr>
          <w:sz w:val="20"/>
          <w:szCs w:val="20"/>
          <w:color w:val="auto"/>
        </w:rPr>
      </w:pPr>
      <w:r>
        <w:rPr>
          <w:rFonts w:ascii="Arial" w:cs="Arial" w:eastAsia="Arial" w:hAnsi="Arial"/>
          <w:sz w:val="16"/>
          <w:szCs w:val="16"/>
          <w:b w:val="1"/>
          <w:bCs w:val="1"/>
          <w:color w:val="383836"/>
        </w:rPr>
        <w:t>Reputational injury</w:t>
      </w:r>
      <w:r>
        <w:rPr>
          <w:rFonts w:ascii="Arial" w:cs="Arial" w:eastAsia="Arial" w:hAnsi="Arial"/>
          <w:sz w:val="16"/>
          <w:szCs w:val="16"/>
          <w:b w:val="1"/>
          <w:bCs w:val="1"/>
          <w:color w:val="525250"/>
        </w:rPr>
        <w:t>.</w:t>
      </w:r>
      <w:r>
        <w:rPr>
          <w:rFonts w:ascii="Arial" w:cs="Arial" w:eastAsia="Arial" w:hAnsi="Arial"/>
          <w:sz w:val="16"/>
          <w:szCs w:val="16"/>
          <w:b w:val="1"/>
          <w:bCs w:val="1"/>
          <w:color w:val="383836"/>
        </w:rPr>
        <w:t xml:space="preserve"> </w:t>
      </w:r>
      <w:r>
        <w:rPr>
          <w:rFonts w:ascii="Arial" w:cs="Arial" w:eastAsia="Arial" w:hAnsi="Arial"/>
          <w:sz w:val="15"/>
          <w:szCs w:val="15"/>
          <w:color w:val="383836"/>
        </w:rPr>
        <w:t>If</w:t>
      </w:r>
      <w:r>
        <w:rPr>
          <w:rFonts w:ascii="Arial" w:cs="Arial" w:eastAsia="Arial" w:hAnsi="Arial"/>
          <w:sz w:val="16"/>
          <w:szCs w:val="16"/>
          <w:b w:val="1"/>
          <w:bCs w:val="1"/>
          <w:color w:val="383836"/>
        </w:rPr>
        <w:t xml:space="preserve"> </w:t>
      </w:r>
      <w:r>
        <w:rPr>
          <w:rFonts w:ascii="Arial" w:cs="Arial" w:eastAsia="Arial" w:hAnsi="Arial"/>
          <w:sz w:val="16"/>
          <w:szCs w:val="16"/>
          <w:color w:val="383836"/>
        </w:rPr>
        <w:t>we are defending you or a family member in a suit seeking covered damages, we will pay reasonable and necessary fees or expenses that you</w:t>
      </w:r>
      <w:r>
        <w:rPr>
          <w:rFonts w:ascii="Arial" w:cs="Arial" w:eastAsia="Arial" w:hAnsi="Arial"/>
          <w:sz w:val="16"/>
          <w:szCs w:val="16"/>
          <w:b w:val="1"/>
          <w:bCs w:val="1"/>
          <w:color w:val="383836"/>
        </w:rPr>
        <w:t xml:space="preserve"> </w:t>
      </w:r>
      <w:r>
        <w:rPr>
          <w:rFonts w:ascii="Arial" w:cs="Arial" w:eastAsia="Arial" w:hAnsi="Arial"/>
          <w:sz w:val="16"/>
          <w:szCs w:val="16"/>
          <w:color w:val="383836"/>
        </w:rPr>
        <w:t xml:space="preserve">or a family member incur for services provided by a reputation management </w:t>
      </w:r>
      <w:r>
        <w:rPr>
          <w:rFonts w:ascii="Arial" w:cs="Arial" w:eastAsia="Arial" w:hAnsi="Arial"/>
          <w:sz w:val="15"/>
          <w:szCs w:val="15"/>
          <w:color w:val="383836"/>
        </w:rPr>
        <w:t>firm</w:t>
      </w:r>
      <w:r>
        <w:rPr>
          <w:rFonts w:ascii="Arial" w:cs="Arial" w:eastAsia="Arial" w:hAnsi="Arial"/>
          <w:sz w:val="16"/>
          <w:szCs w:val="16"/>
          <w:color w:val="383836"/>
        </w:rPr>
        <w:t xml:space="preserve"> to minimize potential injury </w:t>
      </w:r>
      <w:r>
        <w:rPr>
          <w:rFonts w:ascii="Arial" w:cs="Arial" w:eastAsia="Arial" w:hAnsi="Arial"/>
          <w:sz w:val="15"/>
          <w:szCs w:val="15"/>
          <w:color w:val="383836"/>
        </w:rPr>
        <w:t>to</w:t>
      </w:r>
      <w:r>
        <w:rPr>
          <w:rFonts w:ascii="Arial" w:cs="Arial" w:eastAsia="Arial" w:hAnsi="Arial"/>
          <w:sz w:val="16"/>
          <w:szCs w:val="16"/>
          <w:color w:val="383836"/>
        </w:rPr>
        <w:t xml:space="preserve"> the reputation of you or a family member solely as a result of personal injury or property damage, caused by an occurrence </w:t>
      </w:r>
      <w:r>
        <w:rPr>
          <w:rFonts w:ascii="Arial" w:cs="Arial" w:eastAsia="Arial" w:hAnsi="Arial"/>
          <w:sz w:val="15"/>
          <w:szCs w:val="15"/>
          <w:color w:val="383836"/>
        </w:rPr>
        <w:t>if:</w:t>
      </w:r>
    </w:p>
    <w:p>
      <w:pPr>
        <w:ind w:left="880" w:right="2740" w:hanging="318"/>
        <w:spacing w:after="0" w:line="308" w:lineRule="auto"/>
        <w:tabs>
          <w:tab w:leader="none" w:pos="867" w:val="left"/>
        </w:tabs>
        <w:numPr>
          <w:ilvl w:val="0"/>
          <w:numId w:val="106"/>
        </w:numPr>
        <w:rPr>
          <w:rFonts w:ascii="Arial" w:cs="Arial" w:eastAsia="Arial" w:hAnsi="Arial"/>
          <w:sz w:val="16"/>
          <w:szCs w:val="16"/>
          <w:color w:val="383836"/>
        </w:rPr>
      </w:pPr>
      <w:r>
        <w:rPr>
          <w:rFonts w:ascii="Arial" w:cs="Arial" w:eastAsia="Arial" w:hAnsi="Arial"/>
          <w:sz w:val="16"/>
          <w:szCs w:val="16"/>
          <w:color w:val="383836"/>
        </w:rPr>
        <w:t xml:space="preserve">the reputational injury is reported to us as </w:t>
      </w:r>
      <w:r>
        <w:rPr>
          <w:rFonts w:ascii="Arial" w:cs="Arial" w:eastAsia="Arial" w:hAnsi="Arial"/>
          <w:sz w:val="16"/>
          <w:szCs w:val="16"/>
          <w:color w:val="525250"/>
        </w:rPr>
        <w:t>s</w:t>
      </w:r>
      <w:r>
        <w:rPr>
          <w:rFonts w:ascii="Arial" w:cs="Arial" w:eastAsia="Arial" w:hAnsi="Arial"/>
          <w:sz w:val="16"/>
          <w:szCs w:val="16"/>
          <w:color w:val="383836"/>
        </w:rPr>
        <w:t>oon as reasonably possible but not later than 30 days after the personal injury or property damage occurrence; and</w:t>
      </w:r>
    </w:p>
    <w:p>
      <w:pPr>
        <w:ind w:left="900" w:right="60" w:hanging="325"/>
        <w:spacing w:after="0" w:line="346" w:lineRule="auto"/>
        <w:tabs>
          <w:tab w:leader="none" w:pos="882" w:val="left"/>
        </w:tabs>
        <w:numPr>
          <w:ilvl w:val="1"/>
          <w:numId w:val="106"/>
        </w:numPr>
        <w:rPr>
          <w:rFonts w:ascii="Arial" w:cs="Arial" w:eastAsia="Arial" w:hAnsi="Arial"/>
          <w:sz w:val="16"/>
          <w:szCs w:val="16"/>
          <w:color w:val="383836"/>
        </w:rPr>
      </w:pPr>
      <w:r>
        <w:rPr>
          <w:rFonts w:ascii="Arial" w:cs="Arial" w:eastAsia="Arial" w:hAnsi="Arial"/>
          <w:sz w:val="16"/>
          <w:szCs w:val="16"/>
          <w:color w:val="383836"/>
        </w:rPr>
        <w:t xml:space="preserve">you obtain approval of the reputation management </w:t>
      </w:r>
      <w:r>
        <w:rPr>
          <w:rFonts w:ascii="Arial" w:cs="Arial" w:eastAsia="Arial" w:hAnsi="Arial"/>
          <w:sz w:val="15"/>
          <w:szCs w:val="15"/>
          <w:color w:val="383836"/>
        </w:rPr>
        <w:t>firm</w:t>
      </w:r>
      <w:r>
        <w:rPr>
          <w:rFonts w:ascii="Arial" w:cs="Arial" w:eastAsia="Arial" w:hAnsi="Arial"/>
          <w:sz w:val="16"/>
          <w:szCs w:val="16"/>
          <w:color w:val="383836"/>
        </w:rPr>
        <w:t xml:space="preserve"> from us before incurring any fees or expenses, unless stated otherwise or an exclusion applies. There is no deductible for this coverage.</w:t>
      </w:r>
    </w:p>
    <w:p>
      <w:pPr>
        <w:spacing w:after="0" w:line="64" w:lineRule="exact"/>
        <w:rPr>
          <w:sz w:val="20"/>
          <w:szCs w:val="20"/>
          <w:color w:val="auto"/>
        </w:rPr>
      </w:pPr>
    </w:p>
    <w:p>
      <w:pPr>
        <w:ind w:left="560" w:right="20"/>
        <w:spacing w:after="0" w:line="275" w:lineRule="auto"/>
        <w:rPr>
          <w:sz w:val="20"/>
          <w:szCs w:val="20"/>
          <w:color w:val="auto"/>
        </w:rPr>
      </w:pPr>
      <w:r>
        <w:rPr>
          <w:rFonts w:ascii="Arial" w:cs="Arial" w:eastAsia="Arial" w:hAnsi="Arial"/>
          <w:sz w:val="15"/>
          <w:szCs w:val="15"/>
          <w:color w:val="383836"/>
        </w:rPr>
        <w:t xml:space="preserve">A Reputation </w:t>
      </w:r>
      <w:r>
        <w:rPr>
          <w:rFonts w:ascii="Arial" w:cs="Arial" w:eastAsia="Arial" w:hAnsi="Arial"/>
          <w:sz w:val="16"/>
          <w:szCs w:val="16"/>
          <w:color w:val="383836"/>
        </w:rPr>
        <w:t>management</w:t>
      </w:r>
      <w:r>
        <w:rPr>
          <w:rFonts w:ascii="Arial" w:cs="Arial" w:eastAsia="Arial" w:hAnsi="Arial"/>
          <w:sz w:val="15"/>
          <w:szCs w:val="15"/>
          <w:color w:val="383836"/>
        </w:rPr>
        <w:t xml:space="preserve"> firm </w:t>
      </w:r>
      <w:r>
        <w:rPr>
          <w:rFonts w:ascii="Arial" w:cs="Arial" w:eastAsia="Arial" w:hAnsi="Arial"/>
          <w:sz w:val="16"/>
          <w:szCs w:val="16"/>
          <w:color w:val="383836"/>
        </w:rPr>
        <w:t>means a professional public relations consulting firm, a professional security consulting firm or a professional media management</w:t>
      </w:r>
      <w:r>
        <w:rPr>
          <w:rFonts w:ascii="Arial" w:cs="Arial" w:eastAsia="Arial" w:hAnsi="Arial"/>
          <w:sz w:val="15"/>
          <w:szCs w:val="15"/>
          <w:color w:val="383836"/>
        </w:rPr>
        <w:t xml:space="preserve"> </w:t>
      </w:r>
      <w:r>
        <w:rPr>
          <w:rFonts w:ascii="Arial" w:cs="Arial" w:eastAsia="Arial" w:hAnsi="Arial"/>
          <w:sz w:val="16"/>
          <w:szCs w:val="16"/>
          <w:color w:val="383836"/>
        </w:rPr>
        <w:t>consulting firm.</w:t>
      </w:r>
    </w:p>
    <w:p>
      <w:pPr>
        <w:spacing w:after="0" w:line="105" w:lineRule="exact"/>
        <w:rPr>
          <w:sz w:val="20"/>
          <w:szCs w:val="20"/>
          <w:color w:val="auto"/>
        </w:rPr>
      </w:pPr>
    </w:p>
    <w:p>
      <w:pPr>
        <w:ind w:left="540" w:firstLine="14"/>
        <w:spacing w:after="0" w:line="385" w:lineRule="auto"/>
        <w:rPr>
          <w:sz w:val="20"/>
          <w:szCs w:val="20"/>
          <w:color w:val="auto"/>
        </w:rPr>
      </w:pPr>
      <w:r>
        <w:rPr>
          <w:rFonts w:ascii="Arial" w:cs="Arial" w:eastAsia="Arial" w:hAnsi="Arial"/>
          <w:sz w:val="15"/>
          <w:szCs w:val="15"/>
          <w:color w:val="383836"/>
        </w:rPr>
        <w:t>The maximum amount of coverage for Reputational injury available for any one occurrence is $25,000 or the amount shown in the Coverage Summary. We will not pay more than this amount in any one occurrence for co</w:t>
      </w:r>
      <w:r>
        <w:rPr>
          <w:rFonts w:ascii="Arial" w:cs="Arial" w:eastAsia="Arial" w:hAnsi="Arial"/>
          <w:sz w:val="15"/>
          <w:szCs w:val="15"/>
          <w:color w:val="525250"/>
        </w:rPr>
        <w:t>v</w:t>
      </w:r>
      <w:r>
        <w:rPr>
          <w:rFonts w:ascii="Arial" w:cs="Arial" w:eastAsia="Arial" w:hAnsi="Arial"/>
          <w:sz w:val="15"/>
          <w:szCs w:val="15"/>
          <w:color w:val="383836"/>
        </w:rPr>
        <w:t>ered damages regardless of how many claims or people are involved in the occurrence.</w:t>
      </w:r>
    </w:p>
    <w:p>
      <w:pPr>
        <w:spacing w:after="0" w:line="41" w:lineRule="exact"/>
        <w:rPr>
          <w:sz w:val="20"/>
          <w:szCs w:val="20"/>
          <w:color w:val="auto"/>
        </w:rPr>
      </w:pPr>
    </w:p>
    <w:p>
      <w:pPr>
        <w:ind w:left="560" w:right="20"/>
        <w:spacing w:after="0" w:line="346" w:lineRule="auto"/>
        <w:rPr>
          <w:sz w:val="20"/>
          <w:szCs w:val="20"/>
          <w:color w:val="auto"/>
        </w:rPr>
      </w:pPr>
      <w:r>
        <w:rPr>
          <w:rFonts w:ascii="Arial" w:cs="Arial" w:eastAsia="Arial" w:hAnsi="Arial"/>
          <w:sz w:val="16"/>
          <w:szCs w:val="16"/>
          <w:color w:val="383836"/>
        </w:rPr>
        <w:t>The maximum annual amount of coverage for Reputational injury shown in the Coverage Summary is the most we will pay for the sum of all covered damages you or a family member incur during the policy period regardless of the number of claims, people, or occurrences</w:t>
      </w:r>
      <w:r>
        <w:rPr>
          <w:rFonts w:ascii="Arial" w:cs="Arial" w:eastAsia="Arial" w:hAnsi="Arial"/>
          <w:sz w:val="16"/>
          <w:szCs w:val="16"/>
          <w:color w:val="666664"/>
        </w:rPr>
        <w:t>.</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16"/>
          <w:szCs w:val="16"/>
          <w:color w:val="383836"/>
        </w:rPr>
        <w:t>This coverage does not apply to loss caused by a wrongful employment act covered by Employment Practices Liability Insurance</w:t>
      </w:r>
      <w:r>
        <w:rPr>
          <w:rFonts w:ascii="Arial" w:cs="Arial" w:eastAsia="Arial" w:hAnsi="Arial"/>
          <w:sz w:val="16"/>
          <w:szCs w:val="16"/>
          <w:color w:val="525250"/>
        </w:rPr>
        <w:t>.</w:t>
      </w:r>
    </w:p>
    <w:p>
      <w:pPr>
        <w:spacing w:after="0" w:line="200" w:lineRule="exact"/>
        <w:rPr>
          <w:sz w:val="20"/>
          <w:szCs w:val="20"/>
          <w:color w:val="auto"/>
        </w:rPr>
      </w:pPr>
    </w:p>
    <w:p>
      <w:pPr>
        <w:spacing w:after="0" w:line="215" w:lineRule="exact"/>
        <w:rPr>
          <w:sz w:val="20"/>
          <w:szCs w:val="20"/>
          <w:color w:val="auto"/>
        </w:rPr>
      </w:pPr>
    </w:p>
    <w:p>
      <w:pPr>
        <w:ind w:left="560"/>
        <w:spacing w:after="0"/>
        <w:rPr>
          <w:sz w:val="20"/>
          <w:szCs w:val="20"/>
          <w:color w:val="auto"/>
        </w:rPr>
      </w:pPr>
      <w:r>
        <w:rPr>
          <w:rFonts w:ascii="Arial" w:cs="Arial" w:eastAsia="Arial" w:hAnsi="Arial"/>
          <w:sz w:val="22"/>
          <w:szCs w:val="22"/>
          <w:b w:val="1"/>
          <w:bCs w:val="1"/>
          <w:i w:val="1"/>
          <w:iCs w:val="1"/>
          <w:color w:val="383836"/>
        </w:rPr>
        <w:t>Exclusions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383836"/>
        </w:rPr>
        <w:t>These exclusions apply to your Group Personal Excess Liability Coverage, unless stated otherwise.</w:t>
      </w:r>
    </w:p>
    <w:p>
      <w:pPr>
        <w:spacing w:after="0" w:line="177" w:lineRule="exact"/>
        <w:rPr>
          <w:sz w:val="20"/>
          <w:szCs w:val="20"/>
          <w:color w:val="auto"/>
        </w:rPr>
      </w:pPr>
    </w:p>
    <w:p>
      <w:pPr>
        <w:ind w:left="580" w:right="20" w:hanging="39"/>
        <w:spacing w:after="0" w:line="385" w:lineRule="auto"/>
        <w:rPr>
          <w:sz w:val="20"/>
          <w:szCs w:val="20"/>
          <w:color w:val="auto"/>
        </w:rPr>
      </w:pPr>
      <w:r>
        <w:rPr>
          <w:rFonts w:ascii="Arial" w:cs="Arial" w:eastAsia="Arial" w:hAnsi="Arial"/>
          <w:sz w:val="15"/>
          <w:szCs w:val="15"/>
          <w:b w:val="1"/>
          <w:bCs w:val="1"/>
          <w:color w:val="383836"/>
        </w:rPr>
        <w:t>Aircraft</w:t>
      </w:r>
      <w:r>
        <w:rPr>
          <w:rFonts w:ascii="Arial" w:cs="Arial" w:eastAsia="Arial" w:hAnsi="Arial"/>
          <w:sz w:val="15"/>
          <w:szCs w:val="15"/>
          <w:b w:val="1"/>
          <w:bCs w:val="1"/>
          <w:color w:val="525250"/>
        </w:rPr>
        <w:t>.</w:t>
      </w:r>
      <w:r>
        <w:rPr>
          <w:rFonts w:ascii="Arial" w:cs="Arial" w:eastAsia="Arial" w:hAnsi="Arial"/>
          <w:sz w:val="15"/>
          <w:szCs w:val="15"/>
          <w:b w:val="1"/>
          <w:bCs w:val="1"/>
          <w:color w:val="383836"/>
        </w:rPr>
        <w:t xml:space="preserve"> </w:t>
      </w:r>
      <w:r>
        <w:rPr>
          <w:rFonts w:ascii="Arial" w:cs="Arial" w:eastAsia="Arial" w:hAnsi="Arial"/>
          <w:sz w:val="15"/>
          <w:szCs w:val="15"/>
          <w:color w:val="383836"/>
        </w:rPr>
        <w:t>We do not cover any damages arising out of the ownership, maintenance, use, loading, unloading, or towing of any aircraft, except aircraft chartered</w:t>
      </w:r>
      <w:r>
        <w:rPr>
          <w:rFonts w:ascii="Arial" w:cs="Arial" w:eastAsia="Arial" w:hAnsi="Arial"/>
          <w:sz w:val="15"/>
          <w:szCs w:val="15"/>
          <w:b w:val="1"/>
          <w:bCs w:val="1"/>
          <w:color w:val="383836"/>
        </w:rPr>
        <w:t xml:space="preserve"> </w:t>
      </w:r>
      <w:r>
        <w:rPr>
          <w:rFonts w:ascii="Arial" w:cs="Arial" w:eastAsia="Arial" w:hAnsi="Arial"/>
          <w:sz w:val="15"/>
          <w:szCs w:val="15"/>
          <w:color w:val="383836"/>
        </w:rPr>
        <w:t>with</w:t>
      </w:r>
      <w:r>
        <w:rPr>
          <w:rFonts w:ascii="Arial" w:cs="Arial" w:eastAsia="Arial" w:hAnsi="Arial"/>
          <w:sz w:val="15"/>
          <w:szCs w:val="15"/>
          <w:b w:val="1"/>
          <w:bCs w:val="1"/>
          <w:color w:val="383836"/>
        </w:rPr>
        <w:t xml:space="preserve"> </w:t>
      </w:r>
      <w:r>
        <w:rPr>
          <w:rFonts w:ascii="Arial" w:cs="Arial" w:eastAsia="Arial" w:hAnsi="Arial"/>
          <w:sz w:val="15"/>
          <w:szCs w:val="15"/>
          <w:color w:val="383836"/>
        </w:rPr>
        <w:t xml:space="preserve">crew by you. We do not cover any property damages to </w:t>
      </w:r>
      <w:r>
        <w:rPr>
          <w:rFonts w:ascii="Arial" w:cs="Arial" w:eastAsia="Arial" w:hAnsi="Arial"/>
          <w:sz w:val="17"/>
          <w:szCs w:val="17"/>
          <w:color w:val="383836"/>
        </w:rPr>
        <w:t>aircraft</w:t>
      </w:r>
      <w:r>
        <w:rPr>
          <w:rFonts w:ascii="Arial" w:cs="Arial" w:eastAsia="Arial" w:hAnsi="Arial"/>
          <w:sz w:val="15"/>
          <w:szCs w:val="15"/>
          <w:color w:val="383836"/>
        </w:rPr>
        <w:t xml:space="preserve"> rented to, owned </w:t>
      </w:r>
      <w:r>
        <w:rPr>
          <w:rFonts w:ascii="Arial" w:cs="Arial" w:eastAsia="Arial" w:hAnsi="Arial"/>
          <w:sz w:val="16"/>
          <w:szCs w:val="16"/>
          <w:color w:val="383836"/>
        </w:rPr>
        <w:t>by,</w:t>
      </w:r>
      <w:r>
        <w:rPr>
          <w:rFonts w:ascii="Arial" w:cs="Arial" w:eastAsia="Arial" w:hAnsi="Arial"/>
          <w:sz w:val="15"/>
          <w:szCs w:val="15"/>
          <w:color w:val="383836"/>
        </w:rPr>
        <w:t xml:space="preserve"> or </w:t>
      </w:r>
      <w:r>
        <w:rPr>
          <w:rFonts w:ascii="Arial" w:cs="Arial" w:eastAsia="Arial" w:hAnsi="Arial"/>
          <w:sz w:val="17"/>
          <w:szCs w:val="17"/>
          <w:color w:val="383836"/>
        </w:rPr>
        <w:t>in</w:t>
      </w:r>
      <w:r>
        <w:rPr>
          <w:rFonts w:ascii="Arial" w:cs="Arial" w:eastAsia="Arial" w:hAnsi="Arial"/>
          <w:sz w:val="15"/>
          <w:szCs w:val="15"/>
          <w:color w:val="383836"/>
        </w:rPr>
        <w:t xml:space="preserve"> the care, custody or control of a covered person</w:t>
      </w:r>
      <w:r>
        <w:rPr>
          <w:rFonts w:ascii="Arial" w:cs="Arial" w:eastAsia="Arial" w:hAnsi="Arial"/>
          <w:sz w:val="15"/>
          <w:szCs w:val="15"/>
          <w:color w:val="525250"/>
        </w:rPr>
        <w:t>.</w:t>
      </w:r>
    </w:p>
    <w:p>
      <w:pPr>
        <w:spacing w:after="0" w:line="207" w:lineRule="exact"/>
        <w:rPr>
          <w:sz w:val="20"/>
          <w:szCs w:val="20"/>
          <w:color w:val="auto"/>
        </w:rPr>
      </w:pPr>
    </w:p>
    <w:p>
      <w:pPr>
        <w:ind w:left="560"/>
        <w:spacing w:after="0" w:line="351" w:lineRule="auto"/>
        <w:rPr>
          <w:sz w:val="20"/>
          <w:szCs w:val="20"/>
          <w:color w:val="auto"/>
        </w:rPr>
      </w:pPr>
      <w:r>
        <w:rPr>
          <w:rFonts w:ascii="Arial" w:cs="Arial" w:eastAsia="Arial" w:hAnsi="Arial"/>
          <w:sz w:val="16"/>
          <w:szCs w:val="16"/>
          <w:b w:val="1"/>
          <w:bCs w:val="1"/>
          <w:color w:val="383836"/>
        </w:rPr>
        <w:t xml:space="preserve">Hovercraft. </w:t>
      </w:r>
      <w:r>
        <w:rPr>
          <w:rFonts w:ascii="Arial" w:cs="Arial" w:eastAsia="Arial" w:hAnsi="Arial"/>
          <w:sz w:val="16"/>
          <w:szCs w:val="16"/>
          <w:color w:val="383836"/>
        </w:rPr>
        <w:t>We do not cover any damages arising out of the ownership, maintenance, use, loading, unloading or towing of any hovercraft. We do not cover any</w:t>
      </w:r>
      <w:r>
        <w:rPr>
          <w:rFonts w:ascii="Arial" w:cs="Arial" w:eastAsia="Arial" w:hAnsi="Arial"/>
          <w:sz w:val="16"/>
          <w:szCs w:val="16"/>
          <w:b w:val="1"/>
          <w:bCs w:val="1"/>
          <w:color w:val="383836"/>
        </w:rPr>
        <w:t xml:space="preserve"> </w:t>
      </w:r>
      <w:r>
        <w:rPr>
          <w:rFonts w:ascii="Arial" w:cs="Arial" w:eastAsia="Arial" w:hAnsi="Arial"/>
          <w:sz w:val="16"/>
          <w:szCs w:val="16"/>
          <w:color w:val="383836"/>
        </w:rPr>
        <w:t>property damages to hovercraft rented to, owned by, or in the care, custody or control of a covered person</w:t>
      </w:r>
      <w:r>
        <w:rPr>
          <w:rFonts w:ascii="Arial" w:cs="Arial" w:eastAsia="Arial" w:hAnsi="Arial"/>
          <w:sz w:val="16"/>
          <w:szCs w:val="16"/>
          <w:color w:val="525250"/>
        </w:rPr>
        <w: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8 of 15</w:t>
      </w:r>
    </w:p>
    <w:p>
      <w:pPr>
        <w:sectPr>
          <w:pgSz w:w="11900" w:h="16838" w:orient="portrait"/>
          <w:cols w:equalWidth="0" w:num="1">
            <w:col w:w="11420"/>
          </w:cols>
          <w:pgMar w:left="240" w:top="757" w:right="239" w:bottom="1440" w:gutter="0" w:footer="0" w:header="0"/>
        </w:sectPr>
      </w:pPr>
    </w:p>
    <w:bookmarkStart w:id="150" w:name="page151"/>
    <w:bookmarkEnd w:id="150"/>
    <w:p>
      <w:pPr>
        <w:spacing w:after="0"/>
        <w:rPr>
          <w:sz w:val="20"/>
          <w:szCs w:val="20"/>
          <w:color w:val="auto"/>
        </w:rPr>
      </w:pPr>
      <w:r>
        <w:rPr>
          <w:rFonts w:ascii="Arial" w:cs="Arial" w:eastAsia="Arial" w:hAnsi="Arial"/>
          <w:sz w:val="12"/>
          <w:szCs w:val="12"/>
          <w:color w:val="auto"/>
        </w:rPr>
        <w:t>_________________________________________________________________________________________________________________________</w:t>
      </w:r>
    </w:p>
    <w:p>
      <w:pPr>
        <w:spacing w:after="0" w:line="65"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8 of 15</w:t>
      </w:r>
    </w:p>
    <w:p>
      <w:pPr>
        <w:sectPr>
          <w:pgSz w:w="11900" w:h="16838" w:orient="portrait"/>
          <w:cols w:equalWidth="0" w:num="1">
            <w:col w:w="10219"/>
          </w:cols>
          <w:pgMar w:left="240" w:top="1066" w:right="1440" w:bottom="1440" w:gutter="0" w:footer="0" w:header="0"/>
        </w:sectPr>
      </w:pPr>
    </w:p>
    <w:bookmarkStart w:id="151" w:name="page152"/>
    <w:bookmarkEnd w:id="151"/>
    <w:p>
      <w:pPr>
        <w:ind w:left="120"/>
        <w:spacing w:after="0"/>
        <w:rPr>
          <w:sz w:val="20"/>
          <w:szCs w:val="20"/>
          <w:color w:val="auto"/>
        </w:rPr>
      </w:pPr>
      <w:r>
        <w:rPr>
          <w:rFonts w:ascii="Arial" w:cs="Arial" w:eastAsia="Arial" w:hAnsi="Arial"/>
          <w:sz w:val="22"/>
          <w:szCs w:val="22"/>
          <w:b w:val="1"/>
          <w:bCs w:val="1"/>
          <w:i w:val="1"/>
          <w:iCs w:val="1"/>
          <w:color w:val="42423F"/>
        </w:rPr>
        <w:t>Exclusions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42423F"/>
        </w:rPr>
        <w:t>(continued)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42423F"/>
        </w:rPr>
        <w:t xml:space="preserve">Motorized land vehicle racing or track usage. We do </w:t>
      </w:r>
      <w:r>
        <w:rPr>
          <w:rFonts w:ascii="Arial" w:cs="Arial" w:eastAsia="Arial" w:hAnsi="Arial"/>
          <w:sz w:val="16"/>
          <w:szCs w:val="16"/>
          <w:color w:val="31312F"/>
        </w:rPr>
        <w:t>not</w:t>
      </w:r>
      <w:r>
        <w:rPr>
          <w:rFonts w:ascii="Arial" w:cs="Arial" w:eastAsia="Arial" w:hAnsi="Arial"/>
          <w:sz w:val="16"/>
          <w:szCs w:val="16"/>
          <w:color w:val="42423F"/>
        </w:rPr>
        <w:t xml:space="preserve"> cover any damages arising out of the ownership, maintenance or </w:t>
      </w:r>
      <w:r>
        <w:rPr>
          <w:rFonts w:ascii="Arial" w:cs="Arial" w:eastAsia="Arial" w:hAnsi="Arial"/>
          <w:sz w:val="16"/>
          <w:szCs w:val="16"/>
          <w:color w:val="31312F"/>
        </w:rPr>
        <w:t>use</w:t>
      </w:r>
      <w:r>
        <w:rPr>
          <w:rFonts w:ascii="Arial" w:cs="Arial" w:eastAsia="Arial" w:hAnsi="Arial"/>
          <w:sz w:val="16"/>
          <w:szCs w:val="16"/>
          <w:color w:val="42423F"/>
        </w:rPr>
        <w:t xml:space="preserve"> of any </w:t>
      </w:r>
      <w:r>
        <w:rPr>
          <w:rFonts w:ascii="Arial" w:cs="Arial" w:eastAsia="Arial" w:hAnsi="Arial"/>
          <w:sz w:val="16"/>
          <w:szCs w:val="16"/>
          <w:color w:val="31312F"/>
        </w:rPr>
        <w:t>motorized</w:t>
      </w:r>
      <w:r>
        <w:rPr>
          <w:rFonts w:ascii="Arial" w:cs="Arial" w:eastAsia="Arial" w:hAnsi="Arial"/>
          <w:sz w:val="16"/>
          <w:szCs w:val="16"/>
          <w:color w:val="42423F"/>
        </w:rPr>
        <w:t xml:space="preserve"> land vehicle:</w:t>
      </w:r>
    </w:p>
    <w:p>
      <w:pPr>
        <w:spacing w:after="0" w:line="32" w:lineRule="exact"/>
        <w:rPr>
          <w:sz w:val="20"/>
          <w:szCs w:val="20"/>
          <w:color w:val="auto"/>
        </w:rPr>
      </w:pPr>
    </w:p>
    <w:p>
      <w:pPr>
        <w:ind w:left="460" w:right="3360" w:hanging="330"/>
        <w:spacing w:after="0" w:line="275" w:lineRule="auto"/>
        <w:tabs>
          <w:tab w:leader="none" w:pos="446" w:val="left"/>
        </w:tabs>
        <w:numPr>
          <w:ilvl w:val="0"/>
          <w:numId w:val="107"/>
        </w:numPr>
        <w:rPr>
          <w:rFonts w:ascii="Arial" w:cs="Arial" w:eastAsia="Arial" w:hAnsi="Arial"/>
          <w:sz w:val="15"/>
          <w:szCs w:val="15"/>
          <w:color w:val="auto"/>
        </w:rPr>
      </w:pPr>
      <w:r>
        <w:rPr>
          <w:rFonts w:ascii="Arial" w:cs="Arial" w:eastAsia="Arial" w:hAnsi="Arial"/>
          <w:sz w:val="15"/>
          <w:szCs w:val="15"/>
          <w:color w:val="42423F"/>
        </w:rPr>
        <w:t>during any instruction</w:t>
      </w:r>
      <w:r>
        <w:rPr>
          <w:rFonts w:ascii="Arial" w:cs="Arial" w:eastAsia="Arial" w:hAnsi="Arial"/>
          <w:sz w:val="15"/>
          <w:szCs w:val="15"/>
          <w:color w:val="5D5D5B"/>
        </w:rPr>
        <w:t>,</w:t>
      </w:r>
      <w:r>
        <w:rPr>
          <w:rFonts w:ascii="Arial" w:cs="Arial" w:eastAsia="Arial" w:hAnsi="Arial"/>
          <w:sz w:val="15"/>
          <w:szCs w:val="15"/>
          <w:color w:val="42423F"/>
        </w:rPr>
        <w:t xml:space="preserve"> practice, preparation for, or participation in, any competitive, prearranged or organized racing, speed contest, rally, gymkhana, sports event, stunting activity, or timed event of any kind; or</w:t>
      </w:r>
    </w:p>
    <w:p>
      <w:pPr>
        <w:ind w:left="460" w:hanging="317"/>
        <w:spacing w:after="0"/>
        <w:tabs>
          <w:tab w:leader="none" w:pos="460" w:val="left"/>
        </w:tabs>
        <w:numPr>
          <w:ilvl w:val="1"/>
          <w:numId w:val="107"/>
        </w:numPr>
        <w:rPr>
          <w:rFonts w:ascii="Arial" w:cs="Arial" w:eastAsia="Arial" w:hAnsi="Arial"/>
          <w:sz w:val="16"/>
          <w:szCs w:val="16"/>
          <w:color w:val="auto"/>
        </w:rPr>
      </w:pPr>
      <w:r>
        <w:rPr>
          <w:rFonts w:ascii="Arial" w:cs="Arial" w:eastAsia="Arial" w:hAnsi="Arial"/>
          <w:sz w:val="16"/>
          <w:szCs w:val="16"/>
          <w:color w:val="42423F"/>
        </w:rPr>
        <w:t>on a racetrack, test track or other course of any kind.</w:t>
      </w:r>
    </w:p>
    <w:p>
      <w:pPr>
        <w:spacing w:after="0" w:line="136" w:lineRule="exact"/>
        <w:rPr>
          <w:sz w:val="20"/>
          <w:szCs w:val="20"/>
          <w:color w:val="auto"/>
        </w:rPr>
      </w:pPr>
    </w:p>
    <w:p>
      <w:pPr>
        <w:jc w:val="both"/>
        <w:ind w:left="140"/>
        <w:spacing w:after="0" w:line="324" w:lineRule="auto"/>
        <w:rPr>
          <w:sz w:val="20"/>
          <w:szCs w:val="20"/>
          <w:color w:val="auto"/>
        </w:rPr>
      </w:pPr>
      <w:r>
        <w:rPr>
          <w:rFonts w:ascii="Arial" w:cs="Arial" w:eastAsia="Arial" w:hAnsi="Arial"/>
          <w:sz w:val="15"/>
          <w:szCs w:val="15"/>
          <w:color w:val="42423F"/>
        </w:rPr>
        <w:t>Watercraft and aircraft racing or track usage</w:t>
      </w:r>
      <w:r>
        <w:rPr>
          <w:rFonts w:ascii="Arial" w:cs="Arial" w:eastAsia="Arial" w:hAnsi="Arial"/>
          <w:sz w:val="15"/>
          <w:szCs w:val="15"/>
          <w:color w:val="5D5D5B"/>
        </w:rPr>
        <w:t>.</w:t>
      </w:r>
      <w:r>
        <w:rPr>
          <w:rFonts w:ascii="Arial" w:cs="Arial" w:eastAsia="Arial" w:hAnsi="Arial"/>
          <w:sz w:val="15"/>
          <w:szCs w:val="15"/>
          <w:color w:val="42423F"/>
        </w:rPr>
        <w:t xml:space="preserve"> We do not cover any damages arising out of the ownership, maintenance or use of </w:t>
      </w:r>
      <w:r>
        <w:rPr>
          <w:rFonts w:ascii="Arial" w:cs="Arial" w:eastAsia="Arial" w:hAnsi="Arial"/>
          <w:sz w:val="15"/>
          <w:szCs w:val="15"/>
          <w:color w:val="31312F"/>
        </w:rPr>
        <w:t>any</w:t>
      </w:r>
      <w:r>
        <w:rPr>
          <w:rFonts w:ascii="Arial" w:cs="Arial" w:eastAsia="Arial" w:hAnsi="Arial"/>
          <w:sz w:val="15"/>
          <w:szCs w:val="15"/>
          <w:color w:val="42423F"/>
        </w:rPr>
        <w:t xml:space="preserve"> watercraft or aircraft during </w:t>
      </w:r>
      <w:r>
        <w:rPr>
          <w:rFonts w:ascii="Arial" w:cs="Arial" w:eastAsia="Arial" w:hAnsi="Arial"/>
          <w:sz w:val="15"/>
          <w:szCs w:val="15"/>
          <w:color w:val="31312F"/>
        </w:rPr>
        <w:t>any</w:t>
      </w:r>
      <w:r>
        <w:rPr>
          <w:rFonts w:ascii="Arial" w:cs="Arial" w:eastAsia="Arial" w:hAnsi="Arial"/>
          <w:sz w:val="15"/>
          <w:szCs w:val="15"/>
          <w:color w:val="42423F"/>
        </w:rPr>
        <w:t xml:space="preserve"> instruction, practice, preparation for, or participation in, any competitive, prearranged or organized racing, speed contest, rally, sports event, stunting activity or timed event of any kind. This exclusion does not apply to you or a family member for sailboat racing even if the sailboat is equipped </w:t>
      </w:r>
      <w:r>
        <w:rPr>
          <w:rFonts w:ascii="Arial" w:cs="Arial" w:eastAsia="Arial" w:hAnsi="Arial"/>
          <w:sz w:val="15"/>
          <w:szCs w:val="15"/>
          <w:color w:val="31312F"/>
        </w:rPr>
        <w:t>with</w:t>
      </w:r>
      <w:r>
        <w:rPr>
          <w:rFonts w:ascii="Arial" w:cs="Arial" w:eastAsia="Arial" w:hAnsi="Arial"/>
          <w:sz w:val="15"/>
          <w:szCs w:val="15"/>
          <w:color w:val="42423F"/>
        </w:rPr>
        <w:t xml:space="preserve"> an auxiliary motor</w:t>
      </w:r>
      <w:r>
        <w:rPr>
          <w:rFonts w:ascii="Arial" w:cs="Arial" w:eastAsia="Arial" w:hAnsi="Arial"/>
          <w:sz w:val="15"/>
          <w:szCs w:val="15"/>
          <w:color w:val="5D5D5B"/>
        </w:rPr>
        <w:t>.</w:t>
      </w:r>
    </w:p>
    <w:p>
      <w:pPr>
        <w:spacing w:after="0" w:line="85" w:lineRule="exact"/>
        <w:rPr>
          <w:sz w:val="20"/>
          <w:szCs w:val="20"/>
          <w:color w:val="auto"/>
        </w:rPr>
      </w:pPr>
    </w:p>
    <w:p>
      <w:pPr>
        <w:jc w:val="both"/>
        <w:ind w:left="140"/>
        <w:spacing w:after="0" w:line="309" w:lineRule="auto"/>
        <w:rPr>
          <w:sz w:val="20"/>
          <w:szCs w:val="20"/>
          <w:color w:val="auto"/>
        </w:rPr>
      </w:pPr>
      <w:r>
        <w:rPr>
          <w:rFonts w:ascii="Arial" w:cs="Arial" w:eastAsia="Arial" w:hAnsi="Arial"/>
          <w:sz w:val="16"/>
          <w:szCs w:val="16"/>
          <w:color w:val="42423F"/>
        </w:rPr>
        <w:t xml:space="preserve">Motorized land vehicle-related jobs. We do not cover any damages arising out of the ownership, maintenance, or use of a motorized land vehicle by any person who is employed or otherwise engaged in the </w:t>
      </w:r>
      <w:r>
        <w:rPr>
          <w:rFonts w:ascii="Arial" w:cs="Arial" w:eastAsia="Arial" w:hAnsi="Arial"/>
          <w:sz w:val="16"/>
          <w:szCs w:val="16"/>
          <w:color w:val="31312F"/>
        </w:rPr>
        <w:t>business</w:t>
      </w:r>
      <w:r>
        <w:rPr>
          <w:rFonts w:ascii="Arial" w:cs="Arial" w:eastAsia="Arial" w:hAnsi="Arial"/>
          <w:sz w:val="16"/>
          <w:szCs w:val="16"/>
          <w:color w:val="42423F"/>
        </w:rPr>
        <w:t xml:space="preserve"> of selling, repairing, servicing, storing, parking, testing, or delivering motorized land vehicles</w:t>
      </w:r>
      <w:r>
        <w:rPr>
          <w:rFonts w:ascii="Arial" w:cs="Arial" w:eastAsia="Arial" w:hAnsi="Arial"/>
          <w:sz w:val="16"/>
          <w:szCs w:val="16"/>
          <w:color w:val="5D5D5B"/>
        </w:rPr>
        <w:t>.</w:t>
      </w:r>
      <w:r>
        <w:rPr>
          <w:rFonts w:ascii="Arial" w:cs="Arial" w:eastAsia="Arial" w:hAnsi="Arial"/>
          <w:sz w:val="16"/>
          <w:szCs w:val="16"/>
          <w:color w:val="42423F"/>
        </w:rPr>
        <w:t xml:space="preserve"> This exclusion does not apply to you, a family member, or your employee or an employee of a family member for damages arising out of the ownership, maintenance or </w:t>
      </w:r>
      <w:r>
        <w:rPr>
          <w:rFonts w:ascii="Arial" w:cs="Arial" w:eastAsia="Arial" w:hAnsi="Arial"/>
          <w:sz w:val="16"/>
          <w:szCs w:val="16"/>
          <w:color w:val="31312F"/>
        </w:rPr>
        <w:t>use</w:t>
      </w:r>
      <w:r>
        <w:rPr>
          <w:rFonts w:ascii="Arial" w:cs="Arial" w:eastAsia="Arial" w:hAnsi="Arial"/>
          <w:sz w:val="16"/>
          <w:szCs w:val="16"/>
          <w:color w:val="42423F"/>
        </w:rPr>
        <w:t xml:space="preserve"> of a motorized land vehicle owned by</w:t>
      </w:r>
      <w:r>
        <w:rPr>
          <w:rFonts w:ascii="Arial" w:cs="Arial" w:eastAsia="Arial" w:hAnsi="Arial"/>
          <w:sz w:val="16"/>
          <w:szCs w:val="16"/>
          <w:color w:val="5D5D5B"/>
        </w:rPr>
        <w:t>,</w:t>
      </w:r>
      <w:r>
        <w:rPr>
          <w:rFonts w:ascii="Arial" w:cs="Arial" w:eastAsia="Arial" w:hAnsi="Arial"/>
          <w:sz w:val="16"/>
          <w:szCs w:val="16"/>
          <w:color w:val="42423F"/>
        </w:rPr>
        <w:t xml:space="preserve"> rented to, or furnished to you or a family member.</w:t>
      </w:r>
    </w:p>
    <w:p>
      <w:pPr>
        <w:spacing w:after="0" w:line="169" w:lineRule="exact"/>
        <w:rPr>
          <w:sz w:val="20"/>
          <w:szCs w:val="20"/>
          <w:color w:val="auto"/>
        </w:rPr>
      </w:pPr>
    </w:p>
    <w:p>
      <w:pPr>
        <w:jc w:val="both"/>
        <w:ind w:left="140" w:right="20"/>
        <w:spacing w:after="0" w:line="310" w:lineRule="auto"/>
        <w:rPr>
          <w:sz w:val="20"/>
          <w:szCs w:val="20"/>
          <w:color w:val="auto"/>
        </w:rPr>
      </w:pPr>
      <w:r>
        <w:rPr>
          <w:rFonts w:ascii="Arial" w:cs="Arial" w:eastAsia="Arial" w:hAnsi="Arial"/>
          <w:sz w:val="16"/>
          <w:szCs w:val="16"/>
          <w:b w:val="1"/>
          <w:bCs w:val="1"/>
          <w:color w:val="42423F"/>
        </w:rPr>
        <w:t>Watercraft related jobs</w:t>
      </w:r>
      <w:r>
        <w:rPr>
          <w:rFonts w:ascii="Arial" w:cs="Arial" w:eastAsia="Arial" w:hAnsi="Arial"/>
          <w:sz w:val="16"/>
          <w:szCs w:val="16"/>
          <w:b w:val="1"/>
          <w:bCs w:val="1"/>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We do not cover any damages arising out of the ownership, maintenance, or</w:t>
      </w:r>
      <w:r>
        <w:rPr>
          <w:rFonts w:ascii="Arial" w:cs="Arial" w:eastAsia="Arial" w:hAnsi="Arial"/>
          <w:sz w:val="16"/>
          <w:szCs w:val="16"/>
          <w:b w:val="1"/>
          <w:bCs w:val="1"/>
          <w:color w:val="42423F"/>
        </w:rPr>
        <w:t xml:space="preserve"> </w:t>
      </w:r>
      <w:r>
        <w:rPr>
          <w:rFonts w:ascii="Arial" w:cs="Arial" w:eastAsia="Arial" w:hAnsi="Arial"/>
          <w:sz w:val="16"/>
          <w:szCs w:val="16"/>
          <w:color w:val="31312F"/>
        </w:rPr>
        <w:t>use</w:t>
      </w:r>
      <w:r>
        <w:rPr>
          <w:rFonts w:ascii="Arial" w:cs="Arial" w:eastAsia="Arial" w:hAnsi="Arial"/>
          <w:sz w:val="16"/>
          <w:szCs w:val="16"/>
          <w:b w:val="1"/>
          <w:bCs w:val="1"/>
          <w:color w:val="42423F"/>
        </w:rPr>
        <w:t xml:space="preserve"> </w:t>
      </w:r>
      <w:r>
        <w:rPr>
          <w:rFonts w:ascii="Arial" w:cs="Arial" w:eastAsia="Arial" w:hAnsi="Arial"/>
          <w:sz w:val="16"/>
          <w:szCs w:val="16"/>
          <w:color w:val="42423F"/>
        </w:rPr>
        <w:t>of a watercraft</w:t>
      </w:r>
      <w:r>
        <w:rPr>
          <w:rFonts w:ascii="Arial" w:cs="Arial" w:eastAsia="Arial" w:hAnsi="Arial"/>
          <w:sz w:val="16"/>
          <w:szCs w:val="16"/>
          <w:b w:val="1"/>
          <w:bCs w:val="1"/>
          <w:color w:val="42423F"/>
        </w:rPr>
        <w:t xml:space="preserve"> </w:t>
      </w:r>
      <w:r>
        <w:rPr>
          <w:rFonts w:ascii="Arial" w:cs="Arial" w:eastAsia="Arial" w:hAnsi="Arial"/>
          <w:sz w:val="16"/>
          <w:szCs w:val="16"/>
          <w:color w:val="31312F"/>
        </w:rPr>
        <w:t>by</w:t>
      </w:r>
      <w:r>
        <w:rPr>
          <w:rFonts w:ascii="Arial" w:cs="Arial" w:eastAsia="Arial" w:hAnsi="Arial"/>
          <w:sz w:val="16"/>
          <w:szCs w:val="16"/>
          <w:b w:val="1"/>
          <w:bCs w:val="1"/>
          <w:color w:val="42423F"/>
        </w:rPr>
        <w:t xml:space="preserve"> </w:t>
      </w:r>
      <w:r>
        <w:rPr>
          <w:rFonts w:ascii="Arial" w:cs="Arial" w:eastAsia="Arial" w:hAnsi="Arial"/>
          <w:sz w:val="16"/>
          <w:szCs w:val="16"/>
          <w:color w:val="42423F"/>
        </w:rPr>
        <w:t>any person who</w:t>
      </w:r>
      <w:r>
        <w:rPr>
          <w:rFonts w:ascii="Arial" w:cs="Arial" w:eastAsia="Arial" w:hAnsi="Arial"/>
          <w:sz w:val="16"/>
          <w:szCs w:val="16"/>
          <w:b w:val="1"/>
          <w:bCs w:val="1"/>
          <w:color w:val="42423F"/>
        </w:rPr>
        <w:t xml:space="preserve"> </w:t>
      </w:r>
      <w:r>
        <w:rPr>
          <w:rFonts w:ascii="Arial" w:cs="Arial" w:eastAsia="Arial" w:hAnsi="Arial"/>
          <w:sz w:val="16"/>
          <w:szCs w:val="16"/>
          <w:color w:val="31312F"/>
        </w:rPr>
        <w:t>is</w:t>
      </w:r>
      <w:r>
        <w:rPr>
          <w:rFonts w:ascii="Arial" w:cs="Arial" w:eastAsia="Arial" w:hAnsi="Arial"/>
          <w:sz w:val="16"/>
          <w:szCs w:val="16"/>
          <w:b w:val="1"/>
          <w:bCs w:val="1"/>
          <w:color w:val="42423F"/>
        </w:rPr>
        <w:t xml:space="preserve"> </w:t>
      </w:r>
      <w:r>
        <w:rPr>
          <w:rFonts w:ascii="Arial" w:cs="Arial" w:eastAsia="Arial" w:hAnsi="Arial"/>
          <w:sz w:val="16"/>
          <w:szCs w:val="16"/>
          <w:color w:val="42423F"/>
        </w:rPr>
        <w:t>engaged by or employed by,</w:t>
      </w:r>
      <w:r>
        <w:rPr>
          <w:rFonts w:ascii="Arial" w:cs="Arial" w:eastAsia="Arial" w:hAnsi="Arial"/>
          <w:sz w:val="16"/>
          <w:szCs w:val="16"/>
          <w:b w:val="1"/>
          <w:bCs w:val="1"/>
          <w:color w:val="42423F"/>
        </w:rPr>
        <w:t xml:space="preserve"> </w:t>
      </w:r>
      <w:r>
        <w:rPr>
          <w:rFonts w:ascii="Arial" w:cs="Arial" w:eastAsia="Arial" w:hAnsi="Arial"/>
          <w:sz w:val="16"/>
          <w:szCs w:val="16"/>
          <w:color w:val="42423F"/>
        </w:rPr>
        <w:t>or is oper</w:t>
      </w:r>
      <w:r>
        <w:rPr>
          <w:rFonts w:ascii="Arial" w:cs="Arial" w:eastAsia="Arial" w:hAnsi="Arial"/>
          <w:sz w:val="16"/>
          <w:szCs w:val="16"/>
          <w:color w:val="5D5D5B"/>
        </w:rPr>
        <w:t>a</w:t>
      </w:r>
      <w:r>
        <w:rPr>
          <w:rFonts w:ascii="Arial" w:cs="Arial" w:eastAsia="Arial" w:hAnsi="Arial"/>
          <w:sz w:val="16"/>
          <w:szCs w:val="16"/>
          <w:color w:val="42423F"/>
        </w:rPr>
        <w:t xml:space="preserve">ting a marina, boat repair yard, shipyard, yacht club, boat sales agency, boat service station, or other similar organization. This exclusion does not apply </w:t>
      </w:r>
      <w:r>
        <w:rPr>
          <w:rFonts w:ascii="Arial" w:cs="Arial" w:eastAsia="Arial" w:hAnsi="Arial"/>
          <w:sz w:val="16"/>
          <w:szCs w:val="16"/>
          <w:color w:val="31312F"/>
        </w:rPr>
        <w:t>to</w:t>
      </w:r>
      <w:r>
        <w:rPr>
          <w:rFonts w:ascii="Arial" w:cs="Arial" w:eastAsia="Arial" w:hAnsi="Arial"/>
          <w:sz w:val="16"/>
          <w:szCs w:val="16"/>
          <w:color w:val="42423F"/>
        </w:rPr>
        <w:t xml:space="preserve"> damages arising out of </w:t>
      </w:r>
      <w:r>
        <w:rPr>
          <w:rFonts w:ascii="Arial" w:cs="Arial" w:eastAsia="Arial" w:hAnsi="Arial"/>
          <w:sz w:val="16"/>
          <w:szCs w:val="16"/>
          <w:color w:val="31312F"/>
        </w:rPr>
        <w:t>the</w:t>
      </w:r>
      <w:r>
        <w:rPr>
          <w:rFonts w:ascii="Arial" w:cs="Arial" w:eastAsia="Arial" w:hAnsi="Arial"/>
          <w:sz w:val="16"/>
          <w:szCs w:val="16"/>
          <w:color w:val="42423F"/>
        </w:rPr>
        <w:t xml:space="preserve"> ownership, maintenance, or use of a watercraft by you, a family member</w:t>
      </w:r>
      <w:r>
        <w:rPr>
          <w:rFonts w:ascii="Arial" w:cs="Arial" w:eastAsia="Arial" w:hAnsi="Arial"/>
          <w:sz w:val="16"/>
          <w:szCs w:val="16"/>
          <w:color w:val="5D5D5B"/>
        </w:rPr>
        <w:t>,</w:t>
      </w:r>
      <w:r>
        <w:rPr>
          <w:rFonts w:ascii="Arial" w:cs="Arial" w:eastAsia="Arial" w:hAnsi="Arial"/>
          <w:sz w:val="16"/>
          <w:szCs w:val="16"/>
          <w:color w:val="42423F"/>
        </w:rPr>
        <w:t xml:space="preserve"> or your or a family member</w:t>
      </w:r>
      <w:r>
        <w:rPr>
          <w:rFonts w:ascii="Arial" w:cs="Arial" w:eastAsia="Arial" w:hAnsi="Arial"/>
          <w:sz w:val="16"/>
          <w:szCs w:val="16"/>
          <w:color w:val="5D5D5B"/>
        </w:rPr>
        <w:t>'</w:t>
      </w:r>
      <w:r>
        <w:rPr>
          <w:rFonts w:ascii="Arial" w:cs="Arial" w:eastAsia="Arial" w:hAnsi="Arial"/>
          <w:sz w:val="16"/>
          <w:szCs w:val="16"/>
          <w:color w:val="42423F"/>
        </w:rPr>
        <w:t xml:space="preserve"> s captain or full </w:t>
      </w:r>
      <w:r>
        <w:rPr>
          <w:rFonts w:ascii="Arial" w:cs="Arial" w:eastAsia="Arial" w:hAnsi="Arial"/>
          <w:sz w:val="15"/>
          <w:szCs w:val="15"/>
          <w:color w:val="42423F"/>
        </w:rPr>
        <w:t>time</w:t>
      </w:r>
      <w:r>
        <w:rPr>
          <w:rFonts w:ascii="Arial" w:cs="Arial" w:eastAsia="Arial" w:hAnsi="Arial"/>
          <w:sz w:val="16"/>
          <w:szCs w:val="16"/>
          <w:color w:val="42423F"/>
        </w:rPr>
        <w:t xml:space="preserve"> paid crew member maintaining or </w:t>
      </w:r>
      <w:r>
        <w:rPr>
          <w:rFonts w:ascii="Arial" w:cs="Arial" w:eastAsia="Arial" w:hAnsi="Arial"/>
          <w:sz w:val="16"/>
          <w:szCs w:val="16"/>
          <w:color w:val="31312F"/>
        </w:rPr>
        <w:t>using</w:t>
      </w:r>
      <w:r>
        <w:rPr>
          <w:rFonts w:ascii="Arial" w:cs="Arial" w:eastAsia="Arial" w:hAnsi="Arial"/>
          <w:sz w:val="16"/>
          <w:szCs w:val="16"/>
          <w:color w:val="42423F"/>
        </w:rPr>
        <w:t xml:space="preserve"> this watercraft with permission from you or a family member.</w:t>
      </w:r>
    </w:p>
    <w:p>
      <w:pPr>
        <w:spacing w:after="0" w:line="211" w:lineRule="exact"/>
        <w:rPr>
          <w:sz w:val="20"/>
          <w:szCs w:val="20"/>
          <w:color w:val="auto"/>
        </w:rPr>
      </w:pPr>
    </w:p>
    <w:p>
      <w:pPr>
        <w:jc w:val="both"/>
        <w:ind w:left="140"/>
        <w:spacing w:after="0" w:line="351" w:lineRule="auto"/>
        <w:rPr>
          <w:sz w:val="20"/>
          <w:szCs w:val="20"/>
          <w:color w:val="auto"/>
        </w:rPr>
      </w:pPr>
      <w:r>
        <w:rPr>
          <w:rFonts w:ascii="Arial" w:cs="Arial" w:eastAsia="Arial" w:hAnsi="Arial"/>
          <w:sz w:val="16"/>
          <w:szCs w:val="16"/>
          <w:b w:val="1"/>
          <w:bCs w:val="1"/>
          <w:color w:val="42423F"/>
        </w:rPr>
        <w:t xml:space="preserve">Motorized land vehicle </w:t>
      </w:r>
      <w:r>
        <w:rPr>
          <w:rFonts w:ascii="Arial" w:cs="Arial" w:eastAsia="Arial" w:hAnsi="Arial"/>
          <w:sz w:val="16"/>
          <w:szCs w:val="16"/>
          <w:b w:val="1"/>
          <w:bCs w:val="1"/>
          <w:color w:val="31312F"/>
        </w:rPr>
        <w:t>and</w:t>
      </w:r>
      <w:r>
        <w:rPr>
          <w:rFonts w:ascii="Arial" w:cs="Arial" w:eastAsia="Arial" w:hAnsi="Arial"/>
          <w:sz w:val="16"/>
          <w:szCs w:val="16"/>
          <w:b w:val="1"/>
          <w:bCs w:val="1"/>
          <w:color w:val="42423F"/>
        </w:rPr>
        <w:t xml:space="preserve"> watercraft loading</w:t>
      </w:r>
      <w:r>
        <w:rPr>
          <w:rFonts w:ascii="Arial" w:cs="Arial" w:eastAsia="Arial" w:hAnsi="Arial"/>
          <w:sz w:val="16"/>
          <w:szCs w:val="16"/>
          <w:b w:val="1"/>
          <w:bCs w:val="1"/>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We do not cover any person or organization, other</w:t>
      </w:r>
      <w:r>
        <w:rPr>
          <w:rFonts w:ascii="Arial" w:cs="Arial" w:eastAsia="Arial" w:hAnsi="Arial"/>
          <w:sz w:val="16"/>
          <w:szCs w:val="16"/>
          <w:b w:val="1"/>
          <w:bCs w:val="1"/>
          <w:color w:val="42423F"/>
        </w:rPr>
        <w:t xml:space="preserve"> </w:t>
      </w:r>
      <w:r>
        <w:rPr>
          <w:rFonts w:ascii="Arial" w:cs="Arial" w:eastAsia="Arial" w:hAnsi="Arial"/>
          <w:sz w:val="16"/>
          <w:szCs w:val="16"/>
          <w:color w:val="31312F"/>
        </w:rPr>
        <w:t>than</w:t>
      </w:r>
      <w:r>
        <w:rPr>
          <w:rFonts w:ascii="Arial" w:cs="Arial" w:eastAsia="Arial" w:hAnsi="Arial"/>
          <w:sz w:val="16"/>
          <w:szCs w:val="16"/>
          <w:b w:val="1"/>
          <w:bCs w:val="1"/>
          <w:color w:val="42423F"/>
        </w:rPr>
        <w:t xml:space="preserve"> </w:t>
      </w:r>
      <w:r>
        <w:rPr>
          <w:rFonts w:ascii="Arial" w:cs="Arial" w:eastAsia="Arial" w:hAnsi="Arial"/>
          <w:sz w:val="16"/>
          <w:szCs w:val="16"/>
          <w:color w:val="42423F"/>
        </w:rPr>
        <w:t>you or a family member or your or a family member</w:t>
      </w:r>
      <w:r>
        <w:rPr>
          <w:rFonts w:ascii="Arial" w:cs="Arial" w:eastAsia="Arial" w:hAnsi="Arial"/>
          <w:sz w:val="16"/>
          <w:szCs w:val="16"/>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s employees,</w:t>
      </w:r>
      <w:r>
        <w:rPr>
          <w:rFonts w:ascii="Arial" w:cs="Arial" w:eastAsia="Arial" w:hAnsi="Arial"/>
          <w:sz w:val="16"/>
          <w:szCs w:val="16"/>
          <w:b w:val="1"/>
          <w:bCs w:val="1"/>
          <w:color w:val="42423F"/>
        </w:rPr>
        <w:t xml:space="preserve"> </w:t>
      </w:r>
      <w:r>
        <w:rPr>
          <w:rFonts w:ascii="Arial" w:cs="Arial" w:eastAsia="Arial" w:hAnsi="Arial"/>
          <w:sz w:val="16"/>
          <w:szCs w:val="16"/>
          <w:color w:val="42423F"/>
        </w:rPr>
        <w:t>with respect to the loading or unloading of motorized land vehicles or watercraft.</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2423F"/>
        </w:rPr>
        <w:t xml:space="preserve">Workers' compensation or disability. </w:t>
      </w:r>
      <w:r>
        <w:rPr>
          <w:rFonts w:ascii="Arial" w:cs="Arial" w:eastAsia="Arial" w:hAnsi="Arial"/>
          <w:sz w:val="16"/>
          <w:szCs w:val="16"/>
          <w:color w:val="42423F"/>
        </w:rPr>
        <w:t>We do</w:t>
      </w:r>
      <w:r>
        <w:rPr>
          <w:rFonts w:ascii="Arial" w:cs="Arial" w:eastAsia="Arial" w:hAnsi="Arial"/>
          <w:sz w:val="16"/>
          <w:szCs w:val="16"/>
          <w:b w:val="1"/>
          <w:bCs w:val="1"/>
          <w:color w:val="42423F"/>
        </w:rPr>
        <w:t xml:space="preserve"> </w:t>
      </w:r>
      <w:r>
        <w:rPr>
          <w:rFonts w:ascii="Arial" w:cs="Arial" w:eastAsia="Arial" w:hAnsi="Arial"/>
          <w:sz w:val="16"/>
          <w:szCs w:val="16"/>
          <w:color w:val="31312F"/>
        </w:rPr>
        <w:t>not</w:t>
      </w:r>
      <w:r>
        <w:rPr>
          <w:rFonts w:ascii="Arial" w:cs="Arial" w:eastAsia="Arial" w:hAnsi="Arial"/>
          <w:sz w:val="16"/>
          <w:szCs w:val="16"/>
          <w:b w:val="1"/>
          <w:bCs w:val="1"/>
          <w:color w:val="42423F"/>
        </w:rPr>
        <w:t xml:space="preserve"> </w:t>
      </w:r>
      <w:r>
        <w:rPr>
          <w:rFonts w:ascii="Arial" w:cs="Arial" w:eastAsia="Arial" w:hAnsi="Arial"/>
          <w:sz w:val="16"/>
          <w:szCs w:val="16"/>
          <w:color w:val="42423F"/>
        </w:rPr>
        <w:t>cover any damages a covered person is legally:</w:t>
      </w:r>
    </w:p>
    <w:p>
      <w:pPr>
        <w:spacing w:after="0" w:line="21" w:lineRule="exact"/>
        <w:rPr>
          <w:sz w:val="20"/>
          <w:szCs w:val="20"/>
          <w:color w:val="auto"/>
        </w:rPr>
      </w:pPr>
    </w:p>
    <w:p>
      <w:pPr>
        <w:ind w:left="500" w:hanging="330"/>
        <w:spacing w:after="0"/>
        <w:tabs>
          <w:tab w:leader="none" w:pos="500" w:val="left"/>
        </w:tabs>
        <w:numPr>
          <w:ilvl w:val="0"/>
          <w:numId w:val="108"/>
        </w:numPr>
        <w:rPr>
          <w:rFonts w:ascii="Arial" w:cs="Arial" w:eastAsia="Arial" w:hAnsi="Arial"/>
          <w:sz w:val="16"/>
          <w:szCs w:val="16"/>
          <w:color w:val="42423F"/>
        </w:rPr>
      </w:pPr>
      <w:r>
        <w:rPr>
          <w:rFonts w:ascii="Arial" w:cs="Arial" w:eastAsia="Arial" w:hAnsi="Arial"/>
          <w:sz w:val="15"/>
          <w:szCs w:val="15"/>
          <w:color w:val="42423F"/>
        </w:rPr>
        <w:t xml:space="preserve">required </w:t>
      </w:r>
      <w:r>
        <w:rPr>
          <w:rFonts w:ascii="Arial" w:cs="Arial" w:eastAsia="Arial" w:hAnsi="Arial"/>
          <w:sz w:val="16"/>
          <w:szCs w:val="16"/>
          <w:color w:val="42423F"/>
        </w:rPr>
        <w:t>to provide; or</w:t>
      </w:r>
    </w:p>
    <w:p>
      <w:pPr>
        <w:spacing w:after="0" w:line="10" w:lineRule="exact"/>
        <w:rPr>
          <w:rFonts w:ascii="Arial" w:cs="Arial" w:eastAsia="Arial" w:hAnsi="Arial"/>
          <w:sz w:val="16"/>
          <w:szCs w:val="16"/>
          <w:color w:val="42423F"/>
        </w:rPr>
      </w:pPr>
    </w:p>
    <w:p>
      <w:pPr>
        <w:ind w:left="180" w:right="9620" w:hanging="10"/>
        <w:spacing w:after="0" w:line="264" w:lineRule="auto"/>
        <w:tabs>
          <w:tab w:leader="none" w:pos="504" w:val="left"/>
        </w:tabs>
        <w:numPr>
          <w:ilvl w:val="0"/>
          <w:numId w:val="108"/>
        </w:numPr>
        <w:rPr>
          <w:rFonts w:ascii="Arial" w:cs="Arial" w:eastAsia="Arial" w:hAnsi="Arial"/>
          <w:sz w:val="16"/>
          <w:szCs w:val="16"/>
          <w:color w:val="auto"/>
        </w:rPr>
      </w:pPr>
      <w:r>
        <w:rPr>
          <w:rFonts w:ascii="Arial" w:cs="Arial" w:eastAsia="Arial" w:hAnsi="Arial"/>
          <w:sz w:val="16"/>
          <w:szCs w:val="16"/>
          <w:color w:val="42423F"/>
        </w:rPr>
        <w:t xml:space="preserve">voluntarily provides </w:t>
      </w:r>
      <w:r>
        <w:rPr>
          <w:rFonts w:ascii="Arial" w:cs="Arial" w:eastAsia="Arial" w:hAnsi="Arial"/>
          <w:sz w:val="16"/>
          <w:szCs w:val="16"/>
          <w:color w:val="31312F"/>
        </w:rPr>
        <w:t xml:space="preserve">under </w:t>
      </w:r>
      <w:r>
        <w:rPr>
          <w:rFonts w:ascii="Arial" w:cs="Arial" w:eastAsia="Arial" w:hAnsi="Arial"/>
          <w:sz w:val="16"/>
          <w:szCs w:val="16"/>
          <w:color w:val="42423F"/>
        </w:rPr>
        <w:t>any</w:t>
      </w:r>
      <w:r>
        <w:rPr>
          <w:rFonts w:ascii="Arial" w:cs="Arial" w:eastAsia="Arial" w:hAnsi="Arial"/>
          <w:sz w:val="16"/>
          <w:szCs w:val="16"/>
          <w:color w:val="5D5D5B"/>
        </w:rPr>
        <w:t>:</w:t>
      </w:r>
    </w:p>
    <w:p>
      <w:pPr>
        <w:ind w:left="500" w:hanging="330"/>
        <w:spacing w:after="0"/>
        <w:tabs>
          <w:tab w:leader="none" w:pos="500" w:val="left"/>
        </w:tabs>
        <w:numPr>
          <w:ilvl w:val="0"/>
          <w:numId w:val="108"/>
        </w:numPr>
        <w:rPr>
          <w:rFonts w:ascii="Arial" w:cs="Arial" w:eastAsia="Arial" w:hAnsi="Arial"/>
          <w:sz w:val="16"/>
          <w:szCs w:val="16"/>
          <w:color w:val="auto"/>
        </w:rPr>
      </w:pPr>
      <w:r>
        <w:rPr>
          <w:rFonts w:ascii="Arial" w:cs="Arial" w:eastAsia="Arial" w:hAnsi="Arial"/>
          <w:sz w:val="16"/>
          <w:szCs w:val="16"/>
          <w:color w:val="42423F"/>
        </w:rPr>
        <w:t>workers' compensation;</w:t>
      </w:r>
    </w:p>
    <w:p>
      <w:pPr>
        <w:spacing w:after="0" w:line="41" w:lineRule="exact"/>
        <w:rPr>
          <w:rFonts w:ascii="Arial" w:cs="Arial" w:eastAsia="Arial" w:hAnsi="Arial"/>
          <w:sz w:val="16"/>
          <w:szCs w:val="16"/>
          <w:color w:val="auto"/>
        </w:rPr>
      </w:pPr>
    </w:p>
    <w:p>
      <w:pPr>
        <w:ind w:left="500" w:hanging="330"/>
        <w:spacing w:after="0"/>
        <w:tabs>
          <w:tab w:leader="none" w:pos="500" w:val="left"/>
        </w:tabs>
        <w:numPr>
          <w:ilvl w:val="0"/>
          <w:numId w:val="108"/>
        </w:numPr>
        <w:rPr>
          <w:rFonts w:ascii="Arial" w:cs="Arial" w:eastAsia="Arial" w:hAnsi="Arial"/>
          <w:sz w:val="16"/>
          <w:szCs w:val="16"/>
          <w:color w:val="auto"/>
        </w:rPr>
      </w:pPr>
      <w:r>
        <w:rPr>
          <w:rFonts w:ascii="Arial" w:cs="Arial" w:eastAsia="Arial" w:hAnsi="Arial"/>
          <w:sz w:val="16"/>
          <w:szCs w:val="16"/>
          <w:color w:val="31312F"/>
        </w:rPr>
        <w:t xml:space="preserve">disability </w:t>
      </w:r>
      <w:r>
        <w:rPr>
          <w:rFonts w:ascii="Arial" w:cs="Arial" w:eastAsia="Arial" w:hAnsi="Arial"/>
          <w:sz w:val="16"/>
          <w:szCs w:val="16"/>
          <w:color w:val="42423F"/>
        </w:rPr>
        <w:t>benefits</w:t>
      </w:r>
      <w:r>
        <w:rPr>
          <w:rFonts w:ascii="Arial" w:cs="Arial" w:eastAsia="Arial" w:hAnsi="Arial"/>
          <w:sz w:val="16"/>
          <w:szCs w:val="16"/>
          <w:color w:val="5D5D5B"/>
        </w:rPr>
        <w:t>;</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108"/>
        </w:numPr>
        <w:rPr>
          <w:rFonts w:ascii="Arial" w:cs="Arial" w:eastAsia="Arial" w:hAnsi="Arial"/>
          <w:sz w:val="16"/>
          <w:szCs w:val="16"/>
          <w:color w:val="auto"/>
        </w:rPr>
      </w:pPr>
      <w:r>
        <w:rPr>
          <w:rFonts w:ascii="Arial" w:cs="Arial" w:eastAsia="Arial" w:hAnsi="Arial"/>
          <w:sz w:val="16"/>
          <w:szCs w:val="16"/>
          <w:color w:val="42423F"/>
        </w:rPr>
        <w:t>unemployment compensation; or</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108"/>
        </w:numPr>
        <w:rPr>
          <w:rFonts w:ascii="Arial" w:cs="Arial" w:eastAsia="Arial" w:hAnsi="Arial"/>
          <w:sz w:val="16"/>
          <w:szCs w:val="16"/>
          <w:color w:val="auto"/>
        </w:rPr>
      </w:pPr>
      <w:r>
        <w:rPr>
          <w:rFonts w:ascii="Arial" w:cs="Arial" w:eastAsia="Arial" w:hAnsi="Arial"/>
          <w:sz w:val="16"/>
          <w:szCs w:val="16"/>
          <w:color w:val="42423F"/>
        </w:rPr>
        <w:t>other similar laws</w:t>
      </w:r>
      <w:r>
        <w:rPr>
          <w:rFonts w:ascii="Arial" w:cs="Arial" w:eastAsia="Arial" w:hAnsi="Arial"/>
          <w:sz w:val="16"/>
          <w:szCs w:val="16"/>
          <w:color w:val="5D5D5B"/>
        </w:rPr>
        <w:t>.</w:t>
      </w:r>
    </w:p>
    <w:p>
      <w:pPr>
        <w:spacing w:after="0" w:line="167" w:lineRule="exact"/>
        <w:rPr>
          <w:sz w:val="20"/>
          <w:szCs w:val="20"/>
          <w:color w:val="auto"/>
        </w:rPr>
      </w:pPr>
    </w:p>
    <w:p>
      <w:pPr>
        <w:ind w:left="120" w:firstLine="13"/>
        <w:spacing w:after="0" w:line="366" w:lineRule="auto"/>
        <w:rPr>
          <w:sz w:val="20"/>
          <w:szCs w:val="20"/>
          <w:color w:val="auto"/>
        </w:rPr>
      </w:pPr>
      <w:r>
        <w:rPr>
          <w:rFonts w:ascii="Arial" w:cs="Arial" w:eastAsia="Arial" w:hAnsi="Arial"/>
          <w:sz w:val="15"/>
          <w:szCs w:val="15"/>
          <w:color w:val="42423F"/>
        </w:rPr>
        <w:t xml:space="preserve">But we do provide coverage in excess over any other insurance for damages you or a family member is </w:t>
      </w:r>
      <w:r>
        <w:rPr>
          <w:rFonts w:ascii="Arial" w:cs="Arial" w:eastAsia="Arial" w:hAnsi="Arial"/>
          <w:sz w:val="15"/>
          <w:szCs w:val="15"/>
          <w:color w:val="31312F"/>
        </w:rPr>
        <w:t>legally</w:t>
      </w:r>
      <w:r>
        <w:rPr>
          <w:rFonts w:ascii="Arial" w:cs="Arial" w:eastAsia="Arial" w:hAnsi="Arial"/>
          <w:sz w:val="15"/>
          <w:szCs w:val="15"/>
          <w:color w:val="42423F"/>
        </w:rPr>
        <w:t xml:space="preserve"> required to pay for </w:t>
      </w:r>
      <w:r>
        <w:rPr>
          <w:rFonts w:ascii="Arial" w:cs="Arial" w:eastAsia="Arial" w:hAnsi="Arial"/>
          <w:sz w:val="15"/>
          <w:szCs w:val="15"/>
          <w:color w:val="31312F"/>
        </w:rPr>
        <w:t>bodily</w:t>
      </w:r>
      <w:r>
        <w:rPr>
          <w:rFonts w:ascii="Arial" w:cs="Arial" w:eastAsia="Arial" w:hAnsi="Arial"/>
          <w:sz w:val="15"/>
          <w:szCs w:val="15"/>
          <w:color w:val="42423F"/>
        </w:rPr>
        <w:t xml:space="preserve"> injury to a domestic employee of a </w:t>
      </w:r>
      <w:r>
        <w:rPr>
          <w:rFonts w:ascii="Arial" w:cs="Arial" w:eastAsia="Arial" w:hAnsi="Arial"/>
          <w:sz w:val="15"/>
          <w:szCs w:val="15"/>
          <w:color w:val="31312F"/>
        </w:rPr>
        <w:t xml:space="preserve">residence </w:t>
      </w:r>
      <w:r>
        <w:rPr>
          <w:rFonts w:ascii="Arial" w:cs="Arial" w:eastAsia="Arial" w:hAnsi="Arial"/>
          <w:sz w:val="15"/>
          <w:szCs w:val="15"/>
          <w:color w:val="42423F"/>
        </w:rPr>
        <w:t>covered under the Required</w:t>
      </w:r>
      <w:r>
        <w:rPr>
          <w:rFonts w:ascii="Arial" w:cs="Arial" w:eastAsia="Arial" w:hAnsi="Arial"/>
          <w:sz w:val="15"/>
          <w:szCs w:val="15"/>
          <w:color w:val="31312F"/>
        </w:rPr>
        <w:t xml:space="preserve"> </w:t>
      </w:r>
      <w:r>
        <w:rPr>
          <w:rFonts w:ascii="Arial" w:cs="Arial" w:eastAsia="Arial" w:hAnsi="Arial"/>
          <w:sz w:val="14"/>
          <w:szCs w:val="14"/>
          <w:color w:val="42423F"/>
        </w:rPr>
        <w:t>Primary</w:t>
      </w:r>
      <w:r>
        <w:rPr>
          <w:rFonts w:ascii="Arial" w:cs="Arial" w:eastAsia="Arial" w:hAnsi="Arial"/>
          <w:sz w:val="15"/>
          <w:szCs w:val="15"/>
          <w:color w:val="31312F"/>
        </w:rPr>
        <w:t xml:space="preserve"> </w:t>
      </w:r>
      <w:r>
        <w:rPr>
          <w:rFonts w:ascii="Arial" w:cs="Arial" w:eastAsia="Arial" w:hAnsi="Arial"/>
          <w:sz w:val="15"/>
          <w:szCs w:val="15"/>
          <w:color w:val="42423F"/>
        </w:rPr>
        <w:t>Underlying Insurance which</w:t>
      </w:r>
      <w:r>
        <w:rPr>
          <w:rFonts w:ascii="Arial" w:cs="Arial" w:eastAsia="Arial" w:hAnsi="Arial"/>
          <w:sz w:val="15"/>
          <w:szCs w:val="15"/>
          <w:color w:val="31312F"/>
        </w:rPr>
        <w:t xml:space="preserve"> are </w:t>
      </w:r>
      <w:r>
        <w:rPr>
          <w:rFonts w:ascii="Arial" w:cs="Arial" w:eastAsia="Arial" w:hAnsi="Arial"/>
          <w:sz w:val="15"/>
          <w:szCs w:val="15"/>
          <w:color w:val="42423F"/>
        </w:rPr>
        <w:t>not compensable under workers</w:t>
      </w:r>
      <w:r>
        <w:rPr>
          <w:rFonts w:ascii="Arial" w:cs="Arial" w:eastAsia="Arial" w:hAnsi="Arial"/>
          <w:sz w:val="15"/>
          <w:szCs w:val="15"/>
          <w:color w:val="5D5D5B"/>
        </w:rPr>
        <w:t>'</w:t>
      </w:r>
      <w:r>
        <w:rPr>
          <w:rFonts w:ascii="Arial" w:cs="Arial" w:eastAsia="Arial" w:hAnsi="Arial"/>
          <w:sz w:val="15"/>
          <w:szCs w:val="15"/>
          <w:color w:val="31312F"/>
        </w:rPr>
        <w:t xml:space="preserve"> </w:t>
      </w:r>
      <w:r>
        <w:rPr>
          <w:rFonts w:ascii="Arial" w:cs="Arial" w:eastAsia="Arial" w:hAnsi="Arial"/>
          <w:sz w:val="15"/>
          <w:szCs w:val="15"/>
          <w:color w:val="42423F"/>
        </w:rPr>
        <w:t>compensation, unless another exclusion applies</w:t>
      </w:r>
      <w:r>
        <w:rPr>
          <w:rFonts w:ascii="Arial" w:cs="Arial" w:eastAsia="Arial" w:hAnsi="Arial"/>
          <w:sz w:val="15"/>
          <w:szCs w:val="15"/>
          <w:color w:val="5D5D5B"/>
        </w:rPr>
        <w:t>.</w:t>
      </w:r>
    </w:p>
    <w:p>
      <w:pPr>
        <w:spacing w:after="0" w:line="91" w:lineRule="exact"/>
        <w:rPr>
          <w:sz w:val="20"/>
          <w:szCs w:val="20"/>
          <w:color w:val="auto"/>
        </w:rPr>
      </w:pPr>
    </w:p>
    <w:p>
      <w:pPr>
        <w:ind w:left="140" w:right="20"/>
        <w:spacing w:after="0" w:line="293" w:lineRule="auto"/>
        <w:rPr>
          <w:sz w:val="20"/>
          <w:szCs w:val="20"/>
          <w:color w:val="auto"/>
        </w:rPr>
      </w:pPr>
      <w:r>
        <w:rPr>
          <w:rFonts w:ascii="Arial" w:cs="Arial" w:eastAsia="Arial" w:hAnsi="Arial"/>
          <w:sz w:val="16"/>
          <w:szCs w:val="16"/>
          <w:b w:val="1"/>
          <w:bCs w:val="1"/>
          <w:color w:val="42423F"/>
        </w:rPr>
        <w:t xml:space="preserve">Director's liability. </w:t>
      </w:r>
      <w:r>
        <w:rPr>
          <w:rFonts w:ascii="Arial" w:cs="Arial" w:eastAsia="Arial" w:hAnsi="Arial"/>
          <w:sz w:val="16"/>
          <w:szCs w:val="16"/>
          <w:color w:val="42423F"/>
        </w:rPr>
        <w:t>We do not cover any damages for any covered person</w:t>
      </w:r>
      <w:r>
        <w:rPr>
          <w:rFonts w:ascii="Arial" w:cs="Arial" w:eastAsia="Arial" w:hAnsi="Arial"/>
          <w:sz w:val="16"/>
          <w:szCs w:val="16"/>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s actions or failure to act as an officer or member of a board of directors of any corporation or</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organization. However, we do cover such damages </w:t>
      </w:r>
      <w:r>
        <w:rPr>
          <w:rFonts w:ascii="Arial" w:cs="Arial" w:eastAsia="Arial" w:hAnsi="Arial"/>
          <w:sz w:val="15"/>
          <w:szCs w:val="15"/>
          <w:color w:val="42423F"/>
        </w:rPr>
        <w:t>if</w:t>
      </w:r>
      <w:r>
        <w:rPr>
          <w:rFonts w:ascii="Arial" w:cs="Arial" w:eastAsia="Arial" w:hAnsi="Arial"/>
          <w:sz w:val="16"/>
          <w:szCs w:val="16"/>
          <w:color w:val="42423F"/>
        </w:rPr>
        <w:t xml:space="preserve"> you are or a family member </w:t>
      </w:r>
      <w:r>
        <w:rPr>
          <w:rFonts w:ascii="Arial" w:cs="Arial" w:eastAsia="Arial" w:hAnsi="Arial"/>
          <w:sz w:val="16"/>
          <w:szCs w:val="16"/>
          <w:color w:val="5D5D5B"/>
        </w:rPr>
        <w:t>i</w:t>
      </w:r>
      <w:r>
        <w:rPr>
          <w:rFonts w:ascii="Arial" w:cs="Arial" w:eastAsia="Arial" w:hAnsi="Arial"/>
          <w:sz w:val="16"/>
          <w:szCs w:val="16"/>
          <w:color w:val="42423F"/>
        </w:rPr>
        <w:t xml:space="preserve">s an officer or member of a board of directors of </w:t>
      </w:r>
      <w:r>
        <w:rPr>
          <w:rFonts w:ascii="Arial" w:cs="Arial" w:eastAsia="Arial" w:hAnsi="Arial"/>
          <w:sz w:val="14"/>
          <w:szCs w:val="14"/>
          <w:color w:val="42423F"/>
        </w:rPr>
        <w:t>a:</w:t>
      </w:r>
    </w:p>
    <w:p>
      <w:pPr>
        <w:ind w:left="500" w:hanging="330"/>
        <w:spacing w:after="0"/>
        <w:tabs>
          <w:tab w:leader="none" w:pos="500" w:val="left"/>
        </w:tabs>
        <w:numPr>
          <w:ilvl w:val="0"/>
          <w:numId w:val="109"/>
        </w:numPr>
        <w:rPr>
          <w:rFonts w:ascii="Arial" w:cs="Arial" w:eastAsia="Arial" w:hAnsi="Arial"/>
          <w:sz w:val="16"/>
          <w:szCs w:val="16"/>
          <w:color w:val="auto"/>
        </w:rPr>
      </w:pPr>
      <w:r>
        <w:rPr>
          <w:rFonts w:ascii="Arial" w:cs="Arial" w:eastAsia="Arial" w:hAnsi="Arial"/>
          <w:sz w:val="16"/>
          <w:szCs w:val="16"/>
          <w:color w:val="42423F"/>
        </w:rPr>
        <w:t>homeowner, condominium or cooperative association</w:t>
      </w:r>
      <w:r>
        <w:rPr>
          <w:rFonts w:ascii="Arial" w:cs="Arial" w:eastAsia="Arial" w:hAnsi="Arial"/>
          <w:sz w:val="16"/>
          <w:szCs w:val="16"/>
          <w:color w:val="5D5D5B"/>
        </w:rPr>
        <w:t>;</w:t>
      </w:r>
      <w:r>
        <w:rPr>
          <w:rFonts w:ascii="Arial" w:cs="Arial" w:eastAsia="Arial" w:hAnsi="Arial"/>
          <w:sz w:val="16"/>
          <w:szCs w:val="16"/>
          <w:color w:val="42423F"/>
        </w:rPr>
        <w:t xml:space="preserve"> or</w:t>
      </w:r>
    </w:p>
    <w:p>
      <w:pPr>
        <w:spacing w:after="0" w:line="45" w:lineRule="exact"/>
        <w:rPr>
          <w:rFonts w:ascii="Arial" w:cs="Arial" w:eastAsia="Arial" w:hAnsi="Arial"/>
          <w:sz w:val="16"/>
          <w:szCs w:val="16"/>
          <w:color w:val="auto"/>
        </w:rPr>
      </w:pPr>
    </w:p>
    <w:p>
      <w:pPr>
        <w:ind w:left="500" w:hanging="330"/>
        <w:spacing w:after="0"/>
        <w:tabs>
          <w:tab w:leader="none" w:pos="500" w:val="left"/>
        </w:tabs>
        <w:numPr>
          <w:ilvl w:val="0"/>
          <w:numId w:val="109"/>
        </w:numPr>
        <w:rPr>
          <w:rFonts w:ascii="Arial" w:cs="Arial" w:eastAsia="Arial" w:hAnsi="Arial"/>
          <w:sz w:val="16"/>
          <w:szCs w:val="16"/>
          <w:color w:val="auto"/>
        </w:rPr>
      </w:pPr>
      <w:r>
        <w:rPr>
          <w:rFonts w:ascii="Arial" w:cs="Arial" w:eastAsia="Arial" w:hAnsi="Arial"/>
          <w:sz w:val="16"/>
          <w:szCs w:val="16"/>
          <w:color w:val="42423F"/>
        </w:rPr>
        <w:t xml:space="preserve">not for profit corporation or organization for which he or she is not compensated; </w:t>
      </w:r>
      <w:r>
        <w:rPr>
          <w:rFonts w:ascii="Arial" w:cs="Arial" w:eastAsia="Arial" w:hAnsi="Arial"/>
          <w:sz w:val="16"/>
          <w:szCs w:val="16"/>
          <w:color w:val="31312F"/>
        </w:rPr>
        <w:t>unless</w:t>
      </w:r>
      <w:r>
        <w:rPr>
          <w:rFonts w:ascii="Arial" w:cs="Arial" w:eastAsia="Arial" w:hAnsi="Arial"/>
          <w:sz w:val="16"/>
          <w:szCs w:val="16"/>
          <w:color w:val="42423F"/>
        </w:rPr>
        <w:t xml:space="preserve"> another exclusion applies</w:t>
      </w:r>
      <w:r>
        <w:rPr>
          <w:rFonts w:ascii="Arial" w:cs="Arial" w:eastAsia="Arial" w:hAnsi="Arial"/>
          <w:sz w:val="16"/>
          <w:szCs w:val="16"/>
          <w:color w:val="5D5D5B"/>
        </w:rPr>
        <w:t>.</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2423F"/>
        </w:rPr>
        <w:t>Damage to covered person's property</w:t>
      </w:r>
      <w:r>
        <w:rPr>
          <w:rFonts w:ascii="Arial" w:cs="Arial" w:eastAsia="Arial" w:hAnsi="Arial"/>
          <w:sz w:val="16"/>
          <w:szCs w:val="16"/>
          <w:b w:val="1"/>
          <w:bCs w:val="1"/>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We do not cover any person for property damage to property owned by any covered person.</w:t>
      </w:r>
    </w:p>
    <w:p>
      <w:pPr>
        <w:spacing w:after="0" w:line="140" w:lineRule="exact"/>
        <w:rPr>
          <w:sz w:val="20"/>
          <w:szCs w:val="20"/>
          <w:color w:val="auto"/>
        </w:rPr>
      </w:pPr>
    </w:p>
    <w:p>
      <w:pPr>
        <w:jc w:val="both"/>
        <w:ind w:left="140"/>
        <w:spacing w:after="0" w:line="356" w:lineRule="auto"/>
        <w:rPr>
          <w:sz w:val="20"/>
          <w:szCs w:val="20"/>
          <w:color w:val="auto"/>
        </w:rPr>
      </w:pPr>
      <w:r>
        <w:rPr>
          <w:rFonts w:ascii="Arial" w:cs="Arial" w:eastAsia="Arial" w:hAnsi="Arial"/>
          <w:sz w:val="16"/>
          <w:szCs w:val="16"/>
          <w:b w:val="1"/>
          <w:bCs w:val="1"/>
          <w:color w:val="42423F"/>
        </w:rPr>
        <w:t xml:space="preserve">Damage to property </w:t>
      </w:r>
      <w:r>
        <w:rPr>
          <w:rFonts w:ascii="Arial" w:cs="Arial" w:eastAsia="Arial" w:hAnsi="Arial"/>
          <w:sz w:val="18"/>
          <w:szCs w:val="18"/>
          <w:color w:val="42423F"/>
        </w:rPr>
        <w:t>in</w:t>
      </w:r>
      <w:r>
        <w:rPr>
          <w:rFonts w:ascii="Arial" w:cs="Arial" w:eastAsia="Arial" w:hAnsi="Arial"/>
          <w:sz w:val="16"/>
          <w:szCs w:val="16"/>
          <w:b w:val="1"/>
          <w:bCs w:val="1"/>
          <w:color w:val="42423F"/>
        </w:rPr>
        <w:t xml:space="preserve"> your care. </w:t>
      </w:r>
      <w:r>
        <w:rPr>
          <w:rFonts w:ascii="Arial" w:cs="Arial" w:eastAsia="Arial" w:hAnsi="Arial"/>
          <w:sz w:val="16"/>
          <w:szCs w:val="16"/>
          <w:color w:val="42423F"/>
        </w:rPr>
        <w:t>We do not cover any person for property damage to property rented to, occupied by</w:t>
      </w:r>
      <w:r>
        <w:rPr>
          <w:rFonts w:ascii="Arial" w:cs="Arial" w:eastAsia="Arial" w:hAnsi="Arial"/>
          <w:sz w:val="16"/>
          <w:szCs w:val="16"/>
          <w:color w:val="5D5D5B"/>
        </w:rPr>
        <w:t>,</w:t>
      </w:r>
      <w:r>
        <w:rPr>
          <w:rFonts w:ascii="Arial" w:cs="Arial" w:eastAsia="Arial" w:hAnsi="Arial"/>
          <w:sz w:val="16"/>
          <w:szCs w:val="16"/>
          <w:b w:val="1"/>
          <w:bCs w:val="1"/>
          <w:color w:val="42423F"/>
        </w:rPr>
        <w:t xml:space="preserve"> </w:t>
      </w:r>
      <w:r>
        <w:rPr>
          <w:rFonts w:ascii="Arial" w:cs="Arial" w:eastAsia="Arial" w:hAnsi="Arial"/>
          <w:sz w:val="16"/>
          <w:szCs w:val="16"/>
          <w:color w:val="42423F"/>
        </w:rPr>
        <w:t>used by, or</w:t>
      </w:r>
      <w:r>
        <w:rPr>
          <w:rFonts w:ascii="Arial" w:cs="Arial" w:eastAsia="Arial" w:hAnsi="Arial"/>
          <w:sz w:val="16"/>
          <w:szCs w:val="16"/>
          <w:b w:val="1"/>
          <w:bCs w:val="1"/>
          <w:color w:val="42423F"/>
        </w:rPr>
        <w:t xml:space="preserve"> </w:t>
      </w:r>
      <w:r>
        <w:rPr>
          <w:rFonts w:ascii="Arial" w:cs="Arial" w:eastAsia="Arial" w:hAnsi="Arial"/>
          <w:sz w:val="16"/>
          <w:szCs w:val="16"/>
          <w:color w:val="31312F"/>
        </w:rPr>
        <w:t>in</w:t>
      </w:r>
      <w:r>
        <w:rPr>
          <w:rFonts w:ascii="Arial" w:cs="Arial" w:eastAsia="Arial" w:hAnsi="Arial"/>
          <w:sz w:val="16"/>
          <w:szCs w:val="16"/>
          <w:b w:val="1"/>
          <w:bCs w:val="1"/>
          <w:color w:val="42423F"/>
        </w:rPr>
        <w:t xml:space="preserve"> </w:t>
      </w:r>
      <w:r>
        <w:rPr>
          <w:rFonts w:ascii="Arial" w:cs="Arial" w:eastAsia="Arial" w:hAnsi="Arial"/>
          <w:sz w:val="16"/>
          <w:szCs w:val="16"/>
          <w:color w:val="42423F"/>
        </w:rPr>
        <w:t>the care of any covered person, to the</w:t>
      </w:r>
      <w:r>
        <w:rPr>
          <w:rFonts w:ascii="Arial" w:cs="Arial" w:eastAsia="Arial" w:hAnsi="Arial"/>
          <w:sz w:val="16"/>
          <w:szCs w:val="16"/>
          <w:b w:val="1"/>
          <w:bCs w:val="1"/>
          <w:color w:val="42423F"/>
        </w:rPr>
        <w:t xml:space="preserve"> </w:t>
      </w:r>
      <w:r>
        <w:rPr>
          <w:rFonts w:ascii="Arial" w:cs="Arial" w:eastAsia="Arial" w:hAnsi="Arial"/>
          <w:sz w:val="16"/>
          <w:szCs w:val="16"/>
          <w:color w:val="42423F"/>
        </w:rPr>
        <w:t xml:space="preserve">extent that the covered person is required by contract to provide insurance. But we </w:t>
      </w:r>
      <w:r>
        <w:rPr>
          <w:rFonts w:ascii="Arial" w:cs="Arial" w:eastAsia="Arial" w:hAnsi="Arial"/>
          <w:sz w:val="16"/>
          <w:szCs w:val="16"/>
          <w:color w:val="31312F"/>
        </w:rPr>
        <w:t>do</w:t>
      </w:r>
      <w:r>
        <w:rPr>
          <w:rFonts w:ascii="Arial" w:cs="Arial" w:eastAsia="Arial" w:hAnsi="Arial"/>
          <w:sz w:val="16"/>
          <w:szCs w:val="16"/>
          <w:color w:val="42423F"/>
        </w:rPr>
        <w:t xml:space="preserve"> cover such damages for loss caused by fire, smoke, or explosion unless another </w:t>
      </w:r>
      <w:r>
        <w:rPr>
          <w:rFonts w:ascii="Arial" w:cs="Arial" w:eastAsia="Arial" w:hAnsi="Arial"/>
          <w:sz w:val="16"/>
          <w:szCs w:val="16"/>
          <w:color w:val="31312F"/>
        </w:rPr>
        <w:t xml:space="preserve">exclusion </w:t>
      </w:r>
      <w:r>
        <w:rPr>
          <w:rFonts w:ascii="Arial" w:cs="Arial" w:eastAsia="Arial" w:hAnsi="Arial"/>
          <w:sz w:val="16"/>
          <w:szCs w:val="16"/>
          <w:color w:val="42423F"/>
        </w:rPr>
        <w:t>applies.</w:t>
      </w:r>
    </w:p>
    <w:p>
      <w:pPr>
        <w:spacing w:after="0" w:line="25" w:lineRule="exact"/>
        <w:rPr>
          <w:sz w:val="20"/>
          <w:szCs w:val="20"/>
          <w:color w:val="auto"/>
        </w:rPr>
      </w:pPr>
    </w:p>
    <w:p>
      <w:pPr>
        <w:jc w:val="both"/>
        <w:ind w:left="140"/>
        <w:spacing w:after="0" w:line="333" w:lineRule="auto"/>
        <w:rPr>
          <w:sz w:val="20"/>
          <w:szCs w:val="20"/>
          <w:color w:val="auto"/>
        </w:rPr>
      </w:pPr>
      <w:r>
        <w:rPr>
          <w:rFonts w:ascii="Arial" w:cs="Arial" w:eastAsia="Arial" w:hAnsi="Arial"/>
          <w:sz w:val="16"/>
          <w:szCs w:val="16"/>
          <w:b w:val="1"/>
          <w:bCs w:val="1"/>
          <w:color w:val="42423F"/>
        </w:rPr>
        <w:t xml:space="preserve">Wrongful employment act. </w:t>
      </w:r>
      <w:r>
        <w:rPr>
          <w:rFonts w:ascii="Arial" w:cs="Arial" w:eastAsia="Arial" w:hAnsi="Arial"/>
          <w:sz w:val="16"/>
          <w:szCs w:val="16"/>
          <w:color w:val="42423F"/>
        </w:rPr>
        <w:t>We do</w:t>
      </w:r>
      <w:r>
        <w:rPr>
          <w:rFonts w:ascii="Arial" w:cs="Arial" w:eastAsia="Arial" w:hAnsi="Arial"/>
          <w:sz w:val="16"/>
          <w:szCs w:val="16"/>
          <w:b w:val="1"/>
          <w:bCs w:val="1"/>
          <w:color w:val="42423F"/>
        </w:rPr>
        <w:t xml:space="preserve"> </w:t>
      </w:r>
      <w:r>
        <w:rPr>
          <w:rFonts w:ascii="Arial" w:cs="Arial" w:eastAsia="Arial" w:hAnsi="Arial"/>
          <w:sz w:val="16"/>
          <w:szCs w:val="16"/>
          <w:color w:val="31312F"/>
        </w:rPr>
        <w:t>not</w:t>
      </w:r>
      <w:r>
        <w:rPr>
          <w:rFonts w:ascii="Arial" w:cs="Arial" w:eastAsia="Arial" w:hAnsi="Arial"/>
          <w:sz w:val="16"/>
          <w:szCs w:val="16"/>
          <w:b w:val="1"/>
          <w:bCs w:val="1"/>
          <w:color w:val="42423F"/>
        </w:rPr>
        <w:t xml:space="preserve"> </w:t>
      </w:r>
      <w:r>
        <w:rPr>
          <w:rFonts w:ascii="Arial" w:cs="Arial" w:eastAsia="Arial" w:hAnsi="Arial"/>
          <w:sz w:val="16"/>
          <w:szCs w:val="16"/>
          <w:color w:val="42423F"/>
        </w:rPr>
        <w:t>cover any damages arising ou</w:t>
      </w:r>
      <w:r>
        <w:rPr>
          <w:rFonts w:ascii="Arial" w:cs="Arial" w:eastAsia="Arial" w:hAnsi="Arial"/>
          <w:sz w:val="16"/>
          <w:szCs w:val="16"/>
          <w:color w:val="5D5D5B"/>
        </w:rPr>
        <w:t>t</w:t>
      </w:r>
      <w:r>
        <w:rPr>
          <w:rFonts w:ascii="Arial" w:cs="Arial" w:eastAsia="Arial" w:hAnsi="Arial"/>
          <w:sz w:val="16"/>
          <w:szCs w:val="16"/>
          <w:b w:val="1"/>
          <w:bCs w:val="1"/>
          <w:color w:val="42423F"/>
        </w:rPr>
        <w:t xml:space="preserve"> </w:t>
      </w:r>
      <w:r>
        <w:rPr>
          <w:rFonts w:ascii="Arial" w:cs="Arial" w:eastAsia="Arial" w:hAnsi="Arial"/>
          <w:sz w:val="16"/>
          <w:szCs w:val="16"/>
          <w:color w:val="42423F"/>
        </w:rPr>
        <w:t>o</w:t>
      </w:r>
      <w:r>
        <w:rPr>
          <w:rFonts w:ascii="Arial" w:cs="Arial" w:eastAsia="Arial" w:hAnsi="Arial"/>
          <w:sz w:val="16"/>
          <w:szCs w:val="16"/>
          <w:color w:val="5D5D5B"/>
        </w:rPr>
        <w:t>f</w:t>
      </w:r>
      <w:r>
        <w:rPr>
          <w:rFonts w:ascii="Arial" w:cs="Arial" w:eastAsia="Arial" w:hAnsi="Arial"/>
          <w:sz w:val="16"/>
          <w:szCs w:val="16"/>
          <w:b w:val="1"/>
          <w:bCs w:val="1"/>
          <w:color w:val="42423F"/>
        </w:rPr>
        <w:t xml:space="preserve"> </w:t>
      </w:r>
      <w:r>
        <w:rPr>
          <w:rFonts w:ascii="Arial" w:cs="Arial" w:eastAsia="Arial" w:hAnsi="Arial"/>
          <w:sz w:val="16"/>
          <w:szCs w:val="16"/>
          <w:color w:val="42423F"/>
        </w:rPr>
        <w:t>a wrongful employment act. A wrongful employment act means any employment discrimination,</w:t>
      </w:r>
      <w:r>
        <w:rPr>
          <w:rFonts w:ascii="Arial" w:cs="Arial" w:eastAsia="Arial" w:hAnsi="Arial"/>
          <w:sz w:val="16"/>
          <w:szCs w:val="16"/>
          <w:b w:val="1"/>
          <w:bCs w:val="1"/>
          <w:color w:val="42423F"/>
        </w:rPr>
        <w:t xml:space="preserve"> </w:t>
      </w:r>
      <w:r>
        <w:rPr>
          <w:rFonts w:ascii="Arial" w:cs="Arial" w:eastAsia="Arial" w:hAnsi="Arial"/>
          <w:sz w:val="16"/>
          <w:szCs w:val="16"/>
          <w:color w:val="42423F"/>
        </w:rPr>
        <w:t>sexual harassment, or wrongful termination of any residential staff actually or allegedly committed or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9 of 15</w:t>
      </w:r>
    </w:p>
    <w:p>
      <w:pPr>
        <w:sectPr>
          <w:pgSz w:w="11900" w:h="16838" w:orient="portrait"/>
          <w:cols w:equalWidth="0" w:num="1">
            <w:col w:w="11420"/>
          </w:cols>
          <w:pgMar w:left="240" w:top="580" w:right="239" w:bottom="1440" w:gutter="0" w:footer="0" w:header="0"/>
        </w:sectPr>
      </w:pPr>
    </w:p>
    <w:bookmarkStart w:id="152" w:name="page153"/>
    <w:bookmarkEnd w:id="152"/>
    <w:p>
      <w:pPr>
        <w:ind w:left="140"/>
        <w:spacing w:after="0" w:line="328" w:lineRule="auto"/>
        <w:rPr>
          <w:sz w:val="20"/>
          <w:szCs w:val="20"/>
          <w:color w:val="auto"/>
        </w:rPr>
      </w:pPr>
      <w:r>
        <w:rPr>
          <w:rFonts w:ascii="Arial" w:cs="Arial" w:eastAsia="Arial" w:hAnsi="Arial"/>
          <w:sz w:val="16"/>
          <w:szCs w:val="16"/>
          <w:color w:val="42423F"/>
        </w:rPr>
        <w:t xml:space="preserve">attempted by a covered person while acting in </w:t>
      </w:r>
      <w:r>
        <w:rPr>
          <w:rFonts w:ascii="Arial" w:cs="Arial" w:eastAsia="Arial" w:hAnsi="Arial"/>
          <w:sz w:val="16"/>
          <w:szCs w:val="16"/>
          <w:color w:val="31312F"/>
        </w:rPr>
        <w:t>the</w:t>
      </w:r>
      <w:r>
        <w:rPr>
          <w:rFonts w:ascii="Arial" w:cs="Arial" w:eastAsia="Arial" w:hAnsi="Arial"/>
          <w:sz w:val="16"/>
          <w:szCs w:val="16"/>
          <w:color w:val="42423F"/>
        </w:rPr>
        <w:t xml:space="preserve"> capacity as an employer, that violates applicable </w:t>
      </w:r>
      <w:r>
        <w:rPr>
          <w:rFonts w:ascii="Arial" w:cs="Arial" w:eastAsia="Arial" w:hAnsi="Arial"/>
          <w:sz w:val="16"/>
          <w:szCs w:val="16"/>
          <w:color w:val="5D5D5B"/>
        </w:rPr>
        <w:t>e</w:t>
      </w:r>
      <w:r>
        <w:rPr>
          <w:rFonts w:ascii="Arial" w:cs="Arial" w:eastAsia="Arial" w:hAnsi="Arial"/>
          <w:sz w:val="16"/>
          <w:szCs w:val="16"/>
          <w:color w:val="42423F"/>
        </w:rPr>
        <w:t>mployment law of any federal, state, or local statute, regulation, ordinance, or common law of the United States of America, its territories or possessions</w:t>
      </w:r>
      <w:r>
        <w:rPr>
          <w:rFonts w:ascii="Arial" w:cs="Arial" w:eastAsia="Arial" w:hAnsi="Arial"/>
          <w:sz w:val="16"/>
          <w:szCs w:val="16"/>
          <w:color w:val="5D5D5B"/>
        </w:rPr>
        <w:t>,</w:t>
      </w:r>
      <w:r>
        <w:rPr>
          <w:rFonts w:ascii="Arial" w:cs="Arial" w:eastAsia="Arial" w:hAnsi="Arial"/>
          <w:sz w:val="16"/>
          <w:szCs w:val="16"/>
          <w:color w:val="42423F"/>
        </w:rPr>
        <w:t xml:space="preserve"> or Puerto Rico</w:t>
      </w:r>
      <w:r>
        <w:rPr>
          <w:rFonts w:ascii="Arial" w:cs="Arial" w:eastAsia="Arial" w:hAnsi="Arial"/>
          <w:sz w:val="16"/>
          <w:szCs w:val="16"/>
          <w:color w:val="5D5D5B"/>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9 of 15</w:t>
      </w:r>
    </w:p>
    <w:p>
      <w:pPr>
        <w:sectPr>
          <w:pgSz w:w="11900" w:h="16838" w:orient="portrait"/>
          <w:cols w:equalWidth="0" w:num="1">
            <w:col w:w="11420"/>
          </w:cols>
          <w:pgMar w:left="240" w:top="683" w:right="239" w:bottom="1440" w:gutter="0" w:footer="0" w:header="0"/>
        </w:sectPr>
      </w:pPr>
    </w:p>
    <w:bookmarkStart w:id="153" w:name="page154"/>
    <w:bookmarkEnd w:id="153"/>
    <w:p>
      <w:pPr>
        <w:ind w:left="454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-162560</wp:posOffset>
            </wp:positionV>
            <wp:extent cx="110617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7">
                      <a:extLst>
                        <a:ext uri="{28A0092B-C50C-407E-A947-70E740481C1C}"/>
                      </a:extLst>
                    </a:blip>
                    <a:srcRect/>
                    <a:stretch>
                      <a:fillRect/>
                    </a:stretch>
                  </pic:blipFill>
                  <pic:spPr bwMode="auto">
                    <a:xfrm>
                      <a:off x="0" y="0"/>
                      <a:ext cx="1106170" cy="14605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60"/>
        <w:spacing w:after="0"/>
        <w:rPr>
          <w:sz w:val="20"/>
          <w:szCs w:val="20"/>
          <w:color w:val="auto"/>
        </w:rPr>
      </w:pPr>
      <w:r>
        <w:rPr>
          <w:rFonts w:ascii="Arial" w:cs="Arial" w:eastAsia="Arial" w:hAnsi="Arial"/>
          <w:sz w:val="22"/>
          <w:szCs w:val="22"/>
          <w:b w:val="1"/>
          <w:bCs w:val="1"/>
          <w:i w:val="1"/>
          <w:iCs w:val="1"/>
          <w:color w:val="363636"/>
        </w:rPr>
        <w:t>Exclusions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363636"/>
        </w:rPr>
        <w:t>(continued)</w:t>
      </w:r>
    </w:p>
    <w:p>
      <w:pPr>
        <w:spacing w:after="0" w:line="249" w:lineRule="exact"/>
        <w:rPr>
          <w:sz w:val="20"/>
          <w:szCs w:val="20"/>
          <w:color w:val="auto"/>
        </w:rPr>
      </w:pPr>
    </w:p>
    <w:p>
      <w:pPr>
        <w:jc w:val="both"/>
        <w:ind w:left="460"/>
        <w:spacing w:after="0" w:line="351" w:lineRule="auto"/>
        <w:rPr>
          <w:sz w:val="20"/>
          <w:szCs w:val="20"/>
          <w:color w:val="auto"/>
        </w:rPr>
      </w:pPr>
      <w:r>
        <w:rPr>
          <w:rFonts w:ascii="Arial" w:cs="Arial" w:eastAsia="Arial" w:hAnsi="Arial"/>
          <w:sz w:val="16"/>
          <w:szCs w:val="16"/>
          <w:b w:val="1"/>
          <w:bCs w:val="1"/>
          <w:color w:val="363636"/>
        </w:rPr>
        <w:t xml:space="preserve">Employment discrimination </w:t>
      </w:r>
      <w:r>
        <w:rPr>
          <w:rFonts w:ascii="Arial" w:cs="Arial" w:eastAsia="Arial" w:hAnsi="Arial"/>
          <w:sz w:val="16"/>
          <w:szCs w:val="16"/>
          <w:color w:val="363636"/>
        </w:rPr>
        <w:t>as it relates solely to a wrongful employment act means a violation of applicable employment discrimination law protecting any</w:t>
      </w:r>
      <w:r>
        <w:rPr>
          <w:rFonts w:ascii="Arial" w:cs="Arial" w:eastAsia="Arial" w:hAnsi="Arial"/>
          <w:sz w:val="16"/>
          <w:szCs w:val="16"/>
          <w:b w:val="1"/>
          <w:bCs w:val="1"/>
          <w:color w:val="363636"/>
        </w:rPr>
        <w:t xml:space="preserve"> </w:t>
      </w:r>
      <w:r>
        <w:rPr>
          <w:rFonts w:ascii="Arial" w:cs="Arial" w:eastAsia="Arial" w:hAnsi="Arial"/>
          <w:sz w:val="16"/>
          <w:szCs w:val="16"/>
          <w:color w:val="363636"/>
        </w:rPr>
        <w:t>residential staff based on his or her race, color, religion, creed, age, sex, disability, national origin or other status according to any federal, state, or local statute, regulation, ordinance, or common law of the United States of America, its territories or possessions, or Puerto Rico.</w:t>
      </w:r>
    </w:p>
    <w:p>
      <w:pPr>
        <w:spacing w:after="0" w:line="219"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b w:val="1"/>
          <w:bCs w:val="1"/>
          <w:color w:val="363636"/>
        </w:rPr>
        <w:t xml:space="preserve">Sexual harassment </w:t>
      </w:r>
      <w:r>
        <w:rPr>
          <w:rFonts w:ascii="Arial" w:cs="Arial" w:eastAsia="Arial" w:hAnsi="Arial"/>
          <w:sz w:val="16"/>
          <w:szCs w:val="16"/>
          <w:color w:val="363636"/>
        </w:rPr>
        <w:t>as it relates solely to a wrongful employment act means unwelcome sexual advances, requests for sexual favors, or other conduct of a sexual nature</w:t>
      </w:r>
      <w:r>
        <w:rPr>
          <w:rFonts w:ascii="Arial" w:cs="Arial" w:eastAsia="Arial" w:hAnsi="Arial"/>
          <w:sz w:val="16"/>
          <w:szCs w:val="16"/>
          <w:b w:val="1"/>
          <w:bCs w:val="1"/>
          <w:color w:val="363636"/>
        </w:rPr>
        <w:t xml:space="preserve"> </w:t>
      </w:r>
      <w:r>
        <w:rPr>
          <w:rFonts w:ascii="Arial" w:cs="Arial" w:eastAsia="Arial" w:hAnsi="Arial"/>
          <w:sz w:val="16"/>
          <w:szCs w:val="16"/>
          <w:color w:val="363636"/>
        </w:rPr>
        <w:t>that:</w:t>
      </w:r>
    </w:p>
    <w:p>
      <w:pPr>
        <w:ind w:left="740" w:hanging="246"/>
        <w:spacing w:after="0" w:line="238" w:lineRule="auto"/>
        <w:tabs>
          <w:tab w:leader="none" w:pos="740" w:val="left"/>
        </w:tabs>
        <w:numPr>
          <w:ilvl w:val="0"/>
          <w:numId w:val="110"/>
        </w:numPr>
        <w:rPr>
          <w:rFonts w:ascii="Arial" w:cs="Arial" w:eastAsia="Arial" w:hAnsi="Arial"/>
          <w:sz w:val="20"/>
          <w:szCs w:val="20"/>
          <w:color w:val="auto"/>
        </w:rPr>
      </w:pPr>
      <w:r>
        <w:rPr>
          <w:rFonts w:ascii="Arial" w:cs="Arial" w:eastAsia="Arial" w:hAnsi="Arial"/>
          <w:sz w:val="16"/>
          <w:szCs w:val="16"/>
          <w:color w:val="363636"/>
        </w:rPr>
        <w:t>is made a condition of employment of any residential staff;</w:t>
      </w:r>
    </w:p>
    <w:p>
      <w:pPr>
        <w:spacing w:after="0" w:line="67" w:lineRule="exact"/>
        <w:rPr>
          <w:rFonts w:ascii="Arial" w:cs="Arial" w:eastAsia="Arial" w:hAnsi="Arial"/>
          <w:sz w:val="20"/>
          <w:szCs w:val="20"/>
          <w:color w:val="auto"/>
        </w:rPr>
      </w:pPr>
    </w:p>
    <w:p>
      <w:pPr>
        <w:ind w:left="740" w:hanging="246"/>
        <w:spacing w:after="0"/>
        <w:tabs>
          <w:tab w:leader="none" w:pos="740" w:val="left"/>
        </w:tabs>
        <w:numPr>
          <w:ilvl w:val="0"/>
          <w:numId w:val="110"/>
        </w:numPr>
        <w:rPr>
          <w:rFonts w:ascii="Arial" w:cs="Arial" w:eastAsia="Arial" w:hAnsi="Arial"/>
          <w:sz w:val="20"/>
          <w:szCs w:val="20"/>
          <w:color w:val="auto"/>
        </w:rPr>
      </w:pPr>
      <w:r>
        <w:rPr>
          <w:rFonts w:ascii="Arial" w:cs="Arial" w:eastAsia="Arial" w:hAnsi="Arial"/>
          <w:sz w:val="16"/>
          <w:szCs w:val="16"/>
          <w:color w:val="363636"/>
        </w:rPr>
        <w:t>is used as a basis for employment decisions;</w:t>
      </w:r>
    </w:p>
    <w:p>
      <w:pPr>
        <w:spacing w:after="0" w:line="67" w:lineRule="exact"/>
        <w:rPr>
          <w:rFonts w:ascii="Arial" w:cs="Arial" w:eastAsia="Arial" w:hAnsi="Arial"/>
          <w:sz w:val="20"/>
          <w:szCs w:val="20"/>
          <w:color w:val="auto"/>
        </w:rPr>
      </w:pPr>
    </w:p>
    <w:p>
      <w:pPr>
        <w:ind w:left="740" w:hanging="246"/>
        <w:spacing w:after="0"/>
        <w:tabs>
          <w:tab w:leader="none" w:pos="740" w:val="left"/>
        </w:tabs>
        <w:numPr>
          <w:ilvl w:val="0"/>
          <w:numId w:val="110"/>
        </w:numPr>
        <w:rPr>
          <w:rFonts w:ascii="Arial" w:cs="Arial" w:eastAsia="Arial" w:hAnsi="Arial"/>
          <w:sz w:val="20"/>
          <w:szCs w:val="20"/>
          <w:color w:val="auto"/>
        </w:rPr>
      </w:pPr>
      <w:r>
        <w:rPr>
          <w:rFonts w:ascii="Arial" w:cs="Arial" w:eastAsia="Arial" w:hAnsi="Arial"/>
          <w:sz w:val="16"/>
          <w:szCs w:val="16"/>
          <w:color w:val="363636"/>
        </w:rPr>
        <w:t>interferes with performance of any residential staff's duties; or</w:t>
      </w:r>
    </w:p>
    <w:p>
      <w:pPr>
        <w:spacing w:after="0" w:line="67" w:lineRule="exact"/>
        <w:rPr>
          <w:rFonts w:ascii="Arial" w:cs="Arial" w:eastAsia="Arial" w:hAnsi="Arial"/>
          <w:sz w:val="20"/>
          <w:szCs w:val="20"/>
          <w:color w:val="auto"/>
        </w:rPr>
      </w:pPr>
    </w:p>
    <w:p>
      <w:pPr>
        <w:ind w:left="740" w:hanging="246"/>
        <w:spacing w:after="0"/>
        <w:tabs>
          <w:tab w:leader="none" w:pos="740" w:val="left"/>
        </w:tabs>
        <w:numPr>
          <w:ilvl w:val="0"/>
          <w:numId w:val="110"/>
        </w:numPr>
        <w:rPr>
          <w:rFonts w:ascii="Arial" w:cs="Arial" w:eastAsia="Arial" w:hAnsi="Arial"/>
          <w:sz w:val="20"/>
          <w:szCs w:val="20"/>
          <w:color w:val="auto"/>
        </w:rPr>
      </w:pPr>
      <w:r>
        <w:rPr>
          <w:rFonts w:ascii="Arial" w:cs="Arial" w:eastAsia="Arial" w:hAnsi="Arial"/>
          <w:sz w:val="16"/>
          <w:szCs w:val="16"/>
          <w:color w:val="363636"/>
        </w:rPr>
        <w:t>creates an intimidating, hostile, or offensive working environment.</w:t>
      </w:r>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63636"/>
        </w:rPr>
        <w:t xml:space="preserve">Wrongful termination </w:t>
      </w:r>
      <w:r>
        <w:rPr>
          <w:rFonts w:ascii="Arial" w:cs="Arial" w:eastAsia="Arial" w:hAnsi="Arial"/>
          <w:sz w:val="16"/>
          <w:szCs w:val="16"/>
          <w:color w:val="363636"/>
        </w:rPr>
        <w:t>as it relates solely to a wrongful employment act means:</w:t>
      </w:r>
    </w:p>
    <w:p>
      <w:pPr>
        <w:spacing w:after="0" w:line="94" w:lineRule="exact"/>
        <w:rPr>
          <w:sz w:val="20"/>
          <w:szCs w:val="20"/>
          <w:color w:val="auto"/>
        </w:rPr>
      </w:pPr>
    </w:p>
    <w:p>
      <w:pPr>
        <w:ind w:left="760" w:hanging="306"/>
        <w:spacing w:after="0"/>
        <w:tabs>
          <w:tab w:leader="none" w:pos="760" w:val="left"/>
        </w:tabs>
        <w:numPr>
          <w:ilvl w:val="0"/>
          <w:numId w:val="111"/>
        </w:numPr>
        <w:rPr>
          <w:rFonts w:ascii="Arial" w:cs="Arial" w:eastAsia="Arial" w:hAnsi="Arial"/>
          <w:sz w:val="20"/>
          <w:szCs w:val="20"/>
          <w:color w:val="auto"/>
        </w:rPr>
      </w:pPr>
      <w:r>
        <w:rPr>
          <w:rFonts w:ascii="Arial" w:cs="Arial" w:eastAsia="Arial" w:hAnsi="Arial"/>
          <w:sz w:val="16"/>
          <w:szCs w:val="16"/>
          <w:color w:val="363636"/>
        </w:rPr>
        <w:t>the actual or constructive termination of employment of any residential staff by you or a family member in violation of applicable employment law; or</w:t>
      </w:r>
    </w:p>
    <w:p>
      <w:pPr>
        <w:spacing w:after="0" w:line="80" w:lineRule="exact"/>
        <w:rPr>
          <w:rFonts w:ascii="Arial" w:cs="Arial" w:eastAsia="Arial" w:hAnsi="Arial"/>
          <w:sz w:val="20"/>
          <w:szCs w:val="20"/>
          <w:color w:val="auto"/>
        </w:rPr>
      </w:pPr>
    </w:p>
    <w:p>
      <w:pPr>
        <w:ind w:left="760" w:hanging="306"/>
        <w:spacing w:after="0"/>
        <w:tabs>
          <w:tab w:leader="none" w:pos="760" w:val="left"/>
        </w:tabs>
        <w:numPr>
          <w:ilvl w:val="0"/>
          <w:numId w:val="111"/>
        </w:numPr>
        <w:rPr>
          <w:rFonts w:ascii="Arial" w:cs="Arial" w:eastAsia="Arial" w:hAnsi="Arial"/>
          <w:sz w:val="20"/>
          <w:szCs w:val="20"/>
          <w:color w:val="auto"/>
        </w:rPr>
      </w:pPr>
      <w:r>
        <w:rPr>
          <w:rFonts w:ascii="Arial" w:cs="Arial" w:eastAsia="Arial" w:hAnsi="Arial"/>
          <w:sz w:val="16"/>
          <w:szCs w:val="16"/>
          <w:color w:val="363636"/>
        </w:rPr>
        <w:t>breach of duty and care when you or a family member terminates an employment relationship with any residential staff.</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63636"/>
        </w:rPr>
        <w:t xml:space="preserve">Residential staff </w:t>
      </w:r>
      <w:r>
        <w:rPr>
          <w:rFonts w:ascii="Arial" w:cs="Arial" w:eastAsia="Arial" w:hAnsi="Arial"/>
          <w:sz w:val="16"/>
          <w:szCs w:val="16"/>
          <w:color w:val="363636"/>
        </w:rPr>
        <w:t>as it relates solely to</w:t>
      </w:r>
      <w:r>
        <w:rPr>
          <w:rFonts w:ascii="Arial" w:cs="Arial" w:eastAsia="Arial" w:hAnsi="Arial"/>
          <w:sz w:val="16"/>
          <w:szCs w:val="16"/>
          <w:b w:val="1"/>
          <w:bCs w:val="1"/>
          <w:color w:val="363636"/>
        </w:rPr>
        <w:t xml:space="preserve"> </w:t>
      </w:r>
      <w:r>
        <w:rPr>
          <w:rFonts w:ascii="Arial" w:cs="Arial" w:eastAsia="Arial" w:hAnsi="Arial"/>
          <w:sz w:val="16"/>
          <w:szCs w:val="16"/>
          <w:color w:val="4F4F4D"/>
        </w:rPr>
        <w:t>a</w:t>
      </w:r>
      <w:r>
        <w:rPr>
          <w:rFonts w:ascii="Arial" w:cs="Arial" w:eastAsia="Arial" w:hAnsi="Arial"/>
          <w:sz w:val="16"/>
          <w:szCs w:val="16"/>
          <w:b w:val="1"/>
          <w:bCs w:val="1"/>
          <w:color w:val="363636"/>
        </w:rPr>
        <w:t xml:space="preserve"> </w:t>
      </w:r>
      <w:r>
        <w:rPr>
          <w:rFonts w:ascii="Arial" w:cs="Arial" w:eastAsia="Arial" w:hAnsi="Arial"/>
          <w:sz w:val="16"/>
          <w:szCs w:val="16"/>
          <w:color w:val="363636"/>
        </w:rPr>
        <w:t>wrongful employment act means your or a family member's employee who is:</w:t>
      </w:r>
    </w:p>
    <w:p>
      <w:pPr>
        <w:spacing w:after="0" w:line="77" w:lineRule="exact"/>
        <w:rPr>
          <w:sz w:val="20"/>
          <w:szCs w:val="20"/>
          <w:color w:val="auto"/>
        </w:rPr>
      </w:pPr>
    </w:p>
    <w:p>
      <w:pPr>
        <w:ind w:left="740" w:right="400" w:hanging="246"/>
        <w:spacing w:after="0" w:line="332" w:lineRule="auto"/>
        <w:tabs>
          <w:tab w:leader="none" w:pos="740" w:val="left"/>
        </w:tabs>
        <w:numPr>
          <w:ilvl w:val="0"/>
          <w:numId w:val="112"/>
        </w:numPr>
        <w:rPr>
          <w:rFonts w:ascii="Arial" w:cs="Arial" w:eastAsia="Arial" w:hAnsi="Arial"/>
          <w:sz w:val="20"/>
          <w:szCs w:val="20"/>
          <w:color w:val="auto"/>
        </w:rPr>
      </w:pPr>
      <w:r>
        <w:rPr>
          <w:rFonts w:ascii="Arial" w:cs="Arial" w:eastAsia="Arial" w:hAnsi="Arial"/>
          <w:sz w:val="16"/>
          <w:szCs w:val="16"/>
          <w:color w:val="363636"/>
        </w:rPr>
        <w:t>employed by you or a family member, or through a firm under an agreement with you or a family member, to perform duties related only to a covered person's domestic, personal, or business pursuits covered under this part of your policy;</w:t>
      </w:r>
    </w:p>
    <w:p>
      <w:pPr>
        <w:ind w:left="740" w:hanging="246"/>
        <w:spacing w:after="0"/>
        <w:tabs>
          <w:tab w:leader="none" w:pos="740" w:val="left"/>
        </w:tabs>
        <w:numPr>
          <w:ilvl w:val="0"/>
          <w:numId w:val="112"/>
        </w:numPr>
        <w:rPr>
          <w:rFonts w:ascii="Arial" w:cs="Arial" w:eastAsia="Arial" w:hAnsi="Arial"/>
          <w:sz w:val="20"/>
          <w:szCs w:val="20"/>
          <w:color w:val="auto"/>
        </w:rPr>
      </w:pPr>
      <w:r>
        <w:rPr>
          <w:rFonts w:ascii="Arial" w:cs="Arial" w:eastAsia="Arial" w:hAnsi="Arial"/>
          <w:sz w:val="16"/>
          <w:szCs w:val="16"/>
          <w:color w:val="363636"/>
        </w:rPr>
        <w:t>compensated for labor or services directed by you or a family member; and</w:t>
      </w:r>
    </w:p>
    <w:p>
      <w:pPr>
        <w:spacing w:after="0" w:line="67" w:lineRule="exact"/>
        <w:rPr>
          <w:rFonts w:ascii="Arial" w:cs="Arial" w:eastAsia="Arial" w:hAnsi="Arial"/>
          <w:sz w:val="20"/>
          <w:szCs w:val="20"/>
          <w:color w:val="auto"/>
        </w:rPr>
      </w:pPr>
    </w:p>
    <w:p>
      <w:pPr>
        <w:ind w:left="740" w:hanging="246"/>
        <w:spacing w:after="0"/>
        <w:tabs>
          <w:tab w:leader="none" w:pos="740" w:val="left"/>
        </w:tabs>
        <w:numPr>
          <w:ilvl w:val="0"/>
          <w:numId w:val="112"/>
        </w:numPr>
        <w:rPr>
          <w:rFonts w:ascii="Arial" w:cs="Arial" w:eastAsia="Arial" w:hAnsi="Arial"/>
          <w:sz w:val="20"/>
          <w:szCs w:val="20"/>
          <w:color w:val="auto"/>
        </w:rPr>
      </w:pPr>
      <w:r>
        <w:rPr>
          <w:rFonts w:ascii="Arial" w:cs="Arial" w:eastAsia="Arial" w:hAnsi="Arial"/>
          <w:sz w:val="16"/>
          <w:szCs w:val="16"/>
          <w:color w:val="363636"/>
        </w:rPr>
        <w:t>employed regularly to work 15 or more hours per week.</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color w:val="363636"/>
        </w:rPr>
        <w:t>Residential staff includes a temporary worker. Residential staff does not include an independent contractor or any covered person.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363636"/>
        </w:rPr>
        <w:t xml:space="preserve">Temporary worker </w:t>
      </w:r>
      <w:r>
        <w:rPr>
          <w:rFonts w:ascii="Arial" w:cs="Arial" w:eastAsia="Arial" w:hAnsi="Arial"/>
          <w:sz w:val="16"/>
          <w:szCs w:val="16"/>
          <w:color w:val="363636"/>
        </w:rPr>
        <w:t>as it relates solely to a wrongful employment act means your or a family member's employee who is:</w:t>
      </w:r>
    </w:p>
    <w:p>
      <w:pPr>
        <w:spacing w:after="0" w:line="90" w:lineRule="exact"/>
        <w:rPr>
          <w:sz w:val="20"/>
          <w:szCs w:val="20"/>
          <w:color w:val="auto"/>
        </w:rPr>
      </w:pPr>
    </w:p>
    <w:p>
      <w:pPr>
        <w:ind w:left="800" w:right="360" w:hanging="333"/>
        <w:spacing w:after="0" w:line="348" w:lineRule="auto"/>
        <w:tabs>
          <w:tab w:leader="none" w:pos="782" w:val="left"/>
        </w:tabs>
        <w:numPr>
          <w:ilvl w:val="0"/>
          <w:numId w:val="113"/>
        </w:numPr>
        <w:rPr>
          <w:rFonts w:ascii="Arial" w:cs="Arial" w:eastAsia="Arial" w:hAnsi="Arial"/>
          <w:sz w:val="20"/>
          <w:szCs w:val="20"/>
          <w:color w:val="auto"/>
        </w:rPr>
      </w:pPr>
      <w:r>
        <w:rPr>
          <w:rFonts w:ascii="Arial" w:cs="Arial" w:eastAsia="Arial" w:hAnsi="Arial"/>
          <w:sz w:val="16"/>
          <w:szCs w:val="16"/>
          <w:color w:val="363636"/>
        </w:rPr>
        <w:t xml:space="preserve">employed by you or </w:t>
      </w:r>
      <w:r>
        <w:rPr>
          <w:rFonts w:ascii="Arial" w:cs="Arial" w:eastAsia="Arial" w:hAnsi="Arial"/>
          <w:sz w:val="16"/>
          <w:szCs w:val="16"/>
          <w:color w:val="4F4F4D"/>
        </w:rPr>
        <w:t>a</w:t>
      </w:r>
      <w:r>
        <w:rPr>
          <w:rFonts w:ascii="Arial" w:cs="Arial" w:eastAsia="Arial" w:hAnsi="Arial"/>
          <w:sz w:val="16"/>
          <w:szCs w:val="16"/>
          <w:color w:val="363636"/>
        </w:rPr>
        <w:t xml:space="preserve"> family member, or through a firm under an agreement with you or a family member, to perform duties related only to a covered person's domestic, personal, or business pursuits covered under this part of your policy;</w:t>
      </w:r>
    </w:p>
    <w:p>
      <w:pPr>
        <w:ind w:left="780" w:hanging="313"/>
        <w:spacing w:after="0"/>
        <w:tabs>
          <w:tab w:leader="none" w:pos="780" w:val="left"/>
        </w:tabs>
        <w:numPr>
          <w:ilvl w:val="0"/>
          <w:numId w:val="113"/>
        </w:numPr>
        <w:rPr>
          <w:rFonts w:ascii="Arial" w:cs="Arial" w:eastAsia="Arial" w:hAnsi="Arial"/>
          <w:sz w:val="20"/>
          <w:szCs w:val="20"/>
          <w:color w:val="auto"/>
        </w:rPr>
      </w:pPr>
      <w:r>
        <w:rPr>
          <w:rFonts w:ascii="Arial" w:cs="Arial" w:eastAsia="Arial" w:hAnsi="Arial"/>
          <w:sz w:val="16"/>
          <w:szCs w:val="16"/>
          <w:color w:val="363636"/>
        </w:rPr>
        <w:t>compensated for labor or services directed by you or a family member; and</w:t>
      </w:r>
    </w:p>
    <w:p>
      <w:pPr>
        <w:spacing w:after="0" w:line="78" w:lineRule="exact"/>
        <w:rPr>
          <w:rFonts w:ascii="Arial" w:cs="Arial" w:eastAsia="Arial" w:hAnsi="Arial"/>
          <w:sz w:val="20"/>
          <w:szCs w:val="20"/>
          <w:color w:val="auto"/>
        </w:rPr>
      </w:pPr>
    </w:p>
    <w:p>
      <w:pPr>
        <w:ind w:left="800" w:hanging="333"/>
        <w:spacing w:after="0"/>
        <w:tabs>
          <w:tab w:leader="none" w:pos="800" w:val="left"/>
        </w:tabs>
        <w:numPr>
          <w:ilvl w:val="0"/>
          <w:numId w:val="113"/>
        </w:numPr>
        <w:rPr>
          <w:rFonts w:ascii="Arial" w:cs="Arial" w:eastAsia="Arial" w:hAnsi="Arial"/>
          <w:sz w:val="19"/>
          <w:szCs w:val="19"/>
          <w:color w:val="auto"/>
        </w:rPr>
      </w:pPr>
      <w:r>
        <w:rPr>
          <w:rFonts w:ascii="Arial" w:cs="Arial" w:eastAsia="Arial" w:hAnsi="Arial"/>
          <w:sz w:val="15"/>
          <w:szCs w:val="15"/>
          <w:color w:val="363636"/>
        </w:rPr>
        <w:t>employed to work 15 or more hours per week to substitute for any residential staff on leave or to meet seasonal or short- term workload demands for 30</w:t>
      </w:r>
    </w:p>
    <w:p>
      <w:pPr>
        <w:spacing w:after="0" w:line="91" w:lineRule="exact"/>
        <w:rPr>
          <w:sz w:val="20"/>
          <w:szCs w:val="20"/>
          <w:color w:val="auto"/>
        </w:rPr>
      </w:pPr>
    </w:p>
    <w:p>
      <w:pPr>
        <w:ind w:left="800"/>
        <w:spacing w:after="0"/>
        <w:rPr>
          <w:sz w:val="20"/>
          <w:szCs w:val="20"/>
          <w:color w:val="auto"/>
        </w:rPr>
      </w:pPr>
      <w:r>
        <w:rPr>
          <w:rFonts w:ascii="Arial" w:cs="Arial" w:eastAsia="Arial" w:hAnsi="Arial"/>
          <w:sz w:val="16"/>
          <w:szCs w:val="16"/>
          <w:color w:val="363636"/>
        </w:rPr>
        <w:t>consecutive days or longer during a 6 month period.</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363636"/>
        </w:rPr>
        <w:t>Temporary worker does not include an independent contractor or any covered person.</w:t>
      </w:r>
    </w:p>
    <w:p>
      <w:pPr>
        <w:spacing w:after="0" w:line="339"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363636"/>
        </w:rPr>
        <w:t xml:space="preserve">Discrimination. </w:t>
      </w:r>
      <w:r>
        <w:rPr>
          <w:rFonts w:ascii="Arial" w:cs="Arial" w:eastAsia="Arial" w:hAnsi="Arial"/>
          <w:sz w:val="16"/>
          <w:szCs w:val="16"/>
          <w:color w:val="363636"/>
        </w:rPr>
        <w:t>We do not cover any damages arising out of discrimination due to age, race, color, sex, creed, national origin, or any other discrimination.</w:t>
      </w:r>
    </w:p>
    <w:p>
      <w:pPr>
        <w:spacing w:after="0" w:line="316" w:lineRule="exact"/>
        <w:rPr>
          <w:sz w:val="20"/>
          <w:szCs w:val="20"/>
          <w:color w:val="auto"/>
        </w:rPr>
      </w:pPr>
    </w:p>
    <w:p>
      <w:pPr>
        <w:ind w:left="500" w:right="20"/>
        <w:spacing w:after="0" w:line="351" w:lineRule="auto"/>
        <w:rPr>
          <w:sz w:val="20"/>
          <w:szCs w:val="20"/>
          <w:color w:val="auto"/>
        </w:rPr>
      </w:pPr>
      <w:r>
        <w:rPr>
          <w:rFonts w:ascii="Arial" w:cs="Arial" w:eastAsia="Arial" w:hAnsi="Arial"/>
          <w:sz w:val="16"/>
          <w:szCs w:val="16"/>
          <w:b w:val="1"/>
          <w:bCs w:val="1"/>
          <w:color w:val="363636"/>
        </w:rPr>
        <w:t xml:space="preserve">Intentional acts. </w:t>
      </w:r>
      <w:r>
        <w:rPr>
          <w:rFonts w:ascii="Arial" w:cs="Arial" w:eastAsia="Arial" w:hAnsi="Arial"/>
          <w:sz w:val="16"/>
          <w:szCs w:val="16"/>
          <w:color w:val="363636"/>
        </w:rPr>
        <w:t>We do not cover any damages arising out</w:t>
      </w:r>
      <w:r>
        <w:rPr>
          <w:rFonts w:ascii="Arial" w:cs="Arial" w:eastAsia="Arial" w:hAnsi="Arial"/>
          <w:sz w:val="16"/>
          <w:szCs w:val="16"/>
          <w:b w:val="1"/>
          <w:bCs w:val="1"/>
          <w:color w:val="363636"/>
        </w:rPr>
        <w:t xml:space="preserve"> </w:t>
      </w:r>
      <w:r>
        <w:rPr>
          <w:rFonts w:ascii="Arial" w:cs="Arial" w:eastAsia="Arial" w:hAnsi="Arial"/>
          <w:sz w:val="16"/>
          <w:szCs w:val="16"/>
          <w:color w:val="4F4F4D"/>
        </w:rPr>
        <w:t>of</w:t>
      </w:r>
      <w:r>
        <w:rPr>
          <w:rFonts w:ascii="Arial" w:cs="Arial" w:eastAsia="Arial" w:hAnsi="Arial"/>
          <w:sz w:val="16"/>
          <w:szCs w:val="16"/>
          <w:b w:val="1"/>
          <w:bCs w:val="1"/>
          <w:color w:val="363636"/>
        </w:rPr>
        <w:t xml:space="preserve"> </w:t>
      </w:r>
      <w:r>
        <w:rPr>
          <w:rFonts w:ascii="Arial" w:cs="Arial" w:eastAsia="Arial" w:hAnsi="Arial"/>
          <w:sz w:val="16"/>
          <w:szCs w:val="16"/>
          <w:color w:val="363636"/>
        </w:rPr>
        <w:t>a willful, malicious, fraudulent or dishonest act or any act intended by any covered person to cause</w:t>
      </w:r>
      <w:r>
        <w:rPr>
          <w:rFonts w:ascii="Arial" w:cs="Arial" w:eastAsia="Arial" w:hAnsi="Arial"/>
          <w:sz w:val="16"/>
          <w:szCs w:val="16"/>
          <w:b w:val="1"/>
          <w:bCs w:val="1"/>
          <w:color w:val="363636"/>
        </w:rPr>
        <w:t xml:space="preserve"> </w:t>
      </w:r>
      <w:r>
        <w:rPr>
          <w:rFonts w:ascii="Arial" w:cs="Arial" w:eastAsia="Arial" w:hAnsi="Arial"/>
          <w:sz w:val="16"/>
          <w:szCs w:val="16"/>
          <w:color w:val="363636"/>
        </w:rPr>
        <w:t>personal injury or property damage, even if the injury or damage is of a different degree or type than</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10 of 15</w:t>
      </w:r>
    </w:p>
    <w:p>
      <w:pPr>
        <w:sectPr>
          <w:pgSz w:w="11900" w:h="16838" w:orient="portrait"/>
          <w:cols w:equalWidth="0" w:num="1">
            <w:col w:w="11420"/>
          </w:cols>
          <w:pgMar w:left="240" w:top="758" w:right="239" w:bottom="1440" w:gutter="0" w:footer="0" w:header="0"/>
        </w:sectPr>
      </w:pPr>
    </w:p>
    <w:bookmarkStart w:id="154" w:name="page155"/>
    <w:bookmarkEnd w:id="154"/>
    <w:p>
      <w:pPr>
        <w:ind w:left="500"/>
        <w:spacing w:after="0" w:line="346" w:lineRule="auto"/>
        <w:rPr>
          <w:sz w:val="20"/>
          <w:szCs w:val="20"/>
          <w:color w:val="auto"/>
        </w:rPr>
      </w:pPr>
      <w:r>
        <w:rPr>
          <w:rFonts w:ascii="Arial" w:cs="Arial" w:eastAsia="Arial" w:hAnsi="Arial"/>
          <w:sz w:val="16"/>
          <w:szCs w:val="16"/>
          <w:color w:val="363636"/>
        </w:rPr>
        <w:t>actually intended or expected. But we do cover such damages if the act was intended to protect people or property unless another exclusion applies. An intentional act is one whose consequences could have been foreseen by a reasonable person.</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363636"/>
        </w:rPr>
        <w:t xml:space="preserve">Molestation, misconduct or abuse. </w:t>
      </w:r>
      <w:r>
        <w:rPr>
          <w:rFonts w:ascii="Arial" w:cs="Arial" w:eastAsia="Arial" w:hAnsi="Arial"/>
          <w:sz w:val="16"/>
          <w:szCs w:val="16"/>
          <w:color w:val="363636"/>
        </w:rPr>
        <w:t>We do not cover any damages arising out of any actual, alleged or threatened:</w:t>
      </w:r>
    </w:p>
    <w:p>
      <w:pPr>
        <w:spacing w:after="0" w:line="80" w:lineRule="exact"/>
        <w:rPr>
          <w:sz w:val="20"/>
          <w:szCs w:val="20"/>
          <w:color w:val="auto"/>
        </w:rPr>
      </w:pPr>
    </w:p>
    <w:p>
      <w:pPr>
        <w:ind w:left="820" w:hanging="326"/>
        <w:spacing w:after="0"/>
        <w:tabs>
          <w:tab w:leader="none" w:pos="820" w:val="left"/>
        </w:tabs>
        <w:numPr>
          <w:ilvl w:val="0"/>
          <w:numId w:val="114"/>
        </w:numPr>
        <w:rPr>
          <w:rFonts w:ascii="Arial" w:cs="Arial" w:eastAsia="Arial" w:hAnsi="Arial"/>
          <w:sz w:val="20"/>
          <w:szCs w:val="20"/>
          <w:color w:val="auto"/>
        </w:rPr>
      </w:pPr>
      <w:r>
        <w:rPr>
          <w:rFonts w:ascii="Arial" w:cs="Arial" w:eastAsia="Arial" w:hAnsi="Arial"/>
          <w:sz w:val="16"/>
          <w:szCs w:val="16"/>
          <w:color w:val="363636"/>
        </w:rPr>
        <w:t>sexual molestation;</w:t>
      </w:r>
    </w:p>
    <w:p>
      <w:pPr>
        <w:spacing w:after="0" w:line="53" w:lineRule="exact"/>
        <w:rPr>
          <w:rFonts w:ascii="Arial" w:cs="Arial" w:eastAsia="Arial" w:hAnsi="Arial"/>
          <w:sz w:val="20"/>
          <w:szCs w:val="20"/>
          <w:color w:val="auto"/>
        </w:rPr>
      </w:pPr>
    </w:p>
    <w:p>
      <w:pPr>
        <w:ind w:left="820" w:hanging="326"/>
        <w:spacing w:after="0"/>
        <w:tabs>
          <w:tab w:leader="none" w:pos="820" w:val="left"/>
        </w:tabs>
        <w:numPr>
          <w:ilvl w:val="0"/>
          <w:numId w:val="114"/>
        </w:numPr>
        <w:rPr>
          <w:rFonts w:ascii="Arial" w:cs="Arial" w:eastAsia="Arial" w:hAnsi="Arial"/>
          <w:sz w:val="20"/>
          <w:szCs w:val="20"/>
          <w:color w:val="auto"/>
        </w:rPr>
      </w:pPr>
      <w:r>
        <w:rPr>
          <w:rFonts w:ascii="Arial" w:cs="Arial" w:eastAsia="Arial" w:hAnsi="Arial"/>
          <w:sz w:val="16"/>
          <w:szCs w:val="16"/>
          <w:color w:val="363636"/>
        </w:rPr>
        <w:t>sexual misconduct or harassment; or</w:t>
      </w:r>
    </w:p>
    <w:p>
      <w:pPr>
        <w:spacing w:after="0" w:line="94" w:lineRule="exact"/>
        <w:rPr>
          <w:rFonts w:ascii="Arial" w:cs="Arial" w:eastAsia="Arial" w:hAnsi="Arial"/>
          <w:sz w:val="20"/>
          <w:szCs w:val="20"/>
          <w:color w:val="auto"/>
        </w:rPr>
      </w:pPr>
    </w:p>
    <w:p>
      <w:pPr>
        <w:ind w:left="820" w:hanging="326"/>
        <w:spacing w:after="0"/>
        <w:tabs>
          <w:tab w:leader="none" w:pos="820" w:val="left"/>
        </w:tabs>
        <w:numPr>
          <w:ilvl w:val="0"/>
          <w:numId w:val="114"/>
        </w:numPr>
        <w:rPr>
          <w:rFonts w:ascii="Arial" w:cs="Arial" w:eastAsia="Arial" w:hAnsi="Arial"/>
          <w:sz w:val="20"/>
          <w:szCs w:val="20"/>
          <w:color w:val="auto"/>
        </w:rPr>
      </w:pPr>
      <w:r>
        <w:rPr>
          <w:rFonts w:ascii="Arial" w:cs="Arial" w:eastAsia="Arial" w:hAnsi="Arial"/>
          <w:sz w:val="16"/>
          <w:szCs w:val="16"/>
          <w:color w:val="363636"/>
        </w:rPr>
        <w:t>abuse</w:t>
      </w:r>
      <w:r>
        <w:rPr>
          <w:rFonts w:ascii="Arial" w:cs="Arial" w:eastAsia="Arial" w:hAnsi="Arial"/>
          <w:sz w:val="16"/>
          <w:szCs w:val="16"/>
          <w:color w:val="7C7C7B"/>
        </w:rPr>
        <w:t>.</w:t>
      </w:r>
    </w:p>
    <w:p>
      <w:pPr>
        <w:spacing w:after="0" w:line="23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363636"/>
        </w:rPr>
        <w:t xml:space="preserve">Nonpermissive use. </w:t>
      </w:r>
      <w:r>
        <w:rPr>
          <w:rFonts w:ascii="Arial" w:cs="Arial" w:eastAsia="Arial" w:hAnsi="Arial"/>
          <w:sz w:val="16"/>
          <w:szCs w:val="16"/>
          <w:color w:val="363636"/>
        </w:rPr>
        <w:t>We do not cover any person who uses a motorized land vehicle or watercraft without permission from you or a family member.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10 of 15</w:t>
      </w:r>
    </w:p>
    <w:p>
      <w:pPr>
        <w:sectPr>
          <w:pgSz w:w="11900" w:h="16838" w:orient="portrait"/>
          <w:cols w:equalWidth="0" w:num="1">
            <w:col w:w="11400"/>
          </w:cols>
          <w:pgMar w:left="240" w:top="616" w:right="259" w:bottom="1440" w:gutter="0" w:footer="0" w:header="0"/>
        </w:sectPr>
      </w:pPr>
    </w:p>
    <w:bookmarkStart w:id="155" w:name="page156"/>
    <w:bookmarkEnd w:id="155"/>
    <w:p>
      <w:pPr>
        <w:ind w:left="120"/>
        <w:spacing w:after="0"/>
        <w:rPr>
          <w:sz w:val="20"/>
          <w:szCs w:val="20"/>
          <w:color w:val="auto"/>
        </w:rPr>
      </w:pPr>
      <w:r>
        <w:rPr>
          <w:rFonts w:ascii="Arial" w:cs="Arial" w:eastAsia="Arial" w:hAnsi="Arial"/>
          <w:sz w:val="22"/>
          <w:szCs w:val="22"/>
          <w:b w:val="1"/>
          <w:bCs w:val="1"/>
          <w:i w:val="1"/>
          <w:iCs w:val="1"/>
          <w:color w:val="363636"/>
        </w:rPr>
        <w:t>Exclusions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363636"/>
        </w:rPr>
        <w:t>(continued)</w:t>
      </w:r>
    </w:p>
    <w:p>
      <w:pPr>
        <w:spacing w:after="0" w:line="341" w:lineRule="exact"/>
        <w:rPr>
          <w:sz w:val="20"/>
          <w:szCs w:val="20"/>
          <w:color w:val="auto"/>
        </w:rPr>
      </w:pPr>
    </w:p>
    <w:p>
      <w:pPr>
        <w:ind w:left="120" w:right="220"/>
        <w:spacing w:after="0" w:line="275" w:lineRule="auto"/>
        <w:rPr>
          <w:sz w:val="20"/>
          <w:szCs w:val="20"/>
          <w:color w:val="auto"/>
        </w:rPr>
      </w:pPr>
      <w:r>
        <w:rPr>
          <w:rFonts w:ascii="Arial" w:cs="Arial" w:eastAsia="Arial" w:hAnsi="Arial"/>
          <w:sz w:val="18"/>
          <w:szCs w:val="18"/>
          <w:b w:val="1"/>
          <w:bCs w:val="1"/>
          <w:color w:val="363636"/>
        </w:rPr>
        <w:t xml:space="preserve">Business </w:t>
      </w:r>
      <w:r>
        <w:rPr>
          <w:rFonts w:ascii="Arial" w:cs="Arial" w:eastAsia="Arial" w:hAnsi="Arial"/>
          <w:sz w:val="16"/>
          <w:szCs w:val="16"/>
          <w:b w:val="1"/>
          <w:bCs w:val="1"/>
          <w:color w:val="363636"/>
        </w:rPr>
        <w:t>pursuits.</w:t>
      </w:r>
      <w:r>
        <w:rPr>
          <w:rFonts w:ascii="Arial" w:cs="Arial" w:eastAsia="Arial" w:hAnsi="Arial"/>
          <w:sz w:val="18"/>
          <w:szCs w:val="18"/>
          <w:b w:val="1"/>
          <w:bCs w:val="1"/>
          <w:color w:val="363636"/>
        </w:rPr>
        <w:t xml:space="preserve"> </w:t>
      </w:r>
      <w:r>
        <w:rPr>
          <w:rFonts w:ascii="Arial" w:cs="Arial" w:eastAsia="Arial" w:hAnsi="Arial"/>
          <w:sz w:val="16"/>
          <w:szCs w:val="16"/>
          <w:color w:val="363636"/>
        </w:rPr>
        <w:t>We do not cover any damages arising out of a covered person's business pursuits, investment or other for-profit activities, for the account of a covered</w:t>
      </w:r>
      <w:r>
        <w:rPr>
          <w:rFonts w:ascii="Arial" w:cs="Arial" w:eastAsia="Arial" w:hAnsi="Arial"/>
          <w:sz w:val="18"/>
          <w:szCs w:val="18"/>
          <w:b w:val="1"/>
          <w:bCs w:val="1"/>
          <w:color w:val="363636"/>
        </w:rPr>
        <w:t xml:space="preserve"> </w:t>
      </w:r>
      <w:r>
        <w:rPr>
          <w:rFonts w:ascii="Arial" w:cs="Arial" w:eastAsia="Arial" w:hAnsi="Arial"/>
          <w:sz w:val="16"/>
          <w:szCs w:val="16"/>
          <w:color w:val="363636"/>
        </w:rPr>
        <w:t>person or others, or business property except on a follow form basis.</w:t>
      </w:r>
    </w:p>
    <w:p>
      <w:pPr>
        <w:spacing w:after="0" w:line="115" w:lineRule="exact"/>
        <w:rPr>
          <w:sz w:val="20"/>
          <w:szCs w:val="20"/>
          <w:color w:val="auto"/>
        </w:rPr>
      </w:pPr>
    </w:p>
    <w:p>
      <w:pPr>
        <w:jc w:val="both"/>
        <w:ind w:left="120"/>
        <w:spacing w:after="0" w:line="326" w:lineRule="auto"/>
        <w:rPr>
          <w:sz w:val="20"/>
          <w:szCs w:val="20"/>
          <w:color w:val="auto"/>
        </w:rPr>
      </w:pPr>
      <w:r>
        <w:rPr>
          <w:rFonts w:ascii="Arial" w:cs="Arial" w:eastAsia="Arial" w:hAnsi="Arial"/>
          <w:sz w:val="16"/>
          <w:szCs w:val="16"/>
          <w:color w:val="363636"/>
        </w:rPr>
        <w:t>But we do cover damages arising out of volunteer work for an organized charitable, religious or community group, an incidental business away from home, incidental business at home, incidental business property, incidental farming, or residence premises conditional business liability unless another exclusion applies. We also cover damages arising out of your or a family member</w:t>
      </w:r>
      <w:r>
        <w:rPr>
          <w:rFonts w:ascii="Arial" w:cs="Arial" w:eastAsia="Arial" w:hAnsi="Arial"/>
          <w:sz w:val="16"/>
          <w:szCs w:val="16"/>
          <w:color w:val="4F4F4D"/>
        </w:rPr>
        <w:t>'</w:t>
      </w:r>
      <w:r>
        <w:rPr>
          <w:rFonts w:ascii="Arial" w:cs="Arial" w:eastAsia="Arial" w:hAnsi="Arial"/>
          <w:sz w:val="16"/>
          <w:szCs w:val="16"/>
          <w:color w:val="363636"/>
        </w:rPr>
        <w:t xml:space="preserve"> s ownership, maintenance, or use of a private passenger motor vehicle in business activities other than selling, repairing</w:t>
      </w:r>
      <w:r>
        <w:rPr>
          <w:rFonts w:ascii="Arial" w:cs="Arial" w:eastAsia="Arial" w:hAnsi="Arial"/>
          <w:sz w:val="16"/>
          <w:szCs w:val="16"/>
          <w:color w:val="4F4F4D"/>
        </w:rPr>
        <w:t>,</w:t>
      </w:r>
      <w:r>
        <w:rPr>
          <w:rFonts w:ascii="Arial" w:cs="Arial" w:eastAsia="Arial" w:hAnsi="Arial"/>
          <w:sz w:val="16"/>
          <w:szCs w:val="16"/>
          <w:color w:val="363636"/>
        </w:rPr>
        <w:t xml:space="preserve"> servicing, storing, parking, testing, or delivering motorized land vehicles.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Unless stated otherwise in your Coverage Summary</w:t>
      </w:r>
      <w:r>
        <w:rPr>
          <w:rFonts w:ascii="Arial" w:cs="Arial" w:eastAsia="Arial" w:hAnsi="Arial"/>
          <w:sz w:val="16"/>
          <w:szCs w:val="16"/>
          <w:color w:val="4F4F4D"/>
        </w:rPr>
        <w:t>:</w:t>
      </w:r>
    </w:p>
    <w:p>
      <w:pPr>
        <w:spacing w:after="0" w:line="167" w:lineRule="exact"/>
        <w:rPr>
          <w:sz w:val="20"/>
          <w:szCs w:val="20"/>
          <w:color w:val="auto"/>
        </w:rPr>
      </w:pPr>
    </w:p>
    <w:p>
      <w:pPr>
        <w:ind w:left="120" w:right="420"/>
        <w:spacing w:after="0" w:line="308" w:lineRule="auto"/>
        <w:rPr>
          <w:sz w:val="20"/>
          <w:szCs w:val="20"/>
          <w:color w:val="auto"/>
        </w:rPr>
      </w:pPr>
      <w:r>
        <w:rPr>
          <w:rFonts w:ascii="Arial" w:cs="Arial" w:eastAsia="Arial" w:hAnsi="Arial"/>
          <w:sz w:val="16"/>
          <w:szCs w:val="16"/>
          <w:color w:val="363636"/>
        </w:rPr>
        <w:t>"Incidental business away from home</w:t>
      </w:r>
      <w:r>
        <w:rPr>
          <w:rFonts w:ascii="Arial" w:cs="Arial" w:eastAsia="Arial" w:hAnsi="Arial"/>
          <w:sz w:val="16"/>
          <w:szCs w:val="16"/>
          <w:color w:val="4F4F4D"/>
        </w:rPr>
        <w:t>"</w:t>
      </w:r>
      <w:r>
        <w:rPr>
          <w:rFonts w:ascii="Arial" w:cs="Arial" w:eastAsia="Arial" w:hAnsi="Arial"/>
          <w:sz w:val="16"/>
          <w:szCs w:val="16"/>
          <w:color w:val="363636"/>
        </w:rPr>
        <w:t xml:space="preserve"> is a self-employed sales activity, or a self-employed business activity normally undertaken by person under the age of 18 such as newspaper delivery</w:t>
      </w:r>
      <w:r>
        <w:rPr>
          <w:rFonts w:ascii="Arial" w:cs="Arial" w:eastAsia="Arial" w:hAnsi="Arial"/>
          <w:sz w:val="16"/>
          <w:szCs w:val="16"/>
          <w:color w:val="4F4F4D"/>
        </w:rPr>
        <w:t>,</w:t>
      </w:r>
      <w:r>
        <w:rPr>
          <w:rFonts w:ascii="Arial" w:cs="Arial" w:eastAsia="Arial" w:hAnsi="Arial"/>
          <w:sz w:val="16"/>
          <w:szCs w:val="16"/>
          <w:color w:val="363636"/>
        </w:rPr>
        <w:t xml:space="preserve"> babysitting, caddying, and lawn care. Either of these activities must:</w:t>
      </w:r>
    </w:p>
    <w:p>
      <w:pPr>
        <w:ind w:left="440" w:hanging="297"/>
        <w:spacing w:after="0"/>
        <w:tabs>
          <w:tab w:leader="none" w:pos="440" w:val="left"/>
        </w:tabs>
        <w:numPr>
          <w:ilvl w:val="0"/>
          <w:numId w:val="115"/>
        </w:numPr>
        <w:rPr>
          <w:rFonts w:ascii="Arial" w:cs="Arial" w:eastAsia="Arial" w:hAnsi="Arial"/>
          <w:sz w:val="16"/>
          <w:szCs w:val="16"/>
          <w:color w:val="auto"/>
        </w:rPr>
      </w:pPr>
      <w:r>
        <w:rPr>
          <w:rFonts w:ascii="Arial" w:cs="Arial" w:eastAsia="Arial" w:hAnsi="Arial"/>
          <w:sz w:val="16"/>
          <w:szCs w:val="16"/>
          <w:color w:val="363636"/>
        </w:rPr>
        <w:t>not yield gross revenues in excess of $</w:t>
      </w:r>
      <w:r>
        <w:rPr>
          <w:rFonts w:ascii="Arial" w:cs="Arial" w:eastAsia="Arial" w:hAnsi="Arial"/>
          <w:sz w:val="16"/>
          <w:szCs w:val="16"/>
          <w:color w:val="4F4F4D"/>
        </w:rPr>
        <w:t>1</w:t>
      </w:r>
      <w:r>
        <w:rPr>
          <w:rFonts w:ascii="Arial" w:cs="Arial" w:eastAsia="Arial" w:hAnsi="Arial"/>
          <w:sz w:val="16"/>
          <w:szCs w:val="16"/>
          <w:color w:val="363636"/>
        </w:rPr>
        <w:t>5,000 in any year;</w:t>
      </w:r>
    </w:p>
    <w:p>
      <w:pPr>
        <w:spacing w:after="0" w:line="45" w:lineRule="exact"/>
        <w:rPr>
          <w:rFonts w:ascii="Arial" w:cs="Arial" w:eastAsia="Arial" w:hAnsi="Arial"/>
          <w:sz w:val="16"/>
          <w:szCs w:val="16"/>
          <w:color w:val="auto"/>
        </w:rPr>
      </w:pPr>
    </w:p>
    <w:p>
      <w:pPr>
        <w:ind w:left="440" w:hanging="297"/>
        <w:spacing w:after="0"/>
        <w:tabs>
          <w:tab w:leader="none" w:pos="440" w:val="left"/>
        </w:tabs>
        <w:numPr>
          <w:ilvl w:val="0"/>
          <w:numId w:val="115"/>
        </w:numPr>
        <w:rPr>
          <w:rFonts w:ascii="Arial" w:cs="Arial" w:eastAsia="Arial" w:hAnsi="Arial"/>
          <w:sz w:val="16"/>
          <w:szCs w:val="16"/>
          <w:color w:val="auto"/>
        </w:rPr>
      </w:pPr>
      <w:r>
        <w:rPr>
          <w:rFonts w:ascii="Arial" w:cs="Arial" w:eastAsia="Arial" w:hAnsi="Arial"/>
          <w:sz w:val="16"/>
          <w:szCs w:val="16"/>
          <w:color w:val="363636"/>
        </w:rPr>
        <w:t>have no employees subject to worke</w:t>
      </w:r>
      <w:r>
        <w:rPr>
          <w:rFonts w:ascii="Arial" w:cs="Arial" w:eastAsia="Arial" w:hAnsi="Arial"/>
          <w:sz w:val="16"/>
          <w:szCs w:val="16"/>
          <w:color w:val="4F4F4D"/>
        </w:rPr>
        <w:t>r’</w:t>
      </w:r>
      <w:r>
        <w:rPr>
          <w:rFonts w:ascii="Arial" w:cs="Arial" w:eastAsia="Arial" w:hAnsi="Arial"/>
          <w:sz w:val="16"/>
          <w:szCs w:val="16"/>
          <w:color w:val="363636"/>
        </w:rPr>
        <w:t>s compensation or other similar disability laws;</w:t>
      </w:r>
    </w:p>
    <w:p>
      <w:pPr>
        <w:spacing w:after="0" w:line="45" w:lineRule="exact"/>
        <w:rPr>
          <w:rFonts w:ascii="Arial" w:cs="Arial" w:eastAsia="Arial" w:hAnsi="Arial"/>
          <w:sz w:val="16"/>
          <w:szCs w:val="16"/>
          <w:color w:val="auto"/>
        </w:rPr>
      </w:pPr>
    </w:p>
    <w:p>
      <w:pPr>
        <w:ind w:left="440" w:hanging="297"/>
        <w:spacing w:after="0"/>
        <w:tabs>
          <w:tab w:leader="none" w:pos="440" w:val="left"/>
        </w:tabs>
        <w:numPr>
          <w:ilvl w:val="0"/>
          <w:numId w:val="115"/>
        </w:numPr>
        <w:rPr>
          <w:rFonts w:ascii="Arial" w:cs="Arial" w:eastAsia="Arial" w:hAnsi="Arial"/>
          <w:sz w:val="16"/>
          <w:szCs w:val="16"/>
          <w:color w:val="auto"/>
        </w:rPr>
      </w:pPr>
      <w:r>
        <w:rPr>
          <w:rFonts w:ascii="Arial" w:cs="Arial" w:eastAsia="Arial" w:hAnsi="Arial"/>
          <w:sz w:val="16"/>
          <w:szCs w:val="16"/>
          <w:color w:val="363636"/>
        </w:rPr>
        <w:t>conform to local</w:t>
      </w:r>
      <w:r>
        <w:rPr>
          <w:rFonts w:ascii="Arial" w:cs="Arial" w:eastAsia="Arial" w:hAnsi="Arial"/>
          <w:sz w:val="16"/>
          <w:szCs w:val="16"/>
          <w:color w:val="4F4F4D"/>
        </w:rPr>
        <w:t>,</w:t>
      </w:r>
      <w:r>
        <w:rPr>
          <w:rFonts w:ascii="Arial" w:cs="Arial" w:eastAsia="Arial" w:hAnsi="Arial"/>
          <w:sz w:val="16"/>
          <w:szCs w:val="16"/>
          <w:color w:val="363636"/>
        </w:rPr>
        <w:t xml:space="preserve"> state, and federal laws.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"Incidental business at home" is a business activity</w:t>
      </w:r>
      <w:r>
        <w:rPr>
          <w:rFonts w:ascii="Arial" w:cs="Arial" w:eastAsia="Arial" w:hAnsi="Arial"/>
          <w:sz w:val="16"/>
          <w:szCs w:val="16"/>
          <w:color w:val="4F4F4D"/>
        </w:rPr>
        <w:t>,</w:t>
      </w:r>
      <w:r>
        <w:rPr>
          <w:rFonts w:ascii="Arial" w:cs="Arial" w:eastAsia="Arial" w:hAnsi="Arial"/>
          <w:sz w:val="16"/>
          <w:szCs w:val="16"/>
          <w:color w:val="363636"/>
        </w:rPr>
        <w:t xml:space="preserve"> other than farming, conducted on your residence premises which must:</w:t>
      </w:r>
    </w:p>
    <w:p>
      <w:pPr>
        <w:spacing w:after="0" w:line="46" w:lineRule="exact"/>
        <w:rPr>
          <w:sz w:val="20"/>
          <w:szCs w:val="20"/>
          <w:color w:val="auto"/>
        </w:rPr>
      </w:pPr>
    </w:p>
    <w:p>
      <w:pPr>
        <w:ind w:left="160" w:right="2140" w:firstLine="10"/>
        <w:spacing w:after="0" w:line="308" w:lineRule="auto"/>
        <w:tabs>
          <w:tab w:leader="none" w:pos="457" w:val="left"/>
        </w:tabs>
        <w:numPr>
          <w:ilvl w:val="0"/>
          <w:numId w:val="116"/>
        </w:numPr>
        <w:rPr>
          <w:rFonts w:ascii="Arial" w:cs="Arial" w:eastAsia="Arial" w:hAnsi="Arial"/>
          <w:sz w:val="16"/>
          <w:szCs w:val="16"/>
          <w:color w:val="auto"/>
        </w:rPr>
      </w:pPr>
      <w:r>
        <w:rPr>
          <w:rFonts w:ascii="Arial" w:cs="Arial" w:eastAsia="Arial" w:hAnsi="Arial"/>
          <w:sz w:val="16"/>
          <w:szCs w:val="16"/>
          <w:color w:val="363636"/>
        </w:rPr>
        <w:t>not yield gross revenues in excess of $15,000</w:t>
      </w:r>
      <w:r>
        <w:rPr>
          <w:rFonts w:ascii="Arial" w:cs="Arial" w:eastAsia="Arial" w:hAnsi="Arial"/>
          <w:sz w:val="16"/>
          <w:szCs w:val="16"/>
          <w:color w:val="4F4F4D"/>
        </w:rPr>
        <w:t>,</w:t>
      </w:r>
      <w:r>
        <w:rPr>
          <w:rFonts w:ascii="Arial" w:cs="Arial" w:eastAsia="Arial" w:hAnsi="Arial"/>
          <w:sz w:val="16"/>
          <w:szCs w:val="16"/>
          <w:color w:val="363636"/>
        </w:rPr>
        <w:t xml:space="preserve"> in any year, except for the business activity of managing one's own personal investments; have no employees subject to w</w:t>
      </w:r>
      <w:r>
        <w:rPr>
          <w:rFonts w:ascii="Arial" w:cs="Arial" w:eastAsia="Arial" w:hAnsi="Arial"/>
          <w:sz w:val="16"/>
          <w:szCs w:val="16"/>
          <w:color w:val="4F4F4D"/>
        </w:rPr>
        <w:t>o</w:t>
      </w:r>
      <w:r>
        <w:rPr>
          <w:rFonts w:ascii="Arial" w:cs="Arial" w:eastAsia="Arial" w:hAnsi="Arial"/>
          <w:sz w:val="16"/>
          <w:szCs w:val="16"/>
          <w:color w:val="363636"/>
        </w:rPr>
        <w:t>rker's compensation or other similar disability laws;</w:t>
      </w:r>
    </w:p>
    <w:p>
      <w:pPr>
        <w:ind w:left="460" w:hanging="290"/>
        <w:spacing w:after="0"/>
        <w:tabs>
          <w:tab w:leader="none" w:pos="460" w:val="left"/>
        </w:tabs>
        <w:numPr>
          <w:ilvl w:val="0"/>
          <w:numId w:val="116"/>
        </w:numPr>
        <w:rPr>
          <w:rFonts w:ascii="Arial" w:cs="Arial" w:eastAsia="Arial" w:hAnsi="Arial"/>
          <w:sz w:val="16"/>
          <w:szCs w:val="16"/>
          <w:color w:val="auto"/>
        </w:rPr>
      </w:pPr>
      <w:r>
        <w:rPr>
          <w:rFonts w:ascii="Arial" w:cs="Arial" w:eastAsia="Arial" w:hAnsi="Arial"/>
          <w:sz w:val="16"/>
          <w:szCs w:val="16"/>
          <w:color w:val="363636"/>
        </w:rPr>
        <w:t>conform to local, state, and federal laws</w:t>
      </w:r>
      <w:r>
        <w:rPr>
          <w:rFonts w:ascii="Arial" w:cs="Arial" w:eastAsia="Arial" w:hAnsi="Arial"/>
          <w:sz w:val="16"/>
          <w:szCs w:val="16"/>
          <w:color w:val="4F4F4D"/>
        </w:rPr>
        <w:t>.</w:t>
      </w:r>
    </w:p>
    <w:p>
      <w:pPr>
        <w:spacing w:after="0" w:line="208" w:lineRule="exact"/>
        <w:rPr>
          <w:sz w:val="20"/>
          <w:szCs w:val="20"/>
          <w:color w:val="auto"/>
        </w:rPr>
      </w:pPr>
    </w:p>
    <w:p>
      <w:pPr>
        <w:jc w:val="both"/>
        <w:ind w:left="120" w:firstLine="14"/>
        <w:spacing w:after="0" w:line="295" w:lineRule="auto"/>
        <w:rPr>
          <w:sz w:val="20"/>
          <w:szCs w:val="20"/>
          <w:color w:val="auto"/>
        </w:rPr>
      </w:pPr>
      <w:r>
        <w:rPr>
          <w:rFonts w:ascii="Arial" w:cs="Arial" w:eastAsia="Arial" w:hAnsi="Arial"/>
          <w:sz w:val="16"/>
          <w:szCs w:val="16"/>
          <w:color w:val="363636"/>
        </w:rPr>
        <w:t>"Incidental business property</w:t>
      </w:r>
      <w:r>
        <w:rPr>
          <w:rFonts w:ascii="Arial" w:cs="Arial" w:eastAsia="Arial" w:hAnsi="Arial"/>
          <w:sz w:val="16"/>
          <w:szCs w:val="16"/>
          <w:color w:val="4F4F4D"/>
        </w:rPr>
        <w:t>"</w:t>
      </w:r>
      <w:r>
        <w:rPr>
          <w:rFonts w:ascii="Arial" w:cs="Arial" w:eastAsia="Arial" w:hAnsi="Arial"/>
          <w:sz w:val="16"/>
          <w:szCs w:val="16"/>
          <w:color w:val="363636"/>
        </w:rPr>
        <w:t xml:space="preserve"> is limited to the rental or holding for rental, to be used as a residence, of a condominium or cooperative unit owned by you or a </w:t>
      </w:r>
      <w:r>
        <w:rPr>
          <w:rFonts w:ascii="Arial" w:cs="Arial" w:eastAsia="Arial" w:hAnsi="Arial"/>
          <w:sz w:val="16"/>
          <w:szCs w:val="16"/>
          <w:color w:val="4F4F4D"/>
        </w:rPr>
        <w:t>f</w:t>
      </w:r>
      <w:r>
        <w:rPr>
          <w:rFonts w:ascii="Arial" w:cs="Arial" w:eastAsia="Arial" w:hAnsi="Arial"/>
          <w:sz w:val="16"/>
          <w:szCs w:val="16"/>
          <w:color w:val="363636"/>
        </w:rPr>
        <w:t xml:space="preserve">amily member, an apartment unit rented to you or a family member, a one or two family dwelling owned by you or a family member, or a three or four family dwelling owned and occupied by you or a family member. We provide this coverage only for premises covered under the Required </w:t>
      </w:r>
      <w:r>
        <w:rPr>
          <w:rFonts w:ascii="Arial" w:cs="Arial" w:eastAsia="Arial" w:hAnsi="Arial"/>
          <w:sz w:val="15"/>
          <w:szCs w:val="15"/>
          <w:color w:val="363636"/>
        </w:rPr>
        <w:t>Primary</w:t>
      </w:r>
      <w:r>
        <w:rPr>
          <w:rFonts w:ascii="Arial" w:cs="Arial" w:eastAsia="Arial" w:hAnsi="Arial"/>
          <w:sz w:val="16"/>
          <w:szCs w:val="16"/>
          <w:color w:val="363636"/>
        </w:rPr>
        <w:t xml:space="preserve"> Underlying Insurance unless the rental or holding for rental is for</w:t>
      </w:r>
      <w:r>
        <w:rPr>
          <w:rFonts w:ascii="Arial" w:cs="Arial" w:eastAsia="Arial" w:hAnsi="Arial"/>
          <w:sz w:val="16"/>
          <w:szCs w:val="16"/>
          <w:color w:val="4F4F4D"/>
        </w:rPr>
        <w:t>:</w:t>
      </w:r>
    </w:p>
    <w:p>
      <w:pPr>
        <w:ind w:left="460" w:hanging="290"/>
        <w:spacing w:after="0"/>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363636"/>
        </w:rPr>
        <w:t>a residence of yours or a family member</w:t>
      </w:r>
      <w:r>
        <w:rPr>
          <w:rFonts w:ascii="Arial" w:cs="Arial" w:eastAsia="Arial" w:hAnsi="Arial"/>
          <w:sz w:val="16"/>
          <w:szCs w:val="16"/>
          <w:color w:val="4F4F4D"/>
        </w:rPr>
        <w:t>'</w:t>
      </w:r>
      <w:r>
        <w:rPr>
          <w:rFonts w:ascii="Arial" w:cs="Arial" w:eastAsia="Arial" w:hAnsi="Arial"/>
          <w:sz w:val="16"/>
          <w:szCs w:val="16"/>
          <w:color w:val="363636"/>
        </w:rPr>
        <w:t>s that is occasionally rented and that is used exclusively as a residence; or</w:t>
      </w:r>
    </w:p>
    <w:p>
      <w:pPr>
        <w:spacing w:after="0" w:line="22" w:lineRule="exact"/>
        <w:rPr>
          <w:rFonts w:ascii="Arial" w:cs="Arial" w:eastAsia="Arial" w:hAnsi="Arial"/>
          <w:sz w:val="16"/>
          <w:szCs w:val="16"/>
          <w:color w:val="auto"/>
        </w:rPr>
      </w:pPr>
    </w:p>
    <w:p>
      <w:pPr>
        <w:ind w:left="460" w:hanging="290"/>
        <w:spacing w:after="0"/>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363636"/>
        </w:rPr>
        <w:t>part of a residence of yours or a family member's by one or two roomers or boarders; or</w:t>
      </w:r>
    </w:p>
    <w:p>
      <w:pPr>
        <w:spacing w:after="0" w:line="41" w:lineRule="exact"/>
        <w:rPr>
          <w:rFonts w:ascii="Arial" w:cs="Arial" w:eastAsia="Arial" w:hAnsi="Arial"/>
          <w:sz w:val="16"/>
          <w:szCs w:val="16"/>
          <w:color w:val="auto"/>
        </w:rPr>
      </w:pPr>
    </w:p>
    <w:p>
      <w:pPr>
        <w:ind w:left="460" w:hanging="290"/>
        <w:spacing w:after="0"/>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363636"/>
        </w:rPr>
        <w:t>part of a residence of yours or a family member</w:t>
      </w:r>
      <w:r>
        <w:rPr>
          <w:rFonts w:ascii="Arial" w:cs="Arial" w:eastAsia="Arial" w:hAnsi="Arial"/>
          <w:sz w:val="16"/>
          <w:szCs w:val="16"/>
          <w:color w:val="4F4F4D"/>
        </w:rPr>
        <w:t>'</w:t>
      </w:r>
      <w:r>
        <w:rPr>
          <w:rFonts w:ascii="Arial" w:cs="Arial" w:eastAsia="Arial" w:hAnsi="Arial"/>
          <w:sz w:val="16"/>
          <w:szCs w:val="16"/>
          <w:color w:val="363636"/>
        </w:rPr>
        <w:t xml:space="preserve"> s as an office, school</w:t>
      </w:r>
      <w:r>
        <w:rPr>
          <w:rFonts w:ascii="Arial" w:cs="Arial" w:eastAsia="Arial" w:hAnsi="Arial"/>
          <w:sz w:val="16"/>
          <w:szCs w:val="16"/>
          <w:color w:val="4F4F4D"/>
        </w:rPr>
        <w:t>,</w:t>
      </w:r>
      <w:r>
        <w:rPr>
          <w:rFonts w:ascii="Arial" w:cs="Arial" w:eastAsia="Arial" w:hAnsi="Arial"/>
          <w:sz w:val="16"/>
          <w:szCs w:val="16"/>
          <w:color w:val="363636"/>
        </w:rPr>
        <w:t xml:space="preserve"> studio, or private garage</w:t>
      </w:r>
      <w:r>
        <w:rPr>
          <w:rFonts w:ascii="Arial" w:cs="Arial" w:eastAsia="Arial" w:hAnsi="Arial"/>
          <w:sz w:val="16"/>
          <w:szCs w:val="16"/>
          <w:color w:val="7E807C"/>
        </w:rPr>
        <w:t>.</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"Incidental farming" is a farming activity which meets all of the following requirements</w:t>
      </w:r>
      <w:r>
        <w:rPr>
          <w:rFonts w:ascii="Arial" w:cs="Arial" w:eastAsia="Arial" w:hAnsi="Arial"/>
          <w:sz w:val="16"/>
          <w:szCs w:val="16"/>
          <w:color w:val="4F4F4D"/>
        </w:rPr>
        <w:t>:</w:t>
      </w:r>
    </w:p>
    <w:p>
      <w:pPr>
        <w:spacing w:after="0" w:line="22" w:lineRule="exact"/>
        <w:rPr>
          <w:sz w:val="20"/>
          <w:szCs w:val="20"/>
          <w:color w:val="auto"/>
        </w:rPr>
      </w:pPr>
    </w:p>
    <w:p>
      <w:pPr>
        <w:ind w:left="460" w:hanging="276"/>
        <w:spacing w:after="0"/>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363636"/>
        </w:rPr>
        <w:t xml:space="preserve">is incidental </w:t>
      </w:r>
      <w:r>
        <w:rPr>
          <w:rFonts w:ascii="Arial" w:cs="Arial" w:eastAsia="Arial" w:hAnsi="Arial"/>
          <w:sz w:val="15"/>
          <w:szCs w:val="15"/>
          <w:color w:val="363636"/>
        </w:rPr>
        <w:t>to</w:t>
      </w:r>
      <w:r>
        <w:rPr>
          <w:rFonts w:ascii="Arial" w:cs="Arial" w:eastAsia="Arial" w:hAnsi="Arial"/>
          <w:sz w:val="16"/>
          <w:szCs w:val="16"/>
          <w:color w:val="363636"/>
        </w:rPr>
        <w:t xml:space="preserve"> your or a family member’s use of the premises as a residence;</w:t>
      </w:r>
    </w:p>
    <w:p>
      <w:pPr>
        <w:spacing w:after="0" w:line="55" w:lineRule="exact"/>
        <w:rPr>
          <w:rFonts w:ascii="Arial" w:cs="Arial" w:eastAsia="Arial" w:hAnsi="Arial"/>
          <w:sz w:val="16"/>
          <w:szCs w:val="16"/>
          <w:color w:val="auto"/>
        </w:rPr>
      </w:pPr>
    </w:p>
    <w:p>
      <w:pPr>
        <w:ind w:left="460" w:hanging="276"/>
        <w:spacing w:after="0"/>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363636"/>
        </w:rPr>
        <w:t>does not involve employment of others for more than 1</w:t>
      </w:r>
      <w:r>
        <w:rPr>
          <w:rFonts w:ascii="Arial" w:cs="Arial" w:eastAsia="Arial" w:hAnsi="Arial"/>
          <w:sz w:val="16"/>
          <w:szCs w:val="16"/>
          <w:color w:val="4F4F4D"/>
        </w:rPr>
        <w:t>,</w:t>
      </w:r>
      <w:r>
        <w:rPr>
          <w:rFonts w:ascii="Arial" w:cs="Arial" w:eastAsia="Arial" w:hAnsi="Arial"/>
          <w:sz w:val="16"/>
          <w:szCs w:val="16"/>
          <w:color w:val="363636"/>
        </w:rPr>
        <w:t>500 hours of farm work during the policy period;</w:t>
      </w:r>
    </w:p>
    <w:p>
      <w:pPr>
        <w:spacing w:after="0" w:line="45" w:lineRule="exact"/>
        <w:rPr>
          <w:rFonts w:ascii="Arial" w:cs="Arial" w:eastAsia="Arial" w:hAnsi="Arial"/>
          <w:sz w:val="16"/>
          <w:szCs w:val="16"/>
          <w:color w:val="auto"/>
        </w:rPr>
      </w:pPr>
    </w:p>
    <w:p>
      <w:pPr>
        <w:ind w:left="460" w:hanging="276"/>
        <w:spacing w:after="0"/>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363636"/>
        </w:rPr>
        <w:t>does not produce more than $25,000 in gross annual revenue from agricultural operations</w:t>
      </w:r>
      <w:r>
        <w:rPr>
          <w:rFonts w:ascii="Arial" w:cs="Arial" w:eastAsia="Arial" w:hAnsi="Arial"/>
          <w:sz w:val="16"/>
          <w:szCs w:val="16"/>
          <w:color w:val="4F4F4D"/>
        </w:rPr>
        <w:t>;</w:t>
      </w:r>
    </w:p>
    <w:p>
      <w:pPr>
        <w:spacing w:after="0" w:line="45" w:lineRule="exact"/>
        <w:rPr>
          <w:rFonts w:ascii="Arial" w:cs="Arial" w:eastAsia="Arial" w:hAnsi="Arial"/>
          <w:sz w:val="16"/>
          <w:szCs w:val="16"/>
          <w:color w:val="auto"/>
        </w:rPr>
      </w:pPr>
    </w:p>
    <w:p>
      <w:pPr>
        <w:ind w:left="460" w:hanging="276"/>
        <w:spacing w:after="0"/>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363636"/>
        </w:rPr>
        <w:t>and with respect to the raising or care of animals:</w:t>
      </w:r>
    </w:p>
    <w:p>
      <w:pPr>
        <w:spacing w:after="0" w:line="32" w:lineRule="exact"/>
        <w:rPr>
          <w:rFonts w:ascii="Arial" w:cs="Arial" w:eastAsia="Arial" w:hAnsi="Arial"/>
          <w:sz w:val="16"/>
          <w:szCs w:val="16"/>
          <w:color w:val="auto"/>
        </w:rPr>
      </w:pPr>
    </w:p>
    <w:p>
      <w:pPr>
        <w:ind w:left="460" w:hanging="276"/>
        <w:spacing w:after="0"/>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363636"/>
        </w:rPr>
        <w:t>does not produce more than $50,000 in gross annual revenues;</w:t>
      </w:r>
    </w:p>
    <w:p>
      <w:pPr>
        <w:spacing w:after="0" w:line="22" w:lineRule="exact"/>
        <w:rPr>
          <w:rFonts w:ascii="Arial" w:cs="Arial" w:eastAsia="Arial" w:hAnsi="Arial"/>
          <w:sz w:val="16"/>
          <w:szCs w:val="16"/>
          <w:color w:val="auto"/>
        </w:rPr>
      </w:pPr>
    </w:p>
    <w:p>
      <w:pPr>
        <w:ind w:left="460" w:hanging="276"/>
        <w:spacing w:after="0"/>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363636"/>
        </w:rPr>
        <w:t>does not involve more than 25 sale</w:t>
      </w:r>
      <w:r>
        <w:rPr>
          <w:rFonts w:ascii="Arial" w:cs="Arial" w:eastAsia="Arial" w:hAnsi="Arial"/>
          <w:sz w:val="16"/>
          <w:szCs w:val="16"/>
          <w:color w:val="4F4F4D"/>
        </w:rPr>
        <w:t>s</w:t>
      </w:r>
      <w:r>
        <w:rPr>
          <w:rFonts w:ascii="Arial" w:cs="Arial" w:eastAsia="Arial" w:hAnsi="Arial"/>
          <w:sz w:val="16"/>
          <w:szCs w:val="16"/>
          <w:color w:val="363636"/>
        </w:rPr>
        <w:t xml:space="preserve"> transactions during the policy period</w:t>
      </w:r>
      <w:r>
        <w:rPr>
          <w:rFonts w:ascii="Arial" w:cs="Arial" w:eastAsia="Arial" w:hAnsi="Arial"/>
          <w:sz w:val="16"/>
          <w:szCs w:val="16"/>
          <w:color w:val="4F4F4D"/>
        </w:rPr>
        <w:t>;</w:t>
      </w:r>
    </w:p>
    <w:p>
      <w:pPr>
        <w:spacing w:after="0" w:line="37" w:lineRule="exact"/>
        <w:rPr>
          <w:rFonts w:ascii="Arial" w:cs="Arial" w:eastAsia="Arial" w:hAnsi="Arial"/>
          <w:sz w:val="16"/>
          <w:szCs w:val="16"/>
          <w:color w:val="auto"/>
        </w:rPr>
      </w:pPr>
    </w:p>
    <w:p>
      <w:pPr>
        <w:ind w:left="460" w:hanging="276"/>
        <w:spacing w:after="0"/>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363636"/>
        </w:rPr>
        <w:t xml:space="preserve">does not involve the sale of more than </w:t>
      </w:r>
      <w:r>
        <w:rPr>
          <w:rFonts w:ascii="Arial" w:cs="Arial" w:eastAsia="Arial" w:hAnsi="Arial"/>
          <w:sz w:val="18"/>
          <w:szCs w:val="18"/>
          <w:i w:val="1"/>
          <w:iCs w:val="1"/>
          <w:color w:val="363636"/>
        </w:rPr>
        <w:t>50</w:t>
      </w:r>
      <w:r>
        <w:rPr>
          <w:rFonts w:ascii="Arial" w:cs="Arial" w:eastAsia="Arial" w:hAnsi="Arial"/>
          <w:sz w:val="16"/>
          <w:szCs w:val="16"/>
          <w:color w:val="363636"/>
        </w:rPr>
        <w:t xml:space="preserve"> animals during the policy period.</w:t>
      </w:r>
    </w:p>
    <w:p>
      <w:pPr>
        <w:spacing w:after="0" w:line="311" w:lineRule="exact"/>
        <w:rPr>
          <w:sz w:val="20"/>
          <w:szCs w:val="20"/>
          <w:color w:val="auto"/>
        </w:rPr>
      </w:pPr>
    </w:p>
    <w:p>
      <w:pPr>
        <w:ind w:left="120"/>
        <w:spacing w:after="0" w:line="299" w:lineRule="auto"/>
        <w:rPr>
          <w:sz w:val="20"/>
          <w:szCs w:val="20"/>
          <w:color w:val="auto"/>
        </w:rPr>
      </w:pPr>
      <w:r>
        <w:rPr>
          <w:rFonts w:ascii="Arial" w:cs="Arial" w:eastAsia="Arial" w:hAnsi="Arial"/>
          <w:sz w:val="16"/>
          <w:szCs w:val="16"/>
          <w:color w:val="363636"/>
        </w:rPr>
        <w:t>"Residence premises conditional business liability" is limited to business or professional activities when legally conducted by you or a family member at your residence. We provide coverage only for personal injury or property damage arising out of the physical condition o</w:t>
      </w:r>
      <w:r>
        <w:rPr>
          <w:rFonts w:ascii="Arial" w:cs="Arial" w:eastAsia="Arial" w:hAnsi="Arial"/>
          <w:sz w:val="16"/>
          <w:szCs w:val="16"/>
          <w:color w:val="4F4F4D"/>
        </w:rPr>
        <w:t>f</w:t>
      </w:r>
      <w:r>
        <w:rPr>
          <w:rFonts w:ascii="Arial" w:cs="Arial" w:eastAsia="Arial" w:hAnsi="Arial"/>
          <w:sz w:val="16"/>
          <w:szCs w:val="16"/>
          <w:color w:val="363636"/>
        </w:rPr>
        <w:t xml:space="preserve"> that residence if</w:t>
      </w:r>
      <w:r>
        <w:rPr>
          <w:rFonts w:ascii="Arial" w:cs="Arial" w:eastAsia="Arial" w:hAnsi="Arial"/>
          <w:sz w:val="16"/>
          <w:szCs w:val="16"/>
          <w:color w:val="4F4F4D"/>
        </w:rPr>
        <w:t>:</w:t>
      </w:r>
    </w:p>
    <w:p>
      <w:pPr>
        <w:spacing w:after="0" w:line="1" w:lineRule="exact"/>
        <w:rPr>
          <w:sz w:val="20"/>
          <w:szCs w:val="20"/>
          <w:color w:val="auto"/>
        </w:rPr>
      </w:pPr>
    </w:p>
    <w:p>
      <w:pPr>
        <w:ind w:left="460" w:hanging="290"/>
        <w:spacing w:after="0" w:line="308" w:lineRule="auto"/>
        <w:tabs>
          <w:tab w:leader="none" w:pos="460" w:val="left"/>
        </w:tabs>
        <w:numPr>
          <w:ilvl w:val="0"/>
          <w:numId w:val="119"/>
        </w:numPr>
        <w:rPr>
          <w:rFonts w:ascii="Arial" w:cs="Arial" w:eastAsia="Arial" w:hAnsi="Arial"/>
          <w:sz w:val="16"/>
          <w:szCs w:val="16"/>
          <w:color w:val="363636"/>
        </w:rPr>
      </w:pPr>
      <w:r>
        <w:rPr>
          <w:rFonts w:ascii="Arial" w:cs="Arial" w:eastAsia="Arial" w:hAnsi="Arial"/>
          <w:sz w:val="16"/>
          <w:szCs w:val="16"/>
          <w:color w:val="363636"/>
        </w:rPr>
        <w:t>you or a family member do no</w:t>
      </w:r>
      <w:r>
        <w:rPr>
          <w:rFonts w:ascii="Arial" w:cs="Arial" w:eastAsia="Arial" w:hAnsi="Arial"/>
          <w:sz w:val="16"/>
          <w:szCs w:val="16"/>
          <w:color w:val="4F4F4D"/>
        </w:rPr>
        <w:t>t</w:t>
      </w:r>
      <w:r>
        <w:rPr>
          <w:rFonts w:ascii="Arial" w:cs="Arial" w:eastAsia="Arial" w:hAnsi="Arial"/>
          <w:sz w:val="16"/>
          <w:szCs w:val="16"/>
          <w:color w:val="363636"/>
        </w:rPr>
        <w:t xml:space="preserve"> have any employees in</w:t>
      </w:r>
      <w:r>
        <w:rPr>
          <w:rFonts w:ascii="Arial" w:cs="Arial" w:eastAsia="Arial" w:hAnsi="Arial"/>
          <w:sz w:val="16"/>
          <w:szCs w:val="16"/>
          <w:color w:val="4F4F4D"/>
        </w:rPr>
        <w:t>v</w:t>
      </w:r>
      <w:r>
        <w:rPr>
          <w:rFonts w:ascii="Arial" w:cs="Arial" w:eastAsia="Arial" w:hAnsi="Arial"/>
          <w:sz w:val="16"/>
          <w:szCs w:val="16"/>
          <w:color w:val="363636"/>
        </w:rPr>
        <w:t>olved in your business or professional activities who are subject to workers</w:t>
      </w:r>
      <w:r>
        <w:rPr>
          <w:rFonts w:ascii="Arial" w:cs="Arial" w:eastAsia="Arial" w:hAnsi="Arial"/>
          <w:sz w:val="16"/>
          <w:szCs w:val="16"/>
          <w:color w:val="4F4F4D"/>
        </w:rPr>
        <w:t>'</w:t>
      </w:r>
      <w:r>
        <w:rPr>
          <w:rFonts w:ascii="Arial" w:cs="Arial" w:eastAsia="Arial" w:hAnsi="Arial"/>
          <w:sz w:val="16"/>
          <w:szCs w:val="16"/>
          <w:color w:val="363636"/>
        </w:rPr>
        <w:t xml:space="preserve"> compensatio</w:t>
      </w:r>
      <w:r>
        <w:rPr>
          <w:rFonts w:ascii="Arial" w:cs="Arial" w:eastAsia="Arial" w:hAnsi="Arial"/>
          <w:sz w:val="16"/>
          <w:szCs w:val="16"/>
          <w:color w:val="4F4F4D"/>
        </w:rPr>
        <w:t>n</w:t>
      </w:r>
      <w:r>
        <w:rPr>
          <w:rFonts w:ascii="Arial" w:cs="Arial" w:eastAsia="Arial" w:hAnsi="Arial"/>
          <w:sz w:val="16"/>
          <w:szCs w:val="16"/>
          <w:color w:val="363636"/>
        </w:rPr>
        <w:t xml:space="preserve"> or other similar disability laws; or, if you or a family member are a doctor or dentist, you do not have more than two employees subject to such laws;</w:t>
      </w:r>
    </w:p>
    <w:p>
      <w:pPr>
        <w:ind w:left="460" w:hanging="290"/>
        <w:spacing w:after="0"/>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363636"/>
        </w:rPr>
        <w:t>you or a family member do not earn annual gross revenues in excess of $5,000, if you or a family member are a home day care provider.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6"/>
          <w:szCs w:val="16"/>
          <w:color w:val="363636"/>
        </w:rPr>
        <w:t>We do not cover damages or consequences r</w:t>
      </w:r>
      <w:r>
        <w:rPr>
          <w:rFonts w:ascii="Arial" w:cs="Arial" w:eastAsia="Arial" w:hAnsi="Arial"/>
          <w:sz w:val="16"/>
          <w:szCs w:val="16"/>
          <w:color w:val="4F4F4D"/>
        </w:rPr>
        <w:t>e</w:t>
      </w:r>
      <w:r>
        <w:rPr>
          <w:rFonts w:ascii="Arial" w:cs="Arial" w:eastAsia="Arial" w:hAnsi="Arial"/>
          <w:sz w:val="16"/>
          <w:szCs w:val="16"/>
          <w:color w:val="363636"/>
        </w:rPr>
        <w:t>sulting from business or professional care or services performed or not performed</w:t>
      </w:r>
      <w:r>
        <w:rPr>
          <w:rFonts w:ascii="Arial" w:cs="Arial" w:eastAsia="Arial" w:hAnsi="Arial"/>
          <w:sz w:val="16"/>
          <w:szCs w:val="16"/>
          <w:color w:val="4F4F4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11 of 15</w:t>
      </w:r>
    </w:p>
    <w:p>
      <w:pPr>
        <w:sectPr>
          <w:pgSz w:w="11900" w:h="16838" w:orient="portrait"/>
          <w:cols w:equalWidth="0" w:num="1">
            <w:col w:w="11420"/>
          </w:cols>
          <w:pgMar w:left="240" w:top="580" w:right="239" w:bottom="1440" w:gutter="0" w:footer="0" w:header="0"/>
        </w:sectPr>
      </w:pPr>
    </w:p>
    <w:bookmarkStart w:id="156" w:name="page157"/>
    <w:bookmarkEnd w:id="156"/>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__________________________________________________________________________________________________________________________</w:t>
      </w:r>
    </w:p>
    <w:p>
      <w:pPr>
        <w:spacing w:after="0" w:line="65"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11 of 15</w:t>
      </w:r>
    </w:p>
    <w:p>
      <w:pPr>
        <w:sectPr>
          <w:pgSz w:w="11900" w:h="16838" w:orient="portrait"/>
          <w:cols w:equalWidth="0" w:num="1">
            <w:col w:w="10219"/>
          </w:cols>
          <w:pgMar w:left="240" w:top="1440" w:right="1440" w:bottom="1440" w:gutter="0" w:footer="0" w:header="0"/>
        </w:sectPr>
      </w:pPr>
    </w:p>
    <w:bookmarkStart w:id="157" w:name="page158"/>
    <w:bookmarkEnd w:id="157"/>
    <w:p>
      <w:pPr>
        <w:ind w:left="422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-162560</wp:posOffset>
            </wp:positionV>
            <wp:extent cx="110617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8">
                      <a:extLst>
                        <a:ext uri="{28A0092B-C50C-407E-A947-70E740481C1C}"/>
                      </a:extLst>
                    </a:blip>
                    <a:srcRect/>
                    <a:stretch>
                      <a:fillRect/>
                    </a:stretch>
                  </pic:blipFill>
                  <pic:spPr bwMode="auto">
                    <a:xfrm>
                      <a:off x="0" y="0"/>
                      <a:ext cx="1106170" cy="146050"/>
                    </a:xfrm>
                    <a:prstGeom prst="rect">
                      <a:avLst/>
                    </a:prstGeom>
                    <a:noFill/>
                  </pic:spPr>
                </pic:pic>
              </a:graphicData>
            </a:graphic>
          </wp:anchor>
        </w:drawing>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363634"/>
        </w:rPr>
        <w:t>Exclusions</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363634"/>
        </w:rPr>
        <w:t>(continued)</w:t>
      </w:r>
    </w:p>
    <w:p>
      <w:pPr>
        <w:spacing w:after="0" w:line="200" w:lineRule="exact"/>
        <w:rPr>
          <w:sz w:val="20"/>
          <w:szCs w:val="20"/>
          <w:color w:val="auto"/>
        </w:rPr>
      </w:pPr>
    </w:p>
    <w:p>
      <w:pPr>
        <w:spacing w:after="0" w:line="20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363634"/>
        </w:rPr>
        <w:t xml:space="preserve">The following additional exclusion applies only </w:t>
      </w:r>
      <w:r>
        <w:rPr>
          <w:rFonts w:ascii="Arial" w:cs="Arial" w:eastAsia="Arial" w:hAnsi="Arial"/>
          <w:sz w:val="15"/>
          <w:szCs w:val="15"/>
          <w:b w:val="1"/>
          <w:bCs w:val="1"/>
          <w:color w:val="363634"/>
        </w:rPr>
        <w:t>to</w:t>
      </w:r>
      <w:r>
        <w:rPr>
          <w:rFonts w:ascii="Arial" w:cs="Arial" w:eastAsia="Arial" w:hAnsi="Arial"/>
          <w:sz w:val="16"/>
          <w:szCs w:val="16"/>
          <w:b w:val="1"/>
          <w:bCs w:val="1"/>
          <w:color w:val="363634"/>
        </w:rPr>
        <w:t xml:space="preserve"> "incidental farming" as described under the exclusion, Business pursuits.</w:t>
      </w:r>
    </w:p>
    <w:p>
      <w:pPr>
        <w:spacing w:after="0" w:line="194" w:lineRule="exact"/>
        <w:rPr>
          <w:sz w:val="20"/>
          <w:szCs w:val="20"/>
          <w:color w:val="auto"/>
        </w:rPr>
      </w:pPr>
    </w:p>
    <w:p>
      <w:pPr>
        <w:ind w:left="500"/>
        <w:spacing w:after="0" w:line="306" w:lineRule="auto"/>
        <w:rPr>
          <w:sz w:val="20"/>
          <w:szCs w:val="20"/>
          <w:color w:val="auto"/>
        </w:rPr>
      </w:pPr>
      <w:r>
        <w:rPr>
          <w:rFonts w:ascii="Arial" w:cs="Arial" w:eastAsia="Arial" w:hAnsi="Arial"/>
          <w:sz w:val="16"/>
          <w:szCs w:val="16"/>
          <w:b w:val="1"/>
          <w:bCs w:val="1"/>
          <w:color w:val="363634"/>
        </w:rPr>
        <w:t xml:space="preserve">Contamination. </w:t>
      </w:r>
      <w:r>
        <w:rPr>
          <w:rFonts w:ascii="Arial" w:cs="Arial" w:eastAsia="Arial" w:hAnsi="Arial"/>
          <w:sz w:val="16"/>
          <w:szCs w:val="16"/>
          <w:color w:val="363634"/>
        </w:rPr>
        <w:t>We do not cover any actual or alleged damages arising out of the discharge, dispersal, seepage, migration or release or escape of pollutants. Nor do we</w:t>
      </w:r>
      <w:r>
        <w:rPr>
          <w:rFonts w:ascii="Arial" w:cs="Arial" w:eastAsia="Arial" w:hAnsi="Arial"/>
          <w:sz w:val="16"/>
          <w:szCs w:val="16"/>
          <w:b w:val="1"/>
          <w:bCs w:val="1"/>
          <w:color w:val="363634"/>
        </w:rPr>
        <w:t xml:space="preserve"> </w:t>
      </w:r>
      <w:r>
        <w:rPr>
          <w:rFonts w:ascii="Arial" w:cs="Arial" w:eastAsia="Arial" w:hAnsi="Arial"/>
          <w:sz w:val="16"/>
          <w:szCs w:val="16"/>
          <w:color w:val="363634"/>
        </w:rPr>
        <w:t>cover any cost or expense arising out of any request, demand or order to</w:t>
      </w:r>
      <w:r>
        <w:rPr>
          <w:rFonts w:ascii="Arial" w:cs="Arial" w:eastAsia="Arial" w:hAnsi="Arial"/>
          <w:sz w:val="16"/>
          <w:szCs w:val="16"/>
          <w:color w:val="757574"/>
        </w:rPr>
        <w:t>:</w:t>
      </w:r>
    </w:p>
    <w:p>
      <w:pPr>
        <w:ind w:left="820" w:hanging="312"/>
        <w:spacing w:after="0" w:line="237" w:lineRule="auto"/>
        <w:tabs>
          <w:tab w:leader="none" w:pos="820" w:val="left"/>
        </w:tabs>
        <w:numPr>
          <w:ilvl w:val="0"/>
          <w:numId w:val="120"/>
        </w:numPr>
        <w:rPr>
          <w:rFonts w:ascii="Arial" w:cs="Arial" w:eastAsia="Arial" w:hAnsi="Arial"/>
          <w:sz w:val="20"/>
          <w:szCs w:val="20"/>
          <w:color w:val="auto"/>
        </w:rPr>
      </w:pPr>
      <w:r>
        <w:rPr>
          <w:rFonts w:ascii="Arial" w:cs="Arial" w:eastAsia="Arial" w:hAnsi="Arial"/>
          <w:sz w:val="16"/>
          <w:szCs w:val="16"/>
          <w:color w:val="363634"/>
        </w:rPr>
        <w:t>extract pollutants from land or water;</w:t>
      </w:r>
    </w:p>
    <w:p>
      <w:pPr>
        <w:spacing w:after="0" w:line="37"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16"/>
          <w:szCs w:val="16"/>
          <w:color w:val="363634"/>
        </w:rPr>
        <w:t>remove, restore or replace polluted or contaminated land or water; or</w:t>
      </w:r>
    </w:p>
    <w:p>
      <w:pPr>
        <w:spacing w:after="0" w:line="62" w:lineRule="exact"/>
        <w:rPr>
          <w:rFonts w:ascii="Arial" w:cs="Arial" w:eastAsia="Arial" w:hAnsi="Arial"/>
          <w:sz w:val="20"/>
          <w:szCs w:val="20"/>
          <w:color w:val="auto"/>
        </w:rPr>
      </w:pPr>
    </w:p>
    <w:p>
      <w:pPr>
        <w:ind w:left="840" w:hanging="332"/>
        <w:spacing w:after="0"/>
        <w:tabs>
          <w:tab w:leader="none" w:pos="840" w:val="left"/>
        </w:tabs>
        <w:numPr>
          <w:ilvl w:val="0"/>
          <w:numId w:val="120"/>
        </w:numPr>
        <w:rPr>
          <w:rFonts w:ascii="Arial" w:cs="Arial" w:eastAsia="Arial" w:hAnsi="Arial"/>
          <w:sz w:val="20"/>
          <w:szCs w:val="20"/>
          <w:color w:val="auto"/>
        </w:rPr>
      </w:pPr>
      <w:r>
        <w:rPr>
          <w:rFonts w:ascii="Arial" w:cs="Arial" w:eastAsia="Arial" w:hAnsi="Arial"/>
          <w:sz w:val="16"/>
          <w:szCs w:val="16"/>
          <w:color w:val="363634"/>
        </w:rPr>
        <w:t>test for, monitor, clean up, remove, contain, treat, detoxify or neutralize pollutants, or in any way respond to or assess the effects of pollutants.</w:t>
      </w:r>
    </w:p>
    <w:p>
      <w:pPr>
        <w:spacing w:after="0" w:line="172" w:lineRule="exact"/>
        <w:rPr>
          <w:sz w:val="20"/>
          <w:szCs w:val="20"/>
          <w:color w:val="auto"/>
        </w:rPr>
      </w:pPr>
    </w:p>
    <w:p>
      <w:pPr>
        <w:jc w:val="both"/>
        <w:ind w:left="520"/>
        <w:spacing w:after="0" w:line="326" w:lineRule="auto"/>
        <w:rPr>
          <w:sz w:val="20"/>
          <w:szCs w:val="20"/>
          <w:color w:val="auto"/>
        </w:rPr>
      </w:pPr>
      <w:r>
        <w:rPr>
          <w:rFonts w:ascii="Arial" w:cs="Arial" w:eastAsia="Arial" w:hAnsi="Arial"/>
          <w:sz w:val="16"/>
          <w:szCs w:val="16"/>
          <w:color w:val="363634"/>
        </w:rPr>
        <w:t xml:space="preserve">However, </w:t>
      </w:r>
      <w:r>
        <w:rPr>
          <w:rFonts w:ascii="Arial" w:cs="Arial" w:eastAsia="Arial" w:hAnsi="Arial"/>
          <w:sz w:val="15"/>
          <w:szCs w:val="15"/>
          <w:color w:val="363634"/>
        </w:rPr>
        <w:t>this</w:t>
      </w:r>
      <w:r>
        <w:rPr>
          <w:rFonts w:ascii="Arial" w:cs="Arial" w:eastAsia="Arial" w:hAnsi="Arial"/>
          <w:sz w:val="16"/>
          <w:szCs w:val="16"/>
          <w:color w:val="363634"/>
        </w:rPr>
        <w:t xml:space="preserve"> exclusion does not apply </w:t>
      </w:r>
      <w:r>
        <w:rPr>
          <w:rFonts w:ascii="Arial" w:cs="Arial" w:eastAsia="Arial" w:hAnsi="Arial"/>
          <w:sz w:val="15"/>
          <w:szCs w:val="15"/>
          <w:color w:val="363634"/>
        </w:rPr>
        <w:t>if</w:t>
      </w:r>
      <w:r>
        <w:rPr>
          <w:rFonts w:ascii="Arial" w:cs="Arial" w:eastAsia="Arial" w:hAnsi="Arial"/>
          <w:sz w:val="16"/>
          <w:szCs w:val="16"/>
          <w:color w:val="363634"/>
        </w:rPr>
        <w:t xml:space="preserve"> the discharge, dispersal, seepage, migration, release or escape is sudden and accidental. A "pollutant" is any solid, liquid, gaseous or thermal irritant or contaminant, including smoke (except smoke from a hostile fire), vapor, soot, fumes, acids, alkalis, chemicals and waste. A "contaminant" is an impurity resulting from the mixture of or contact of a substance with a foreign substance. </w:t>
      </w:r>
      <w:r>
        <w:rPr>
          <w:rFonts w:ascii="Arial" w:cs="Arial" w:eastAsia="Arial" w:hAnsi="Arial"/>
          <w:sz w:val="16"/>
          <w:szCs w:val="16"/>
          <w:color w:val="4D4D4B"/>
        </w:rPr>
        <w:t>"Waste"</w:t>
      </w:r>
      <w:r>
        <w:rPr>
          <w:rFonts w:ascii="Arial" w:cs="Arial" w:eastAsia="Arial" w:hAnsi="Arial"/>
          <w:sz w:val="16"/>
          <w:szCs w:val="16"/>
          <w:color w:val="363634"/>
        </w:rPr>
        <w:t xml:space="preserve"> includes materials to be disposed of, recycled, reconditioned or reclaimed.</w:t>
      </w:r>
    </w:p>
    <w:p>
      <w:pPr>
        <w:spacing w:after="0" w:line="212" w:lineRule="exact"/>
        <w:rPr>
          <w:sz w:val="20"/>
          <w:szCs w:val="20"/>
          <w:color w:val="auto"/>
        </w:rPr>
      </w:pPr>
    </w:p>
    <w:p>
      <w:pPr>
        <w:jc w:val="both"/>
        <w:ind w:left="520"/>
        <w:spacing w:after="0" w:line="369" w:lineRule="auto"/>
        <w:rPr>
          <w:sz w:val="20"/>
          <w:szCs w:val="20"/>
          <w:color w:val="auto"/>
        </w:rPr>
      </w:pPr>
      <w:r>
        <w:rPr>
          <w:rFonts w:ascii="Arial" w:cs="Arial" w:eastAsia="Arial" w:hAnsi="Arial"/>
          <w:sz w:val="16"/>
          <w:szCs w:val="16"/>
          <w:b w:val="1"/>
          <w:bCs w:val="1"/>
          <w:color w:val="363634"/>
        </w:rPr>
        <w:t xml:space="preserve">Financial guarantees. </w:t>
      </w:r>
      <w:r>
        <w:rPr>
          <w:rFonts w:ascii="Arial" w:cs="Arial" w:eastAsia="Arial" w:hAnsi="Arial"/>
          <w:sz w:val="16"/>
          <w:szCs w:val="16"/>
          <w:color w:val="363634"/>
        </w:rPr>
        <w:t>We do not cover any damages for any covered person's financial guarantee of the financial performance of any covered person, other individual</w:t>
      </w:r>
      <w:r>
        <w:rPr>
          <w:rFonts w:ascii="Arial" w:cs="Arial" w:eastAsia="Arial" w:hAnsi="Arial"/>
          <w:sz w:val="16"/>
          <w:szCs w:val="16"/>
          <w:b w:val="1"/>
          <w:bCs w:val="1"/>
          <w:color w:val="363634"/>
        </w:rPr>
        <w:t xml:space="preserve"> </w:t>
      </w:r>
      <w:r>
        <w:rPr>
          <w:rFonts w:ascii="Arial" w:cs="Arial" w:eastAsia="Arial" w:hAnsi="Arial"/>
          <w:sz w:val="16"/>
          <w:szCs w:val="16"/>
          <w:color w:val="363634"/>
        </w:rPr>
        <w:t>or organization.</w:t>
      </w:r>
    </w:p>
    <w:p>
      <w:pPr>
        <w:spacing w:after="0" w:line="177" w:lineRule="exact"/>
        <w:rPr>
          <w:sz w:val="20"/>
          <w:szCs w:val="20"/>
          <w:color w:val="auto"/>
        </w:rPr>
      </w:pPr>
    </w:p>
    <w:p>
      <w:pPr>
        <w:jc w:val="both"/>
        <w:ind w:left="520"/>
        <w:spacing w:after="0" w:line="351" w:lineRule="auto"/>
        <w:rPr>
          <w:sz w:val="20"/>
          <w:szCs w:val="20"/>
          <w:color w:val="auto"/>
        </w:rPr>
      </w:pPr>
      <w:r>
        <w:rPr>
          <w:rFonts w:ascii="Arial" w:cs="Arial" w:eastAsia="Arial" w:hAnsi="Arial"/>
          <w:sz w:val="16"/>
          <w:szCs w:val="16"/>
          <w:b w:val="1"/>
          <w:bCs w:val="1"/>
          <w:color w:val="363634"/>
        </w:rPr>
        <w:t xml:space="preserve">Professional services. </w:t>
      </w:r>
      <w:r>
        <w:rPr>
          <w:rFonts w:ascii="Arial" w:cs="Arial" w:eastAsia="Arial" w:hAnsi="Arial"/>
          <w:sz w:val="16"/>
          <w:szCs w:val="16"/>
          <w:color w:val="363634"/>
        </w:rPr>
        <w:t>We do not cover any damages for any covered person's performing or failure to perform professional</w:t>
      </w:r>
      <w:r>
        <w:rPr>
          <w:rFonts w:ascii="Arial" w:cs="Arial" w:eastAsia="Arial" w:hAnsi="Arial"/>
          <w:sz w:val="16"/>
          <w:szCs w:val="16"/>
          <w:b w:val="1"/>
          <w:bCs w:val="1"/>
          <w:color w:val="363634"/>
        </w:rPr>
        <w:t xml:space="preserve"> </w:t>
      </w:r>
      <w:r>
        <w:rPr>
          <w:rFonts w:ascii="Arial" w:cs="Arial" w:eastAsia="Arial" w:hAnsi="Arial"/>
          <w:sz w:val="16"/>
          <w:szCs w:val="16"/>
          <w:color w:val="4D4D4B"/>
        </w:rPr>
        <w:t>services,</w:t>
      </w:r>
      <w:r>
        <w:rPr>
          <w:rFonts w:ascii="Arial" w:cs="Arial" w:eastAsia="Arial" w:hAnsi="Arial"/>
          <w:sz w:val="16"/>
          <w:szCs w:val="16"/>
          <w:b w:val="1"/>
          <w:bCs w:val="1"/>
          <w:color w:val="363634"/>
        </w:rPr>
        <w:t xml:space="preserve"> </w:t>
      </w:r>
      <w:r>
        <w:rPr>
          <w:rFonts w:ascii="Arial" w:cs="Arial" w:eastAsia="Arial" w:hAnsi="Arial"/>
          <w:sz w:val="16"/>
          <w:szCs w:val="16"/>
          <w:color w:val="363634"/>
        </w:rPr>
        <w:t>or for professional services for</w:t>
      </w:r>
      <w:r>
        <w:rPr>
          <w:rFonts w:ascii="Arial" w:cs="Arial" w:eastAsia="Arial" w:hAnsi="Arial"/>
          <w:sz w:val="16"/>
          <w:szCs w:val="16"/>
          <w:b w:val="1"/>
          <w:bCs w:val="1"/>
          <w:color w:val="363634"/>
        </w:rPr>
        <w:t xml:space="preserve"> </w:t>
      </w:r>
      <w:r>
        <w:rPr>
          <w:rFonts w:ascii="Arial" w:cs="Arial" w:eastAsia="Arial" w:hAnsi="Arial"/>
          <w:sz w:val="16"/>
          <w:szCs w:val="16"/>
          <w:color w:val="363634"/>
        </w:rPr>
        <w:t>which any covered person is legally responsible or licensed.</w:t>
      </w:r>
    </w:p>
    <w:p>
      <w:pPr>
        <w:spacing w:after="0" w:line="205" w:lineRule="exact"/>
        <w:rPr>
          <w:sz w:val="20"/>
          <w:szCs w:val="20"/>
          <w:color w:val="auto"/>
        </w:rPr>
      </w:pPr>
    </w:p>
    <w:p>
      <w:pPr>
        <w:jc w:val="both"/>
        <w:ind w:left="520" w:right="20"/>
        <w:spacing w:after="0" w:line="369" w:lineRule="auto"/>
        <w:rPr>
          <w:sz w:val="20"/>
          <w:szCs w:val="20"/>
          <w:color w:val="auto"/>
        </w:rPr>
      </w:pPr>
      <w:r>
        <w:rPr>
          <w:rFonts w:ascii="Arial" w:cs="Arial" w:eastAsia="Arial" w:hAnsi="Arial"/>
          <w:sz w:val="16"/>
          <w:szCs w:val="16"/>
          <w:b w:val="1"/>
          <w:bCs w:val="1"/>
          <w:color w:val="363634"/>
        </w:rPr>
        <w:t xml:space="preserve">Acts of war. </w:t>
      </w:r>
      <w:r>
        <w:rPr>
          <w:rFonts w:ascii="Arial" w:cs="Arial" w:eastAsia="Arial" w:hAnsi="Arial"/>
          <w:sz w:val="16"/>
          <w:szCs w:val="16"/>
          <w:color w:val="363634"/>
        </w:rPr>
        <w:t>We do not cover any damages caused directly or indirectly by war, undeclared war, civil war, insurrection, rebellion, revolution, warlike acts by military</w:t>
      </w:r>
      <w:r>
        <w:rPr>
          <w:rFonts w:ascii="Arial" w:cs="Arial" w:eastAsia="Arial" w:hAnsi="Arial"/>
          <w:sz w:val="16"/>
          <w:szCs w:val="16"/>
          <w:b w:val="1"/>
          <w:bCs w:val="1"/>
          <w:color w:val="363634"/>
        </w:rPr>
        <w:t xml:space="preserve"> </w:t>
      </w:r>
      <w:r>
        <w:rPr>
          <w:rFonts w:ascii="Arial" w:cs="Arial" w:eastAsia="Arial" w:hAnsi="Arial"/>
          <w:sz w:val="16"/>
          <w:szCs w:val="16"/>
          <w:color w:val="363634"/>
        </w:rPr>
        <w:t>forces or personnel, the destruction or seizure of property for a military purpose, or the consequences of any of these actions.</w:t>
      </w:r>
    </w:p>
    <w:p>
      <w:pPr>
        <w:spacing w:after="0" w:line="191" w:lineRule="exact"/>
        <w:rPr>
          <w:sz w:val="20"/>
          <w:szCs w:val="20"/>
          <w:color w:val="auto"/>
        </w:rPr>
      </w:pPr>
    </w:p>
    <w:p>
      <w:pPr>
        <w:jc w:val="both"/>
        <w:ind w:left="540"/>
        <w:spacing w:after="0" w:line="334" w:lineRule="auto"/>
        <w:rPr>
          <w:sz w:val="20"/>
          <w:szCs w:val="20"/>
          <w:color w:val="auto"/>
        </w:rPr>
      </w:pPr>
      <w:r>
        <w:rPr>
          <w:rFonts w:ascii="Arial" w:cs="Arial" w:eastAsia="Arial" w:hAnsi="Arial"/>
          <w:sz w:val="16"/>
          <w:szCs w:val="16"/>
          <w:b w:val="1"/>
          <w:bCs w:val="1"/>
          <w:color w:val="363634"/>
        </w:rPr>
        <w:t xml:space="preserve">Contractual liability. </w:t>
      </w:r>
      <w:r>
        <w:rPr>
          <w:rFonts w:ascii="Arial" w:cs="Arial" w:eastAsia="Arial" w:hAnsi="Arial"/>
          <w:sz w:val="16"/>
          <w:szCs w:val="16"/>
          <w:color w:val="363634"/>
        </w:rPr>
        <w:t>We do not cover any assessments charged against a covered person as a member of a homeowners, condominium or cooperative association. We</w:t>
      </w:r>
      <w:r>
        <w:rPr>
          <w:rFonts w:ascii="Arial" w:cs="Arial" w:eastAsia="Arial" w:hAnsi="Arial"/>
          <w:sz w:val="16"/>
          <w:szCs w:val="16"/>
          <w:b w:val="1"/>
          <w:bCs w:val="1"/>
          <w:color w:val="363634"/>
        </w:rPr>
        <w:t xml:space="preserve"> </w:t>
      </w:r>
      <w:r>
        <w:rPr>
          <w:rFonts w:ascii="Arial" w:cs="Arial" w:eastAsia="Arial" w:hAnsi="Arial"/>
          <w:sz w:val="16"/>
          <w:szCs w:val="16"/>
          <w:color w:val="363634"/>
        </w:rPr>
        <w:t>also do not cover any damages arising from contracts or agreements made in connection with any covered person's business. Nor do we cover any liability for unwritten contracts, or contracts in which the liability of others is assumed after a covered loss.</w:t>
      </w:r>
    </w:p>
    <w:p>
      <w:pPr>
        <w:spacing w:after="0" w:line="177" w:lineRule="exact"/>
        <w:rPr>
          <w:sz w:val="20"/>
          <w:szCs w:val="20"/>
          <w:color w:val="auto"/>
        </w:rPr>
      </w:pPr>
    </w:p>
    <w:p>
      <w:pPr>
        <w:jc w:val="both"/>
        <w:ind w:left="540"/>
        <w:spacing w:after="0" w:line="345" w:lineRule="auto"/>
        <w:rPr>
          <w:sz w:val="20"/>
          <w:szCs w:val="20"/>
          <w:color w:val="auto"/>
        </w:rPr>
      </w:pPr>
      <w:r>
        <w:rPr>
          <w:rFonts w:ascii="Arial" w:cs="Arial" w:eastAsia="Arial" w:hAnsi="Arial"/>
          <w:sz w:val="15"/>
          <w:szCs w:val="15"/>
          <w:b w:val="1"/>
          <w:bCs w:val="1"/>
          <w:color w:val="363634"/>
        </w:rPr>
        <w:t xml:space="preserve">Covered person's or dependent's personal injury. </w:t>
      </w:r>
      <w:r>
        <w:rPr>
          <w:rFonts w:ascii="Arial" w:cs="Arial" w:eastAsia="Arial" w:hAnsi="Arial"/>
          <w:sz w:val="15"/>
          <w:szCs w:val="15"/>
          <w:color w:val="363634"/>
        </w:rPr>
        <w:t>We do not cover any damages for personal injury for any covered person or their dependents where the ultimate</w:t>
      </w:r>
      <w:r>
        <w:rPr>
          <w:rFonts w:ascii="Arial" w:cs="Arial" w:eastAsia="Arial" w:hAnsi="Arial"/>
          <w:sz w:val="15"/>
          <w:szCs w:val="15"/>
          <w:b w:val="1"/>
          <w:bCs w:val="1"/>
          <w:color w:val="363634"/>
        </w:rPr>
        <w:t xml:space="preserve"> </w:t>
      </w:r>
      <w:r>
        <w:rPr>
          <w:rFonts w:ascii="Arial" w:cs="Arial" w:eastAsia="Arial" w:hAnsi="Arial"/>
          <w:sz w:val="15"/>
          <w:szCs w:val="15"/>
          <w:color w:val="363634"/>
        </w:rPr>
        <w:t>beneficiary is the offending party or defendant. We also do not cover any damages for personal injury for which you can be held legally liable, in any way, to a family member, your spouse or domestic partner or for which a family member, your spouse or domestic partner can be held legally liable, in any way, to you.</w:t>
      </w:r>
    </w:p>
    <w:p>
      <w:pPr>
        <w:spacing w:after="0" w:line="97" w:lineRule="exact"/>
        <w:rPr>
          <w:sz w:val="20"/>
          <w:szCs w:val="20"/>
          <w:color w:val="auto"/>
        </w:rPr>
      </w:pPr>
    </w:p>
    <w:p>
      <w:pPr>
        <w:jc w:val="both"/>
        <w:ind w:left="540"/>
        <w:spacing w:after="0" w:line="326" w:lineRule="auto"/>
        <w:rPr>
          <w:sz w:val="20"/>
          <w:szCs w:val="20"/>
          <w:color w:val="auto"/>
        </w:rPr>
      </w:pPr>
      <w:r>
        <w:rPr>
          <w:rFonts w:ascii="Arial" w:cs="Arial" w:eastAsia="Arial" w:hAnsi="Arial"/>
          <w:sz w:val="16"/>
          <w:szCs w:val="16"/>
          <w:color w:val="363634"/>
        </w:rPr>
        <w:t>However, we do cover damages for bodily injury arising out of the use of a motorized land vehicle for which you can be held legally liable to a family member, your spouse or domestic partner or for which a family member, your spouse or domestic partner can be held legally liable to you to the extent that coverage is provided under this policy. This coverage applies only to the extent such damages are covered by primary underlying insurance and exceed the limits of insurance required for that motorized land vehicle under the Required Primary Underlying Insurance provisions of this policy</w:t>
      </w:r>
      <w:r>
        <w:rPr>
          <w:rFonts w:ascii="Arial" w:cs="Arial" w:eastAsia="Arial" w:hAnsi="Arial"/>
          <w:sz w:val="16"/>
          <w:szCs w:val="16"/>
          <w:color w:val="151313"/>
        </w:rPr>
        <w:t>.</w:t>
      </w:r>
    </w:p>
    <w:p>
      <w:pPr>
        <w:spacing w:after="0" w:line="212" w:lineRule="exact"/>
        <w:rPr>
          <w:sz w:val="20"/>
          <w:szCs w:val="20"/>
          <w:color w:val="auto"/>
        </w:rPr>
      </w:pPr>
    </w:p>
    <w:p>
      <w:pPr>
        <w:jc w:val="both"/>
        <w:ind w:left="560"/>
        <w:spacing w:after="0" w:line="351" w:lineRule="auto"/>
        <w:rPr>
          <w:sz w:val="20"/>
          <w:szCs w:val="20"/>
          <w:color w:val="auto"/>
        </w:rPr>
      </w:pPr>
      <w:r>
        <w:rPr>
          <w:rFonts w:ascii="Arial" w:cs="Arial" w:eastAsia="Arial" w:hAnsi="Arial"/>
          <w:sz w:val="16"/>
          <w:szCs w:val="16"/>
          <w:b w:val="1"/>
          <w:bCs w:val="1"/>
          <w:color w:val="363634"/>
        </w:rPr>
        <w:t xml:space="preserve">Liability for dependent care. </w:t>
      </w:r>
      <w:r>
        <w:rPr>
          <w:rFonts w:ascii="Arial" w:cs="Arial" w:eastAsia="Arial" w:hAnsi="Arial"/>
          <w:sz w:val="16"/>
          <w:szCs w:val="16"/>
          <w:color w:val="363634"/>
        </w:rPr>
        <w:t>We do not cover any damages for personal injury for which a covered person's only legal liability is by virtue of a contract or other</w:t>
      </w:r>
      <w:r>
        <w:rPr>
          <w:rFonts w:ascii="Arial" w:cs="Arial" w:eastAsia="Arial" w:hAnsi="Arial"/>
          <w:sz w:val="16"/>
          <w:szCs w:val="16"/>
          <w:b w:val="1"/>
          <w:bCs w:val="1"/>
          <w:color w:val="363634"/>
        </w:rPr>
        <w:t xml:space="preserve"> </w:t>
      </w:r>
      <w:r>
        <w:rPr>
          <w:rFonts w:ascii="Arial" w:cs="Arial" w:eastAsia="Arial" w:hAnsi="Arial"/>
          <w:sz w:val="16"/>
          <w:szCs w:val="16"/>
          <w:color w:val="363634"/>
        </w:rPr>
        <w:t>responsibility for a dependent ‘scare.</w:t>
      </w:r>
    </w:p>
    <w:p>
      <w:pPr>
        <w:spacing w:after="0" w:line="83" w:lineRule="exact"/>
        <w:rPr>
          <w:sz w:val="20"/>
          <w:szCs w:val="20"/>
          <w:color w:val="auto"/>
        </w:rPr>
      </w:pPr>
    </w:p>
    <w:p>
      <w:pPr>
        <w:jc w:val="both"/>
        <w:ind w:left="560" w:right="20"/>
        <w:spacing w:after="0" w:line="351" w:lineRule="auto"/>
        <w:rPr>
          <w:sz w:val="20"/>
          <w:szCs w:val="20"/>
          <w:color w:val="auto"/>
        </w:rPr>
      </w:pPr>
      <w:r>
        <w:rPr>
          <w:rFonts w:ascii="Arial" w:cs="Arial" w:eastAsia="Arial" w:hAnsi="Arial"/>
          <w:sz w:val="16"/>
          <w:szCs w:val="16"/>
          <w:b w:val="1"/>
          <w:bCs w:val="1"/>
          <w:color w:val="363634"/>
        </w:rPr>
        <w:t xml:space="preserve">Illness. We </w:t>
      </w:r>
      <w:r>
        <w:rPr>
          <w:rFonts w:ascii="Arial" w:cs="Arial" w:eastAsia="Arial" w:hAnsi="Arial"/>
          <w:sz w:val="16"/>
          <w:szCs w:val="16"/>
          <w:color w:val="363634"/>
        </w:rPr>
        <w:t>do not cover personal injury or property damage resulting from any illness, sickness or disease transmitted intentionally or unintentionally by</w:t>
      </w:r>
      <w:r>
        <w:rPr>
          <w:rFonts w:ascii="Arial" w:cs="Arial" w:eastAsia="Arial" w:hAnsi="Arial"/>
          <w:sz w:val="16"/>
          <w:szCs w:val="16"/>
          <w:b w:val="1"/>
          <w:bCs w:val="1"/>
          <w:color w:val="363634"/>
        </w:rPr>
        <w:t xml:space="preserve"> </w:t>
      </w:r>
      <w:r>
        <w:rPr>
          <w:rFonts w:ascii="Arial" w:cs="Arial" w:eastAsia="Arial" w:hAnsi="Arial"/>
          <w:sz w:val="16"/>
          <w:szCs w:val="16"/>
          <w:color w:val="4D4D4B"/>
        </w:rPr>
        <w:t>a</w:t>
      </w:r>
      <w:r>
        <w:rPr>
          <w:rFonts w:ascii="Arial" w:cs="Arial" w:eastAsia="Arial" w:hAnsi="Arial"/>
          <w:sz w:val="16"/>
          <w:szCs w:val="16"/>
          <w:b w:val="1"/>
          <w:bCs w:val="1"/>
          <w:color w:val="363634"/>
        </w:rPr>
        <w:t xml:space="preserve"> </w:t>
      </w:r>
      <w:r>
        <w:rPr>
          <w:rFonts w:ascii="Arial" w:cs="Arial" w:eastAsia="Arial" w:hAnsi="Arial"/>
          <w:sz w:val="16"/>
          <w:szCs w:val="16"/>
          <w:color w:val="363634"/>
        </w:rPr>
        <w:t>covered</w:t>
      </w:r>
      <w:r>
        <w:rPr>
          <w:rFonts w:ascii="Arial" w:cs="Arial" w:eastAsia="Arial" w:hAnsi="Arial"/>
          <w:sz w:val="16"/>
          <w:szCs w:val="16"/>
          <w:b w:val="1"/>
          <w:bCs w:val="1"/>
          <w:color w:val="363634"/>
        </w:rPr>
        <w:t xml:space="preserve"> </w:t>
      </w:r>
      <w:r>
        <w:rPr>
          <w:rFonts w:ascii="Arial" w:cs="Arial" w:eastAsia="Arial" w:hAnsi="Arial"/>
          <w:sz w:val="16"/>
          <w:szCs w:val="16"/>
          <w:color w:val="363634"/>
        </w:rPr>
        <w:t>person to anyone, or any consequence resulting from that illness, sickness or disease. We also do not cover</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12 of 15</w:t>
      </w:r>
    </w:p>
    <w:p>
      <w:pPr>
        <w:sectPr>
          <w:pgSz w:w="11900" w:h="16838" w:orient="portrait"/>
          <w:cols w:equalWidth="0" w:num="1">
            <w:col w:w="11420"/>
          </w:cols>
          <w:pgMar w:left="240" w:top="757" w:right="239" w:bottom="1440" w:gutter="0" w:footer="0" w:header="0"/>
        </w:sectPr>
      </w:pPr>
    </w:p>
    <w:bookmarkStart w:id="158" w:name="page159"/>
    <w:bookmarkEnd w:id="158"/>
    <w:p>
      <w:pPr>
        <w:ind w:left="560"/>
        <w:spacing w:after="0" w:line="346" w:lineRule="auto"/>
        <w:rPr>
          <w:sz w:val="20"/>
          <w:szCs w:val="20"/>
          <w:color w:val="auto"/>
        </w:rPr>
      </w:pPr>
      <w:r>
        <w:rPr>
          <w:rFonts w:ascii="Arial" w:cs="Arial" w:eastAsia="Arial" w:hAnsi="Arial"/>
          <w:sz w:val="16"/>
          <w:szCs w:val="16"/>
          <w:color w:val="363634"/>
        </w:rPr>
        <w:t>any damages for personal injury resulting from the fear of contracting any illness, sickness or disease, or any consequence resulting from the fear of contracting any illness, sickness or disease.</w:t>
      </w:r>
    </w:p>
    <w:p>
      <w:pPr>
        <w:spacing w:after="0" w:line="114" w:lineRule="exact"/>
        <w:rPr>
          <w:sz w:val="20"/>
          <w:szCs w:val="20"/>
          <w:color w:val="auto"/>
        </w:rPr>
      </w:pPr>
    </w:p>
    <w:p>
      <w:pPr>
        <w:ind w:left="580" w:hanging="26"/>
        <w:spacing w:after="0" w:line="266" w:lineRule="auto"/>
        <w:rPr>
          <w:sz w:val="20"/>
          <w:szCs w:val="20"/>
          <w:color w:val="auto"/>
        </w:rPr>
      </w:pPr>
      <w:r>
        <w:rPr>
          <w:rFonts w:ascii="Arial" w:cs="Arial" w:eastAsia="Arial" w:hAnsi="Arial"/>
          <w:sz w:val="16"/>
          <w:szCs w:val="16"/>
          <w:b w:val="1"/>
          <w:bCs w:val="1"/>
          <w:color w:val="363634"/>
        </w:rPr>
        <w:t xml:space="preserve">Fungi and mold. </w:t>
      </w:r>
      <w:r>
        <w:rPr>
          <w:rFonts w:ascii="Arial" w:cs="Arial" w:eastAsia="Arial" w:hAnsi="Arial"/>
          <w:sz w:val="16"/>
          <w:szCs w:val="16"/>
          <w:color w:val="363634"/>
        </w:rPr>
        <w:t>We do not cover any actual or alleged damages or medical expenses arising out of mold, the fear of mold, or any consequences resulting from mold</w:t>
      </w:r>
      <w:r>
        <w:rPr>
          <w:rFonts w:ascii="Arial" w:cs="Arial" w:eastAsia="Arial" w:hAnsi="Arial"/>
          <w:sz w:val="16"/>
          <w:szCs w:val="16"/>
          <w:b w:val="1"/>
          <w:bCs w:val="1"/>
          <w:color w:val="363634"/>
        </w:rPr>
        <w:t xml:space="preserve"> </w:t>
      </w:r>
      <w:r>
        <w:rPr>
          <w:rFonts w:ascii="Arial" w:cs="Arial" w:eastAsia="Arial" w:hAnsi="Arial"/>
          <w:sz w:val="16"/>
          <w:szCs w:val="16"/>
          <w:color w:val="363634"/>
        </w:rPr>
        <w:t>or the fear of mold. "Mold" means fungi, mold, mold spores, mycotoxins, and the scents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363634"/>
        </w:rPr>
        <w:t>and other byproducts of any of these.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12 of 15</w:t>
      </w:r>
    </w:p>
    <w:p>
      <w:pPr>
        <w:sectPr>
          <w:pgSz w:w="11900" w:h="16838" w:orient="portrait"/>
          <w:cols w:equalWidth="0" w:num="1">
            <w:col w:w="11420"/>
          </w:cols>
          <w:pgMar w:left="240" w:top="751" w:right="239" w:bottom="1440" w:gutter="0" w:footer="0" w:header="0"/>
        </w:sectPr>
      </w:pPr>
    </w:p>
    <w:bookmarkStart w:id="159" w:name="page160"/>
    <w:bookmarkEnd w:id="159"/>
    <w:p>
      <w:pPr>
        <w:ind w:left="120"/>
        <w:spacing w:after="0"/>
        <w:rPr>
          <w:sz w:val="20"/>
          <w:szCs w:val="20"/>
          <w:color w:val="auto"/>
        </w:rPr>
      </w:pPr>
      <w:r>
        <w:rPr>
          <w:rFonts w:ascii="Arial" w:cs="Arial" w:eastAsia="Arial" w:hAnsi="Arial"/>
          <w:sz w:val="22"/>
          <w:szCs w:val="22"/>
          <w:b w:val="1"/>
          <w:bCs w:val="1"/>
          <w:i w:val="1"/>
          <w:iCs w:val="1"/>
          <w:color w:val="444442"/>
        </w:rPr>
        <w:t>Exclusions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444442"/>
        </w:rPr>
        <w:t>(continued)</w:t>
      </w:r>
    </w:p>
    <w:p>
      <w:pPr>
        <w:spacing w:after="0" w:line="194" w:lineRule="exact"/>
        <w:rPr>
          <w:sz w:val="20"/>
          <w:szCs w:val="20"/>
          <w:color w:val="auto"/>
        </w:rPr>
      </w:pPr>
    </w:p>
    <w:p>
      <w:pPr>
        <w:ind w:left="120" w:right="220"/>
        <w:spacing w:after="0" w:line="351" w:lineRule="auto"/>
        <w:rPr>
          <w:sz w:val="20"/>
          <w:szCs w:val="20"/>
          <w:color w:val="auto"/>
        </w:rPr>
      </w:pPr>
      <w:r>
        <w:rPr>
          <w:rFonts w:ascii="Arial" w:cs="Arial" w:eastAsia="Arial" w:hAnsi="Arial"/>
          <w:sz w:val="16"/>
          <w:szCs w:val="16"/>
          <w:b w:val="1"/>
          <w:bCs w:val="1"/>
          <w:color w:val="444442"/>
        </w:rPr>
        <w:t>Nuclear or radiation hazard</w:t>
      </w:r>
      <w:r>
        <w:rPr>
          <w:rFonts w:ascii="Arial" w:cs="Arial" w:eastAsia="Arial" w:hAnsi="Arial"/>
          <w:sz w:val="16"/>
          <w:szCs w:val="16"/>
          <w:b w:val="1"/>
          <w:bCs w:val="1"/>
          <w:color w:val="21211F"/>
        </w:rPr>
        <w:t>.</w:t>
      </w:r>
      <w:r>
        <w:rPr>
          <w:rFonts w:ascii="Arial" w:cs="Arial" w:eastAsia="Arial" w:hAnsi="Arial"/>
          <w:sz w:val="16"/>
          <w:szCs w:val="16"/>
          <w:b w:val="1"/>
          <w:bCs w:val="1"/>
          <w:color w:val="444442"/>
        </w:rPr>
        <w:t xml:space="preserve"> </w:t>
      </w:r>
      <w:r>
        <w:rPr>
          <w:rFonts w:ascii="Arial" w:cs="Arial" w:eastAsia="Arial" w:hAnsi="Arial"/>
          <w:sz w:val="16"/>
          <w:szCs w:val="16"/>
          <w:color w:val="444442"/>
        </w:rPr>
        <w:t>We do not cover any damages caused directly or indirectly by nuclear reaction, radiation, or radioactive contamination, regardless of how it</w:t>
      </w:r>
      <w:r>
        <w:rPr>
          <w:rFonts w:ascii="Arial" w:cs="Arial" w:eastAsia="Arial" w:hAnsi="Arial"/>
          <w:sz w:val="16"/>
          <w:szCs w:val="16"/>
          <w:b w:val="1"/>
          <w:bCs w:val="1"/>
          <w:color w:val="444442"/>
        </w:rPr>
        <w:t xml:space="preserve"> </w:t>
      </w:r>
      <w:r>
        <w:rPr>
          <w:rFonts w:ascii="Arial" w:cs="Arial" w:eastAsia="Arial" w:hAnsi="Arial"/>
          <w:sz w:val="16"/>
          <w:szCs w:val="16"/>
          <w:color w:val="444442"/>
        </w:rPr>
        <w:t>was caused.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444442"/>
        </w:rPr>
        <w:t>POLICY TERMS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This part of your Group Personal Excess Liability Policy explains the conditions that apply to your policy.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22"/>
          <w:szCs w:val="22"/>
          <w:b w:val="1"/>
          <w:bCs w:val="1"/>
          <w:i w:val="1"/>
          <w:iCs w:val="1"/>
          <w:color w:val="444442"/>
        </w:rPr>
        <w:t>General Conditions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These conditions apply to your policy in general, and to each coverage provided in the policy.</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44442"/>
        </w:rPr>
        <w:t>Policy period</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The effective dates of your policy are shown in the Coverage Summary. Those dates begin at 12:01 a.m. standard time at the mailing address shown.</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All coverages on this policy apply only to occurrences that take place while this policy is in effect.</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44442"/>
        </w:rPr>
        <w:t>Transfer of rights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5"/>
          <w:szCs w:val="15"/>
          <w:color w:val="444442"/>
        </w:rPr>
        <w:t>If we make a payment under this policy</w:t>
      </w:r>
      <w:r>
        <w:rPr>
          <w:rFonts w:ascii="Arial" w:cs="Arial" w:eastAsia="Arial" w:hAnsi="Arial"/>
          <w:sz w:val="15"/>
          <w:szCs w:val="15"/>
          <w:color w:val="676764"/>
        </w:rPr>
        <w:t>,</w:t>
      </w:r>
      <w:r>
        <w:rPr>
          <w:rFonts w:ascii="Arial" w:cs="Arial" w:eastAsia="Arial" w:hAnsi="Arial"/>
          <w:sz w:val="15"/>
          <w:szCs w:val="15"/>
          <w:color w:val="444442"/>
        </w:rPr>
        <w:t xml:space="preserve"> we will assume any recovery rights a covered person has in connection with that loss, to the extent we have paid for the loss.</w:t>
      </w:r>
    </w:p>
    <w:p>
      <w:pPr>
        <w:spacing w:after="0" w:line="161" w:lineRule="exact"/>
        <w:rPr>
          <w:sz w:val="20"/>
          <w:szCs w:val="20"/>
          <w:color w:val="auto"/>
        </w:rPr>
      </w:pPr>
    </w:p>
    <w:p>
      <w:pPr>
        <w:jc w:val="both"/>
        <w:ind w:left="140"/>
        <w:spacing w:after="0" w:line="316" w:lineRule="auto"/>
        <w:rPr>
          <w:sz w:val="20"/>
          <w:szCs w:val="20"/>
          <w:color w:val="auto"/>
        </w:rPr>
      </w:pPr>
      <w:r>
        <w:rPr>
          <w:rFonts w:ascii="Arial" w:cs="Arial" w:eastAsia="Arial" w:hAnsi="Arial"/>
          <w:sz w:val="16"/>
          <w:szCs w:val="16"/>
          <w:color w:val="444442"/>
        </w:rPr>
        <w:t xml:space="preserve">All of your rights of recovery will become our rights to the extent of any payment we make under this policy. </w:t>
      </w:r>
      <w:r>
        <w:rPr>
          <w:rFonts w:ascii="Arial" w:cs="Arial" w:eastAsia="Arial" w:hAnsi="Arial"/>
          <w:sz w:val="16"/>
          <w:szCs w:val="16"/>
          <w:b w:val="1"/>
          <w:bCs w:val="1"/>
          <w:color w:val="444442"/>
        </w:rPr>
        <w:t>A</w:t>
      </w:r>
      <w:r>
        <w:rPr>
          <w:rFonts w:ascii="Arial" w:cs="Arial" w:eastAsia="Arial" w:hAnsi="Arial"/>
          <w:sz w:val="16"/>
          <w:szCs w:val="16"/>
          <w:color w:val="444442"/>
        </w:rPr>
        <w:t xml:space="preserve"> covered person will do everything necessary to secure such rights; and do nothing after a loss to prejudice such rights. However, you may waive any rights of recovery from another person or organization for a covered loss in writing before the loss occurs.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44442"/>
        </w:rPr>
        <w:t>Concealment or fraud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5"/>
          <w:szCs w:val="15"/>
          <w:color w:val="444442"/>
        </w:rPr>
        <w:t>We do not provide coverage if you or any covered person has intentionally concealed or misrepresented any material fact relating to this policy before or after a loss.</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Application of coverage</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444442"/>
        </w:rPr>
        <w:t>Coverage applies separately to each covered person</w:t>
      </w:r>
      <w:r>
        <w:rPr>
          <w:rFonts w:ascii="Arial" w:cs="Arial" w:eastAsia="Arial" w:hAnsi="Arial"/>
          <w:sz w:val="16"/>
          <w:szCs w:val="16"/>
          <w:color w:val="21211F"/>
        </w:rPr>
        <w:t>.</w:t>
      </w:r>
      <w:r>
        <w:rPr>
          <w:rFonts w:ascii="Arial" w:cs="Arial" w:eastAsia="Arial" w:hAnsi="Arial"/>
          <w:sz w:val="16"/>
          <w:szCs w:val="16"/>
          <w:color w:val="444442"/>
        </w:rPr>
        <w:t xml:space="preserve"> However, this provision does not increase the amount of coverage for any one occurrence.</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Assignment</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6"/>
          <w:szCs w:val="16"/>
          <w:color w:val="444442"/>
        </w:rPr>
        <w:t>You cannot transfer your interest in this policy to anyone else unless we agree in writing to the transfer.</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Policy changes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444442"/>
        </w:rPr>
        <w:t>This policy can be changed only by a written amendment we issue.</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Bankruptcy or insolvency</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444442"/>
        </w:rPr>
        <w:t>We will meet all our obligations under this policy regardless of whether you, your estate</w:t>
      </w:r>
      <w:r>
        <w:rPr>
          <w:rFonts w:ascii="Arial" w:cs="Arial" w:eastAsia="Arial" w:hAnsi="Arial"/>
          <w:sz w:val="16"/>
          <w:szCs w:val="16"/>
          <w:color w:val="676764"/>
        </w:rPr>
        <w:t>,</w:t>
      </w:r>
      <w:r>
        <w:rPr>
          <w:rFonts w:ascii="Arial" w:cs="Arial" w:eastAsia="Arial" w:hAnsi="Arial"/>
          <w:sz w:val="16"/>
          <w:szCs w:val="16"/>
          <w:color w:val="444442"/>
        </w:rPr>
        <w:t xml:space="preserve"> or anyone else or their estate becomes bankrupt or insolvent.</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In case of death</w:t>
      </w:r>
    </w:p>
    <w:p>
      <w:pPr>
        <w:spacing w:after="0" w:line="50" w:lineRule="exact"/>
        <w:rPr>
          <w:sz w:val="20"/>
          <w:szCs w:val="20"/>
          <w:color w:val="auto"/>
        </w:rPr>
      </w:pPr>
    </w:p>
    <w:p>
      <w:pPr>
        <w:jc w:val="both"/>
        <w:ind w:left="140"/>
        <w:spacing w:after="0" w:line="366" w:lineRule="auto"/>
        <w:rPr>
          <w:sz w:val="20"/>
          <w:szCs w:val="20"/>
          <w:color w:val="auto"/>
        </w:rPr>
      </w:pPr>
      <w:r>
        <w:rPr>
          <w:rFonts w:ascii="Arial" w:cs="Arial" w:eastAsia="Arial" w:hAnsi="Arial"/>
          <w:sz w:val="15"/>
          <w:szCs w:val="15"/>
          <w:color w:val="444442"/>
        </w:rPr>
        <w:t>In the event of your death, coverage will be provided until the end of the policy period or policy anniversary date, whichever occurs first, for any surviving member of your household who is a covered person at the time of death. We will also cover your legal representative or any person having proper temporary custody of your property.</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444442"/>
        </w:rPr>
        <w:t>Liberalization</w:t>
      </w:r>
    </w:p>
    <w:p>
      <w:pPr>
        <w:spacing w:after="0" w:line="63" w:lineRule="exact"/>
        <w:rPr>
          <w:sz w:val="20"/>
          <w:szCs w:val="20"/>
          <w:color w:val="auto"/>
        </w:rPr>
      </w:pPr>
    </w:p>
    <w:p>
      <w:pPr>
        <w:jc w:val="both"/>
        <w:ind w:left="140"/>
        <w:spacing w:after="0" w:line="323" w:lineRule="auto"/>
        <w:rPr>
          <w:sz w:val="20"/>
          <w:szCs w:val="20"/>
          <w:color w:val="auto"/>
        </w:rPr>
      </w:pPr>
      <w:r>
        <w:rPr>
          <w:rFonts w:ascii="Arial" w:cs="Arial" w:eastAsia="Arial" w:hAnsi="Arial"/>
          <w:sz w:val="16"/>
          <w:szCs w:val="16"/>
          <w:color w:val="444442"/>
        </w:rPr>
        <w:t>We may extend or broaden the coverage provided by this policy. If we do this during the policy period or within 60 days before it begins, without increasing the premium, then the extended or broadened coverage will apply to occurrences after the effective date of the extended or broadened coverage</w:t>
      </w:r>
      <w:r>
        <w:rPr>
          <w:rFonts w:ascii="Arial" w:cs="Arial" w:eastAsia="Arial" w:hAnsi="Arial"/>
          <w:sz w:val="16"/>
          <w:szCs w:val="16"/>
          <w:color w:val="21211F"/>
        </w:rPr>
        <w:t>.</w:t>
      </w:r>
    </w:p>
    <w:p>
      <w:pPr>
        <w:ind w:left="180"/>
        <w:spacing w:after="0"/>
        <w:rPr>
          <w:sz w:val="20"/>
          <w:szCs w:val="20"/>
          <w:color w:val="auto"/>
        </w:rPr>
      </w:pPr>
      <w:r>
        <w:rPr>
          <w:rFonts w:ascii="Arial" w:cs="Arial" w:eastAsia="Arial" w:hAnsi="Arial"/>
          <w:sz w:val="16"/>
          <w:szCs w:val="16"/>
          <w:b w:val="1"/>
          <w:bCs w:val="1"/>
          <w:color w:val="444442"/>
        </w:rPr>
        <w:t>Conforming to state law</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444442"/>
        </w:rPr>
        <w:t>If any provision of this policy conflict with any applicable laws of the state you live in, this policy is amended to conform to those laws.</w:t>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444442"/>
        </w:rPr>
        <w:t>Conforming to trade sanction laws</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13 of 15</w:t>
      </w:r>
    </w:p>
    <w:p>
      <w:pPr>
        <w:sectPr>
          <w:pgSz w:w="11900" w:h="16838" w:orient="portrait"/>
          <w:cols w:equalWidth="0" w:num="1">
            <w:col w:w="11420"/>
          </w:cols>
          <w:pgMar w:left="240" w:top="580" w:right="239" w:bottom="1440" w:gutter="0" w:footer="0" w:header="0"/>
        </w:sectPr>
      </w:pPr>
    </w:p>
    <w:bookmarkStart w:id="160" w:name="page161"/>
    <w:bookmarkEnd w:id="160"/>
    <w:p>
      <w:pPr>
        <w:ind w:left="180"/>
        <w:spacing w:after="0"/>
        <w:rPr>
          <w:sz w:val="20"/>
          <w:szCs w:val="20"/>
          <w:color w:val="auto"/>
        </w:rPr>
      </w:pPr>
      <w:r>
        <w:rPr>
          <w:rFonts w:ascii="Arial" w:cs="Arial" w:eastAsia="Arial" w:hAnsi="Arial"/>
          <w:sz w:val="14"/>
          <w:szCs w:val="14"/>
          <w:color w:val="444442"/>
        </w:rPr>
        <w:t>This policy does not apply to the extent that trade or economic sanctions or other laws or regulations prohibit us from providing insurance.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_________________________________________________________________________________________________________________________</w:t>
      </w:r>
    </w:p>
    <w:p>
      <w:pPr>
        <w:spacing w:after="0" w:line="53"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13 of 15</w:t>
      </w:r>
    </w:p>
    <w:p>
      <w:pPr>
        <w:sectPr>
          <w:pgSz w:w="11900" w:h="16838" w:orient="portrait"/>
          <w:cols w:equalWidth="0" w:num="1">
            <w:col w:w="10219"/>
          </w:cols>
          <w:pgMar w:left="240" w:top="603" w:right="1440" w:bottom="1440" w:gutter="0" w:footer="0" w:header="0"/>
        </w:sectPr>
      </w:pPr>
    </w:p>
    <w:bookmarkStart w:id="161" w:name="page162"/>
    <w:bookmarkEnd w:id="161"/>
    <w:p>
      <w:pPr>
        <w:ind w:left="386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-162560</wp:posOffset>
            </wp:positionV>
            <wp:extent cx="110617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9">
                      <a:extLst>
                        <a:ext uri="{28A0092B-C50C-407E-A947-70E740481C1C}"/>
                      </a:extLst>
                    </a:blip>
                    <a:srcRect/>
                    <a:stretch>
                      <a:fillRect/>
                    </a:stretch>
                  </pic:blipFill>
                  <pic:spPr bwMode="auto">
                    <a:xfrm>
                      <a:off x="0" y="0"/>
                      <a:ext cx="1106170" cy="14605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580"/>
        <w:spacing w:after="0"/>
        <w:rPr>
          <w:sz w:val="20"/>
          <w:szCs w:val="20"/>
          <w:color w:val="auto"/>
        </w:rPr>
      </w:pPr>
      <w:r>
        <w:rPr>
          <w:rFonts w:ascii="Arial" w:cs="Arial" w:eastAsia="Arial" w:hAnsi="Arial"/>
          <w:sz w:val="22"/>
          <w:szCs w:val="22"/>
          <w:b w:val="1"/>
          <w:bCs w:val="1"/>
          <w:i w:val="1"/>
          <w:iCs w:val="1"/>
          <w:color w:val="3B3B3B"/>
        </w:rPr>
        <w:t>Liability Conditions</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3B3B3B"/>
        </w:rPr>
        <w:t xml:space="preserve">These conditions </w:t>
      </w:r>
      <w:r>
        <w:rPr>
          <w:rFonts w:ascii="Arial" w:cs="Arial" w:eastAsia="Arial" w:hAnsi="Arial"/>
          <w:sz w:val="16"/>
          <w:szCs w:val="16"/>
          <w:color w:val="4B4B49"/>
        </w:rPr>
        <w:t>apply</w:t>
      </w:r>
      <w:r>
        <w:rPr>
          <w:rFonts w:ascii="Arial" w:cs="Arial" w:eastAsia="Arial" w:hAnsi="Arial"/>
          <w:sz w:val="16"/>
          <w:szCs w:val="16"/>
          <w:color w:val="3B3B3B"/>
        </w:rPr>
        <w:t xml:space="preserve"> to all liability </w:t>
      </w:r>
      <w:r>
        <w:rPr>
          <w:rFonts w:ascii="Arial" w:cs="Arial" w:eastAsia="Arial" w:hAnsi="Arial"/>
          <w:sz w:val="16"/>
          <w:szCs w:val="16"/>
          <w:color w:val="4B4B49"/>
        </w:rPr>
        <w:t>coverages in</w:t>
      </w:r>
      <w:r>
        <w:rPr>
          <w:rFonts w:ascii="Arial" w:cs="Arial" w:eastAsia="Arial" w:hAnsi="Arial"/>
          <w:sz w:val="16"/>
          <w:szCs w:val="16"/>
          <w:color w:val="3B3B3B"/>
        </w:rPr>
        <w:t xml:space="preserve"> this </w:t>
      </w:r>
      <w:r>
        <w:rPr>
          <w:rFonts w:ascii="Arial" w:cs="Arial" w:eastAsia="Arial" w:hAnsi="Arial"/>
          <w:sz w:val="16"/>
          <w:szCs w:val="16"/>
          <w:color w:val="4B4B49"/>
        </w:rPr>
        <w:t>policy.</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4B4B49"/>
        </w:rPr>
        <w:t xml:space="preserve">Other </w:t>
      </w:r>
      <w:r>
        <w:rPr>
          <w:rFonts w:ascii="Arial" w:cs="Arial" w:eastAsia="Arial" w:hAnsi="Arial"/>
          <w:sz w:val="16"/>
          <w:szCs w:val="16"/>
          <w:b w:val="1"/>
          <w:bCs w:val="1"/>
          <w:color w:val="3B3B3B"/>
        </w:rPr>
        <w:t>Insurance</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color w:val="3B3B3B"/>
        </w:rPr>
        <w:t xml:space="preserve">This insurance is </w:t>
      </w:r>
      <w:r>
        <w:rPr>
          <w:rFonts w:ascii="Arial" w:cs="Arial" w:eastAsia="Arial" w:hAnsi="Arial"/>
          <w:sz w:val="16"/>
          <w:szCs w:val="16"/>
          <w:color w:val="4B4B49"/>
        </w:rPr>
        <w:t>excess over</w:t>
      </w:r>
      <w:r>
        <w:rPr>
          <w:rFonts w:ascii="Arial" w:cs="Arial" w:eastAsia="Arial" w:hAnsi="Arial"/>
          <w:sz w:val="16"/>
          <w:szCs w:val="16"/>
          <w:color w:val="3B3B3B"/>
        </w:rPr>
        <w:t xml:space="preserve"> any </w:t>
      </w:r>
      <w:r>
        <w:rPr>
          <w:rFonts w:ascii="Arial" w:cs="Arial" w:eastAsia="Arial" w:hAnsi="Arial"/>
          <w:sz w:val="16"/>
          <w:szCs w:val="16"/>
          <w:color w:val="4B4B49"/>
        </w:rPr>
        <w:t>other</w:t>
      </w:r>
      <w:r>
        <w:rPr>
          <w:rFonts w:ascii="Arial" w:cs="Arial" w:eastAsia="Arial" w:hAnsi="Arial"/>
          <w:sz w:val="16"/>
          <w:szCs w:val="16"/>
          <w:color w:val="3B3B3B"/>
        </w:rPr>
        <w:t xml:space="preserve"> insurance except for those </w:t>
      </w:r>
      <w:r>
        <w:rPr>
          <w:rFonts w:ascii="Arial" w:cs="Arial" w:eastAsia="Arial" w:hAnsi="Arial"/>
          <w:sz w:val="16"/>
          <w:szCs w:val="16"/>
          <w:color w:val="4B4B49"/>
        </w:rPr>
        <w:t>policies</w:t>
      </w:r>
      <w:r>
        <w:rPr>
          <w:rFonts w:ascii="Arial" w:cs="Arial" w:eastAsia="Arial" w:hAnsi="Arial"/>
          <w:sz w:val="16"/>
          <w:szCs w:val="16"/>
          <w:color w:val="3B3B3B"/>
        </w:rPr>
        <w:t xml:space="preserve"> that</w:t>
      </w:r>
    </w:p>
    <w:p>
      <w:pPr>
        <w:spacing w:after="0" w:line="271" w:lineRule="exact"/>
        <w:rPr>
          <w:sz w:val="20"/>
          <w:szCs w:val="20"/>
          <w:color w:val="auto"/>
        </w:rPr>
      </w:pPr>
    </w:p>
    <w:p>
      <w:pPr>
        <w:ind w:left="880" w:hanging="305"/>
        <w:spacing w:after="0"/>
        <w:tabs>
          <w:tab w:leader="none" w:pos="880" w:val="left"/>
        </w:tabs>
        <w:numPr>
          <w:ilvl w:val="0"/>
          <w:numId w:val="121"/>
        </w:numPr>
        <w:rPr>
          <w:rFonts w:ascii="Arial" w:cs="Arial" w:eastAsia="Arial" w:hAnsi="Arial"/>
          <w:sz w:val="16"/>
          <w:szCs w:val="16"/>
          <w:color w:val="3B3B3B"/>
        </w:rPr>
      </w:pPr>
      <w:r>
        <w:rPr>
          <w:rFonts w:ascii="Arial" w:cs="Arial" w:eastAsia="Arial" w:hAnsi="Arial"/>
          <w:sz w:val="16"/>
          <w:szCs w:val="16"/>
          <w:color w:val="3B3B3B"/>
        </w:rPr>
        <w:t xml:space="preserve">are written </w:t>
      </w:r>
      <w:r>
        <w:rPr>
          <w:rFonts w:ascii="Arial" w:cs="Arial" w:eastAsia="Arial" w:hAnsi="Arial"/>
          <w:sz w:val="16"/>
          <w:szCs w:val="16"/>
          <w:color w:val="4B4B49"/>
        </w:rPr>
        <w:t>specifically</w:t>
      </w:r>
      <w:r>
        <w:rPr>
          <w:rFonts w:ascii="Arial" w:cs="Arial" w:eastAsia="Arial" w:hAnsi="Arial"/>
          <w:sz w:val="16"/>
          <w:szCs w:val="16"/>
          <w:color w:val="3B3B3B"/>
        </w:rPr>
        <w:t xml:space="preserve"> to </w:t>
      </w:r>
      <w:r>
        <w:rPr>
          <w:rFonts w:ascii="Arial" w:cs="Arial" w:eastAsia="Arial" w:hAnsi="Arial"/>
          <w:sz w:val="16"/>
          <w:szCs w:val="16"/>
          <w:color w:val="4B4B49"/>
        </w:rPr>
        <w:t>cover excess over</w:t>
      </w:r>
      <w:r>
        <w:rPr>
          <w:rFonts w:ascii="Arial" w:cs="Arial" w:eastAsia="Arial" w:hAnsi="Arial"/>
          <w:sz w:val="16"/>
          <w:szCs w:val="16"/>
          <w:color w:val="3B3B3B"/>
        </w:rPr>
        <w:t xml:space="preserve"> the amount </w:t>
      </w:r>
      <w:r>
        <w:rPr>
          <w:rFonts w:ascii="Arial" w:cs="Arial" w:eastAsia="Arial" w:hAnsi="Arial"/>
          <w:sz w:val="16"/>
          <w:szCs w:val="16"/>
          <w:color w:val="4B4B49"/>
        </w:rPr>
        <w:t>of coverage</w:t>
      </w:r>
      <w:r>
        <w:rPr>
          <w:rFonts w:ascii="Arial" w:cs="Arial" w:eastAsia="Arial" w:hAnsi="Arial"/>
          <w:sz w:val="16"/>
          <w:szCs w:val="16"/>
          <w:color w:val="3B3B3B"/>
        </w:rPr>
        <w:t xml:space="preserve"> that </w:t>
      </w:r>
      <w:r>
        <w:rPr>
          <w:rFonts w:ascii="Arial" w:cs="Arial" w:eastAsia="Arial" w:hAnsi="Arial"/>
          <w:sz w:val="16"/>
          <w:szCs w:val="16"/>
          <w:color w:val="4B4B49"/>
        </w:rPr>
        <w:t>applies in</w:t>
      </w:r>
      <w:r>
        <w:rPr>
          <w:rFonts w:ascii="Arial" w:cs="Arial" w:eastAsia="Arial" w:hAnsi="Arial"/>
          <w:sz w:val="16"/>
          <w:szCs w:val="16"/>
          <w:color w:val="3B3B3B"/>
        </w:rPr>
        <w:t xml:space="preserve"> this </w:t>
      </w:r>
      <w:r>
        <w:rPr>
          <w:rFonts w:ascii="Arial" w:cs="Arial" w:eastAsia="Arial" w:hAnsi="Arial"/>
          <w:sz w:val="16"/>
          <w:szCs w:val="16"/>
          <w:color w:val="4B4B49"/>
        </w:rPr>
        <w:t>policy; and</w:t>
      </w:r>
    </w:p>
    <w:p>
      <w:pPr>
        <w:spacing w:after="0" w:line="45" w:lineRule="exact"/>
        <w:rPr>
          <w:rFonts w:ascii="Arial" w:cs="Arial" w:eastAsia="Arial" w:hAnsi="Arial"/>
          <w:sz w:val="16"/>
          <w:szCs w:val="16"/>
          <w:color w:val="3B3B3B"/>
        </w:rPr>
      </w:pPr>
    </w:p>
    <w:p>
      <w:pPr>
        <w:ind w:left="880" w:hanging="305"/>
        <w:spacing w:after="0"/>
        <w:tabs>
          <w:tab w:leader="none" w:pos="880" w:val="left"/>
        </w:tabs>
        <w:numPr>
          <w:ilvl w:val="0"/>
          <w:numId w:val="121"/>
        </w:numPr>
        <w:rPr>
          <w:rFonts w:ascii="Arial" w:cs="Arial" w:eastAsia="Arial" w:hAnsi="Arial"/>
          <w:sz w:val="16"/>
          <w:szCs w:val="16"/>
          <w:color w:val="4B4B49"/>
        </w:rPr>
      </w:pPr>
      <w:r>
        <w:rPr>
          <w:rFonts w:ascii="Arial" w:cs="Arial" w:eastAsia="Arial" w:hAnsi="Arial"/>
          <w:sz w:val="16"/>
          <w:szCs w:val="16"/>
          <w:color w:val="4B4B49"/>
        </w:rPr>
        <w:t xml:space="preserve">schedule </w:t>
      </w:r>
      <w:r>
        <w:rPr>
          <w:rFonts w:ascii="Arial" w:cs="Arial" w:eastAsia="Arial" w:hAnsi="Arial"/>
          <w:sz w:val="16"/>
          <w:szCs w:val="16"/>
          <w:color w:val="3B3B3B"/>
        </w:rPr>
        <w:t>this</w:t>
      </w:r>
      <w:r>
        <w:rPr>
          <w:rFonts w:ascii="Arial" w:cs="Arial" w:eastAsia="Arial" w:hAnsi="Arial"/>
          <w:sz w:val="16"/>
          <w:szCs w:val="16"/>
          <w:color w:val="4B4B49"/>
        </w:rPr>
        <w:t xml:space="preserve"> policy as underlying insurance.</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3B3B3B"/>
        </w:rPr>
        <w:t xml:space="preserve">Your duties </w:t>
      </w:r>
      <w:r>
        <w:rPr>
          <w:rFonts w:ascii="Arial" w:cs="Arial" w:eastAsia="Arial" w:hAnsi="Arial"/>
          <w:sz w:val="16"/>
          <w:szCs w:val="16"/>
          <w:b w:val="1"/>
          <w:bCs w:val="1"/>
          <w:color w:val="4B4B49"/>
        </w:rPr>
        <w:t>after</w:t>
      </w:r>
      <w:r>
        <w:rPr>
          <w:rFonts w:ascii="Arial" w:cs="Arial" w:eastAsia="Arial" w:hAnsi="Arial"/>
          <w:sz w:val="16"/>
          <w:szCs w:val="16"/>
          <w:b w:val="1"/>
          <w:bCs w:val="1"/>
          <w:color w:val="3B3B3B"/>
        </w:rPr>
        <w:t xml:space="preserve"> a loss</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color w:val="3B3B3B"/>
        </w:rPr>
        <w:t xml:space="preserve">In </w:t>
      </w:r>
      <w:r>
        <w:rPr>
          <w:rFonts w:ascii="Arial" w:cs="Arial" w:eastAsia="Arial" w:hAnsi="Arial"/>
          <w:sz w:val="16"/>
          <w:szCs w:val="16"/>
          <w:color w:val="4B4B49"/>
        </w:rPr>
        <w:t>case of an accident or occurrence, the</w:t>
      </w:r>
      <w:r>
        <w:rPr>
          <w:rFonts w:ascii="Arial" w:cs="Arial" w:eastAsia="Arial" w:hAnsi="Arial"/>
          <w:sz w:val="16"/>
          <w:szCs w:val="16"/>
          <w:color w:val="3B3B3B"/>
        </w:rPr>
        <w:t xml:space="preserve"> covered person </w:t>
      </w:r>
      <w:r>
        <w:rPr>
          <w:rFonts w:ascii="Arial" w:cs="Arial" w:eastAsia="Arial" w:hAnsi="Arial"/>
          <w:sz w:val="16"/>
          <w:szCs w:val="16"/>
          <w:color w:val="4B4B49"/>
        </w:rPr>
        <w:t>shall</w:t>
      </w:r>
      <w:r>
        <w:rPr>
          <w:rFonts w:ascii="Arial" w:cs="Arial" w:eastAsia="Arial" w:hAnsi="Arial"/>
          <w:sz w:val="16"/>
          <w:szCs w:val="16"/>
          <w:color w:val="3B3B3B"/>
        </w:rPr>
        <w:t xml:space="preserve"> perform the </w:t>
      </w:r>
      <w:r>
        <w:rPr>
          <w:rFonts w:ascii="Arial" w:cs="Arial" w:eastAsia="Arial" w:hAnsi="Arial"/>
          <w:sz w:val="16"/>
          <w:szCs w:val="16"/>
          <w:color w:val="4B4B49"/>
        </w:rPr>
        <w:t>following duties</w:t>
      </w:r>
      <w:r>
        <w:rPr>
          <w:rFonts w:ascii="Arial" w:cs="Arial" w:eastAsia="Arial" w:hAnsi="Arial"/>
          <w:sz w:val="16"/>
          <w:szCs w:val="16"/>
          <w:color w:val="3B3B3B"/>
        </w:rPr>
        <w:t xml:space="preserve"> that </w:t>
      </w:r>
      <w:r>
        <w:rPr>
          <w:rFonts w:ascii="Arial" w:cs="Arial" w:eastAsia="Arial" w:hAnsi="Arial"/>
          <w:sz w:val="16"/>
          <w:szCs w:val="16"/>
          <w:color w:val="4B4B49"/>
        </w:rPr>
        <w:t>apply:</w:t>
      </w:r>
    </w:p>
    <w:p>
      <w:pPr>
        <w:spacing w:after="0" w:line="26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3B3B3B"/>
        </w:rPr>
        <w:t xml:space="preserve">Notification. </w:t>
      </w:r>
      <w:r>
        <w:rPr>
          <w:rFonts w:ascii="Arial" w:cs="Arial" w:eastAsia="Arial" w:hAnsi="Arial"/>
          <w:sz w:val="16"/>
          <w:szCs w:val="16"/>
          <w:color w:val="3B3B3B"/>
        </w:rPr>
        <w:t>You must notify us or</w:t>
      </w:r>
      <w:r>
        <w:rPr>
          <w:rFonts w:ascii="Arial" w:cs="Arial" w:eastAsia="Arial" w:hAnsi="Arial"/>
          <w:sz w:val="16"/>
          <w:szCs w:val="16"/>
          <w:b w:val="1"/>
          <w:bCs w:val="1"/>
          <w:color w:val="3B3B3B"/>
        </w:rPr>
        <w:t xml:space="preserve"> </w:t>
      </w:r>
      <w:r>
        <w:rPr>
          <w:rFonts w:ascii="Arial" w:cs="Arial" w:eastAsia="Arial" w:hAnsi="Arial"/>
          <w:sz w:val="16"/>
          <w:szCs w:val="16"/>
          <w:color w:val="4B4B49"/>
        </w:rPr>
        <w:t>your</w:t>
      </w:r>
      <w:r>
        <w:rPr>
          <w:rFonts w:ascii="Arial" w:cs="Arial" w:eastAsia="Arial" w:hAnsi="Arial"/>
          <w:sz w:val="16"/>
          <w:szCs w:val="16"/>
          <w:b w:val="1"/>
          <w:bCs w:val="1"/>
          <w:color w:val="3B3B3B"/>
        </w:rPr>
        <w:t xml:space="preserve"> </w:t>
      </w:r>
      <w:r>
        <w:rPr>
          <w:rFonts w:ascii="Arial" w:cs="Arial" w:eastAsia="Arial" w:hAnsi="Arial"/>
          <w:sz w:val="16"/>
          <w:szCs w:val="16"/>
          <w:color w:val="3B3B3B"/>
        </w:rPr>
        <w:t>agent</w:t>
      </w:r>
      <w:r>
        <w:rPr>
          <w:rFonts w:ascii="Arial" w:cs="Arial" w:eastAsia="Arial" w:hAnsi="Arial"/>
          <w:sz w:val="16"/>
          <w:szCs w:val="16"/>
          <w:b w:val="1"/>
          <w:bCs w:val="1"/>
          <w:color w:val="3B3B3B"/>
        </w:rPr>
        <w:t xml:space="preserve"> </w:t>
      </w:r>
      <w:r>
        <w:rPr>
          <w:rFonts w:ascii="Arial" w:cs="Arial" w:eastAsia="Arial" w:hAnsi="Arial"/>
          <w:sz w:val="16"/>
          <w:szCs w:val="16"/>
          <w:color w:val="4B4B49"/>
        </w:rPr>
        <w:t>or</w:t>
      </w:r>
      <w:r>
        <w:rPr>
          <w:rFonts w:ascii="Arial" w:cs="Arial" w:eastAsia="Arial" w:hAnsi="Arial"/>
          <w:sz w:val="16"/>
          <w:szCs w:val="16"/>
          <w:b w:val="1"/>
          <w:bCs w:val="1"/>
          <w:color w:val="3B3B3B"/>
        </w:rPr>
        <w:t xml:space="preserve"> </w:t>
      </w:r>
      <w:r>
        <w:rPr>
          <w:rFonts w:ascii="Arial" w:cs="Arial" w:eastAsia="Arial" w:hAnsi="Arial"/>
          <w:sz w:val="16"/>
          <w:szCs w:val="16"/>
          <w:color w:val="3B3B3B"/>
        </w:rPr>
        <w:t>broker</w:t>
      </w:r>
      <w:r>
        <w:rPr>
          <w:rFonts w:ascii="Arial" w:cs="Arial" w:eastAsia="Arial" w:hAnsi="Arial"/>
          <w:sz w:val="16"/>
          <w:szCs w:val="16"/>
          <w:b w:val="1"/>
          <w:bCs w:val="1"/>
          <w:color w:val="3B3B3B"/>
        </w:rPr>
        <w:t xml:space="preserve"> </w:t>
      </w:r>
      <w:r>
        <w:rPr>
          <w:rFonts w:ascii="Arial" w:cs="Arial" w:eastAsia="Arial" w:hAnsi="Arial"/>
          <w:sz w:val="16"/>
          <w:szCs w:val="16"/>
          <w:color w:val="4B4B49"/>
        </w:rPr>
        <w:t>as soon as possible.</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4B4B49"/>
        </w:rPr>
        <w:t xml:space="preserve">Assistance. </w:t>
      </w:r>
      <w:r>
        <w:rPr>
          <w:rFonts w:ascii="Arial" w:cs="Arial" w:eastAsia="Arial" w:hAnsi="Arial"/>
          <w:sz w:val="15"/>
          <w:szCs w:val="15"/>
          <w:color w:val="3B3B3B"/>
        </w:rPr>
        <w:t>You</w:t>
      </w:r>
      <w:r>
        <w:rPr>
          <w:rFonts w:ascii="Arial" w:cs="Arial" w:eastAsia="Arial" w:hAnsi="Arial"/>
          <w:sz w:val="15"/>
          <w:szCs w:val="15"/>
          <w:b w:val="1"/>
          <w:bCs w:val="1"/>
          <w:color w:val="4B4B49"/>
        </w:rPr>
        <w:t xml:space="preserve"> </w:t>
      </w:r>
      <w:r>
        <w:rPr>
          <w:rFonts w:ascii="Arial" w:cs="Arial" w:eastAsia="Arial" w:hAnsi="Arial"/>
          <w:sz w:val="15"/>
          <w:szCs w:val="15"/>
          <w:color w:val="4B4B49"/>
        </w:rPr>
        <w:t>must provide</w:t>
      </w:r>
      <w:r>
        <w:rPr>
          <w:rFonts w:ascii="Arial" w:cs="Arial" w:eastAsia="Arial" w:hAnsi="Arial"/>
          <w:sz w:val="15"/>
          <w:szCs w:val="15"/>
          <w:b w:val="1"/>
          <w:bCs w:val="1"/>
          <w:color w:val="4B4B49"/>
        </w:rPr>
        <w:t xml:space="preserve"> </w:t>
      </w:r>
      <w:r>
        <w:rPr>
          <w:rFonts w:ascii="Arial" w:cs="Arial" w:eastAsia="Arial" w:hAnsi="Arial"/>
          <w:sz w:val="15"/>
          <w:szCs w:val="15"/>
          <w:color w:val="3B3B3B"/>
        </w:rPr>
        <w:t>us with all</w:t>
      </w:r>
      <w:r>
        <w:rPr>
          <w:rFonts w:ascii="Arial" w:cs="Arial" w:eastAsia="Arial" w:hAnsi="Arial"/>
          <w:sz w:val="15"/>
          <w:szCs w:val="15"/>
          <w:b w:val="1"/>
          <w:bCs w:val="1"/>
          <w:color w:val="4B4B49"/>
        </w:rPr>
        <w:t xml:space="preserve"> </w:t>
      </w:r>
      <w:r>
        <w:rPr>
          <w:rFonts w:ascii="Arial" w:cs="Arial" w:eastAsia="Arial" w:hAnsi="Arial"/>
          <w:sz w:val="15"/>
          <w:szCs w:val="15"/>
          <w:color w:val="4B4B49"/>
        </w:rPr>
        <w:t>available</w:t>
      </w:r>
      <w:r>
        <w:rPr>
          <w:rFonts w:ascii="Arial" w:cs="Arial" w:eastAsia="Arial" w:hAnsi="Arial"/>
          <w:sz w:val="15"/>
          <w:szCs w:val="15"/>
          <w:b w:val="1"/>
          <w:bCs w:val="1"/>
          <w:color w:val="4B4B49"/>
        </w:rPr>
        <w:t xml:space="preserve"> </w:t>
      </w:r>
      <w:r>
        <w:rPr>
          <w:rFonts w:ascii="Arial" w:cs="Arial" w:eastAsia="Arial" w:hAnsi="Arial"/>
          <w:sz w:val="15"/>
          <w:szCs w:val="15"/>
          <w:color w:val="3B3B3B"/>
        </w:rPr>
        <w:t>information.</w:t>
      </w:r>
      <w:r>
        <w:rPr>
          <w:rFonts w:ascii="Arial" w:cs="Arial" w:eastAsia="Arial" w:hAnsi="Arial"/>
          <w:sz w:val="15"/>
          <w:szCs w:val="15"/>
          <w:b w:val="1"/>
          <w:bCs w:val="1"/>
          <w:color w:val="4B4B49"/>
        </w:rPr>
        <w:t xml:space="preserve"> </w:t>
      </w:r>
      <w:r>
        <w:rPr>
          <w:rFonts w:ascii="Arial" w:cs="Arial" w:eastAsia="Arial" w:hAnsi="Arial"/>
          <w:sz w:val="15"/>
          <w:szCs w:val="15"/>
          <w:color w:val="4B4B49"/>
        </w:rPr>
        <w:t>This</w:t>
      </w:r>
      <w:r>
        <w:rPr>
          <w:rFonts w:ascii="Arial" w:cs="Arial" w:eastAsia="Arial" w:hAnsi="Arial"/>
          <w:sz w:val="15"/>
          <w:szCs w:val="15"/>
          <w:b w:val="1"/>
          <w:bCs w:val="1"/>
          <w:color w:val="4B4B49"/>
        </w:rPr>
        <w:t xml:space="preserve"> </w:t>
      </w:r>
      <w:r>
        <w:rPr>
          <w:rFonts w:ascii="Arial" w:cs="Arial" w:eastAsia="Arial" w:hAnsi="Arial"/>
          <w:sz w:val="15"/>
          <w:szCs w:val="15"/>
          <w:color w:val="3B3B3B"/>
        </w:rPr>
        <w:t>includes</w:t>
      </w:r>
      <w:r>
        <w:rPr>
          <w:rFonts w:ascii="Arial" w:cs="Arial" w:eastAsia="Arial" w:hAnsi="Arial"/>
          <w:sz w:val="15"/>
          <w:szCs w:val="15"/>
          <w:b w:val="1"/>
          <w:bCs w:val="1"/>
          <w:color w:val="4B4B49"/>
        </w:rPr>
        <w:t xml:space="preserve"> </w:t>
      </w:r>
      <w:r>
        <w:rPr>
          <w:rFonts w:ascii="Arial" w:cs="Arial" w:eastAsia="Arial" w:hAnsi="Arial"/>
          <w:sz w:val="15"/>
          <w:szCs w:val="15"/>
          <w:color w:val="4B4B49"/>
        </w:rPr>
        <w:t>any suit papers or other documents</w:t>
      </w:r>
      <w:r>
        <w:rPr>
          <w:rFonts w:ascii="Arial" w:cs="Arial" w:eastAsia="Arial" w:hAnsi="Arial"/>
          <w:sz w:val="15"/>
          <w:szCs w:val="15"/>
          <w:b w:val="1"/>
          <w:bCs w:val="1"/>
          <w:color w:val="4B4B49"/>
        </w:rPr>
        <w:t xml:space="preserve"> </w:t>
      </w:r>
      <w:r>
        <w:rPr>
          <w:rFonts w:ascii="Arial" w:cs="Arial" w:eastAsia="Arial" w:hAnsi="Arial"/>
          <w:sz w:val="15"/>
          <w:szCs w:val="15"/>
          <w:color w:val="3B3B3B"/>
        </w:rPr>
        <w:t>which help us in the event that we defend</w:t>
      </w:r>
      <w:r>
        <w:rPr>
          <w:rFonts w:ascii="Arial" w:cs="Arial" w:eastAsia="Arial" w:hAnsi="Arial"/>
          <w:sz w:val="15"/>
          <w:szCs w:val="15"/>
          <w:b w:val="1"/>
          <w:bCs w:val="1"/>
          <w:color w:val="4B4B49"/>
        </w:rPr>
        <w:t xml:space="preserve"> </w:t>
      </w:r>
      <w:r>
        <w:rPr>
          <w:rFonts w:ascii="Arial" w:cs="Arial" w:eastAsia="Arial" w:hAnsi="Arial"/>
          <w:sz w:val="15"/>
          <w:szCs w:val="15"/>
          <w:color w:val="4B4B49"/>
        </w:rPr>
        <w:t>you.</w:t>
      </w:r>
    </w:p>
    <w:p>
      <w:pPr>
        <w:spacing w:after="0" w:line="287" w:lineRule="exact"/>
        <w:rPr>
          <w:sz w:val="20"/>
          <w:szCs w:val="20"/>
          <w:color w:val="auto"/>
        </w:rPr>
      </w:pPr>
    </w:p>
    <w:p>
      <w:pPr>
        <w:ind w:left="560" w:right="80"/>
        <w:spacing w:after="0" w:line="333" w:lineRule="auto"/>
        <w:rPr>
          <w:sz w:val="20"/>
          <w:szCs w:val="20"/>
          <w:color w:val="auto"/>
        </w:rPr>
      </w:pPr>
      <w:r>
        <w:rPr>
          <w:rFonts w:ascii="Arial" w:cs="Arial" w:eastAsia="Arial" w:hAnsi="Arial"/>
          <w:sz w:val="16"/>
          <w:szCs w:val="16"/>
          <w:b w:val="1"/>
          <w:bCs w:val="1"/>
          <w:color w:val="3B3B3B"/>
        </w:rPr>
        <w:t xml:space="preserve">Cooperation. </w:t>
      </w:r>
      <w:r>
        <w:rPr>
          <w:rFonts w:ascii="Arial" w:cs="Arial" w:eastAsia="Arial" w:hAnsi="Arial"/>
          <w:sz w:val="16"/>
          <w:szCs w:val="16"/>
          <w:color w:val="4B4B49"/>
        </w:rPr>
        <w:t>You</w:t>
      </w:r>
      <w:r>
        <w:rPr>
          <w:rFonts w:ascii="Arial" w:cs="Arial" w:eastAsia="Arial" w:hAnsi="Arial"/>
          <w:sz w:val="16"/>
          <w:szCs w:val="16"/>
          <w:b w:val="1"/>
          <w:bCs w:val="1"/>
          <w:color w:val="3B3B3B"/>
        </w:rPr>
        <w:t xml:space="preserve"> </w:t>
      </w:r>
      <w:r>
        <w:rPr>
          <w:rFonts w:ascii="Arial" w:cs="Arial" w:eastAsia="Arial" w:hAnsi="Arial"/>
          <w:sz w:val="16"/>
          <w:szCs w:val="16"/>
          <w:color w:val="3B3B3B"/>
        </w:rPr>
        <w:t>must</w:t>
      </w:r>
      <w:r>
        <w:rPr>
          <w:rFonts w:ascii="Arial" w:cs="Arial" w:eastAsia="Arial" w:hAnsi="Arial"/>
          <w:sz w:val="16"/>
          <w:szCs w:val="16"/>
          <w:b w:val="1"/>
          <w:bCs w:val="1"/>
          <w:color w:val="3B3B3B"/>
        </w:rPr>
        <w:t xml:space="preserve"> </w:t>
      </w:r>
      <w:r>
        <w:rPr>
          <w:rFonts w:ascii="Arial" w:cs="Arial" w:eastAsia="Arial" w:hAnsi="Arial"/>
          <w:sz w:val="16"/>
          <w:szCs w:val="16"/>
          <w:color w:val="4B4B49"/>
        </w:rPr>
        <w:t>cooperate with</w:t>
      </w:r>
      <w:r>
        <w:rPr>
          <w:rFonts w:ascii="Arial" w:cs="Arial" w:eastAsia="Arial" w:hAnsi="Arial"/>
          <w:sz w:val="16"/>
          <w:szCs w:val="16"/>
          <w:b w:val="1"/>
          <w:bCs w:val="1"/>
          <w:color w:val="3B3B3B"/>
        </w:rPr>
        <w:t xml:space="preserve"> </w:t>
      </w:r>
      <w:r>
        <w:rPr>
          <w:rFonts w:ascii="Arial" w:cs="Arial" w:eastAsia="Arial" w:hAnsi="Arial"/>
          <w:sz w:val="16"/>
          <w:szCs w:val="16"/>
          <w:color w:val="3B3B3B"/>
        </w:rPr>
        <w:t>us</w:t>
      </w:r>
      <w:r>
        <w:rPr>
          <w:rFonts w:ascii="Arial" w:cs="Arial" w:eastAsia="Arial" w:hAnsi="Arial"/>
          <w:sz w:val="16"/>
          <w:szCs w:val="16"/>
          <w:b w:val="1"/>
          <w:bCs w:val="1"/>
          <w:color w:val="3B3B3B"/>
        </w:rPr>
        <w:t xml:space="preserve"> </w:t>
      </w:r>
      <w:r>
        <w:rPr>
          <w:rFonts w:ascii="Arial" w:cs="Arial" w:eastAsia="Arial" w:hAnsi="Arial"/>
          <w:sz w:val="16"/>
          <w:szCs w:val="16"/>
          <w:color w:val="4B4B49"/>
        </w:rPr>
        <w:t>fully</w:t>
      </w:r>
      <w:r>
        <w:rPr>
          <w:rFonts w:ascii="Arial" w:cs="Arial" w:eastAsia="Arial" w:hAnsi="Arial"/>
          <w:sz w:val="16"/>
          <w:szCs w:val="16"/>
          <w:b w:val="1"/>
          <w:bCs w:val="1"/>
          <w:color w:val="3B3B3B"/>
        </w:rPr>
        <w:t xml:space="preserve"> </w:t>
      </w:r>
      <w:r>
        <w:rPr>
          <w:rFonts w:ascii="Arial" w:cs="Arial" w:eastAsia="Arial" w:hAnsi="Arial"/>
          <w:sz w:val="16"/>
          <w:szCs w:val="16"/>
          <w:color w:val="3B3B3B"/>
        </w:rPr>
        <w:t>in</w:t>
      </w:r>
      <w:r>
        <w:rPr>
          <w:rFonts w:ascii="Arial" w:cs="Arial" w:eastAsia="Arial" w:hAnsi="Arial"/>
          <w:sz w:val="16"/>
          <w:szCs w:val="16"/>
          <w:b w:val="1"/>
          <w:bCs w:val="1"/>
          <w:color w:val="3B3B3B"/>
        </w:rPr>
        <w:t xml:space="preserve"> </w:t>
      </w:r>
      <w:r>
        <w:rPr>
          <w:rFonts w:ascii="Arial" w:cs="Arial" w:eastAsia="Arial" w:hAnsi="Arial"/>
          <w:sz w:val="16"/>
          <w:szCs w:val="16"/>
          <w:color w:val="4B4B49"/>
        </w:rPr>
        <w:t>any</w:t>
      </w:r>
      <w:r>
        <w:rPr>
          <w:rFonts w:ascii="Arial" w:cs="Arial" w:eastAsia="Arial" w:hAnsi="Arial"/>
          <w:sz w:val="16"/>
          <w:szCs w:val="16"/>
          <w:b w:val="1"/>
          <w:bCs w:val="1"/>
          <w:color w:val="3B3B3B"/>
        </w:rPr>
        <w:t xml:space="preserve"> </w:t>
      </w:r>
      <w:r>
        <w:rPr>
          <w:rFonts w:ascii="Arial" w:cs="Arial" w:eastAsia="Arial" w:hAnsi="Arial"/>
          <w:sz w:val="16"/>
          <w:szCs w:val="16"/>
          <w:color w:val="3B3B3B"/>
        </w:rPr>
        <w:t>legal defense</w:t>
      </w:r>
      <w:r>
        <w:rPr>
          <w:rFonts w:ascii="Arial" w:cs="Arial" w:eastAsia="Arial" w:hAnsi="Arial"/>
          <w:sz w:val="16"/>
          <w:szCs w:val="16"/>
          <w:color w:val="21211F"/>
        </w:rPr>
        <w:t>.</w:t>
      </w:r>
      <w:r>
        <w:rPr>
          <w:rFonts w:ascii="Arial" w:cs="Arial" w:eastAsia="Arial" w:hAnsi="Arial"/>
          <w:sz w:val="16"/>
          <w:szCs w:val="16"/>
          <w:b w:val="1"/>
          <w:bCs w:val="1"/>
          <w:color w:val="3B3B3B"/>
        </w:rPr>
        <w:t xml:space="preserve"> </w:t>
      </w:r>
      <w:r>
        <w:rPr>
          <w:rFonts w:ascii="Arial" w:cs="Arial" w:eastAsia="Arial" w:hAnsi="Arial"/>
          <w:sz w:val="16"/>
          <w:szCs w:val="16"/>
          <w:color w:val="4B4B49"/>
        </w:rPr>
        <w:t>This</w:t>
      </w:r>
      <w:r>
        <w:rPr>
          <w:rFonts w:ascii="Arial" w:cs="Arial" w:eastAsia="Arial" w:hAnsi="Arial"/>
          <w:sz w:val="16"/>
          <w:szCs w:val="16"/>
          <w:b w:val="1"/>
          <w:bCs w:val="1"/>
          <w:color w:val="3B3B3B"/>
        </w:rPr>
        <w:t xml:space="preserve"> </w:t>
      </w:r>
      <w:r>
        <w:rPr>
          <w:rFonts w:ascii="Arial" w:cs="Arial" w:eastAsia="Arial" w:hAnsi="Arial"/>
          <w:sz w:val="16"/>
          <w:szCs w:val="16"/>
          <w:color w:val="3B3B3B"/>
        </w:rPr>
        <w:t>may</w:t>
      </w:r>
      <w:r>
        <w:rPr>
          <w:rFonts w:ascii="Arial" w:cs="Arial" w:eastAsia="Arial" w:hAnsi="Arial"/>
          <w:sz w:val="16"/>
          <w:szCs w:val="16"/>
          <w:b w:val="1"/>
          <w:bCs w:val="1"/>
          <w:color w:val="3B3B3B"/>
        </w:rPr>
        <w:t xml:space="preserve"> </w:t>
      </w:r>
      <w:r>
        <w:rPr>
          <w:rFonts w:ascii="Arial" w:cs="Arial" w:eastAsia="Arial" w:hAnsi="Arial"/>
          <w:sz w:val="16"/>
          <w:szCs w:val="16"/>
          <w:color w:val="4B4B49"/>
        </w:rPr>
        <w:t>include any association</w:t>
      </w:r>
      <w:r>
        <w:rPr>
          <w:rFonts w:ascii="Arial" w:cs="Arial" w:eastAsia="Arial" w:hAnsi="Arial"/>
          <w:sz w:val="16"/>
          <w:szCs w:val="16"/>
          <w:b w:val="1"/>
          <w:bCs w:val="1"/>
          <w:color w:val="3B3B3B"/>
        </w:rPr>
        <w:t xml:space="preserve"> </w:t>
      </w:r>
      <w:r>
        <w:rPr>
          <w:rFonts w:ascii="Arial" w:cs="Arial" w:eastAsia="Arial" w:hAnsi="Arial"/>
          <w:sz w:val="16"/>
          <w:szCs w:val="16"/>
          <w:color w:val="3B3B3B"/>
        </w:rPr>
        <w:t>by</w:t>
      </w:r>
      <w:r>
        <w:rPr>
          <w:rFonts w:ascii="Arial" w:cs="Arial" w:eastAsia="Arial" w:hAnsi="Arial"/>
          <w:sz w:val="16"/>
          <w:szCs w:val="16"/>
          <w:b w:val="1"/>
          <w:bCs w:val="1"/>
          <w:color w:val="3B3B3B"/>
        </w:rPr>
        <w:t xml:space="preserve"> </w:t>
      </w:r>
      <w:r>
        <w:rPr>
          <w:rFonts w:ascii="Arial" w:cs="Arial" w:eastAsia="Arial" w:hAnsi="Arial"/>
          <w:sz w:val="16"/>
          <w:szCs w:val="16"/>
          <w:color w:val="4B4B49"/>
        </w:rPr>
        <w:t>us</w:t>
      </w:r>
      <w:r>
        <w:rPr>
          <w:rFonts w:ascii="Arial" w:cs="Arial" w:eastAsia="Arial" w:hAnsi="Arial"/>
          <w:sz w:val="16"/>
          <w:szCs w:val="16"/>
          <w:b w:val="1"/>
          <w:bCs w:val="1"/>
          <w:color w:val="3B3B3B"/>
        </w:rPr>
        <w:t xml:space="preserve"> </w:t>
      </w:r>
      <w:r>
        <w:rPr>
          <w:rFonts w:ascii="Arial" w:cs="Arial" w:eastAsia="Arial" w:hAnsi="Arial"/>
          <w:sz w:val="16"/>
          <w:szCs w:val="16"/>
          <w:color w:val="3B3B3B"/>
        </w:rPr>
        <w:t>with the covered person</w:t>
      </w:r>
      <w:r>
        <w:rPr>
          <w:rFonts w:ascii="Arial" w:cs="Arial" w:eastAsia="Arial" w:hAnsi="Arial"/>
          <w:sz w:val="16"/>
          <w:szCs w:val="16"/>
          <w:b w:val="1"/>
          <w:bCs w:val="1"/>
          <w:color w:val="3B3B3B"/>
        </w:rPr>
        <w:t xml:space="preserve"> </w:t>
      </w:r>
      <w:r>
        <w:rPr>
          <w:rFonts w:ascii="Arial" w:cs="Arial" w:eastAsia="Arial" w:hAnsi="Arial"/>
          <w:sz w:val="16"/>
          <w:szCs w:val="16"/>
          <w:color w:val="4B4B49"/>
        </w:rPr>
        <w:t>in</w:t>
      </w:r>
      <w:r>
        <w:rPr>
          <w:rFonts w:ascii="Arial" w:cs="Arial" w:eastAsia="Arial" w:hAnsi="Arial"/>
          <w:sz w:val="16"/>
          <w:szCs w:val="16"/>
          <w:b w:val="1"/>
          <w:bCs w:val="1"/>
          <w:color w:val="3B3B3B"/>
        </w:rPr>
        <w:t xml:space="preserve"> </w:t>
      </w:r>
      <w:r>
        <w:rPr>
          <w:rFonts w:ascii="Arial" w:cs="Arial" w:eastAsia="Arial" w:hAnsi="Arial"/>
          <w:sz w:val="16"/>
          <w:szCs w:val="16"/>
          <w:color w:val="3B3B3B"/>
        </w:rPr>
        <w:t>defense</w:t>
      </w:r>
      <w:r>
        <w:rPr>
          <w:rFonts w:ascii="Arial" w:cs="Arial" w:eastAsia="Arial" w:hAnsi="Arial"/>
          <w:sz w:val="16"/>
          <w:szCs w:val="16"/>
          <w:b w:val="1"/>
          <w:bCs w:val="1"/>
          <w:color w:val="3B3B3B"/>
        </w:rPr>
        <w:t xml:space="preserve"> </w:t>
      </w:r>
      <w:r>
        <w:rPr>
          <w:rFonts w:ascii="Arial" w:cs="Arial" w:eastAsia="Arial" w:hAnsi="Arial"/>
          <w:sz w:val="16"/>
          <w:szCs w:val="16"/>
          <w:color w:val="4B4B49"/>
        </w:rPr>
        <w:t>of</w:t>
      </w:r>
      <w:r>
        <w:rPr>
          <w:rFonts w:ascii="Arial" w:cs="Arial" w:eastAsia="Arial" w:hAnsi="Arial"/>
          <w:sz w:val="16"/>
          <w:szCs w:val="16"/>
          <w:b w:val="1"/>
          <w:bCs w:val="1"/>
          <w:color w:val="3B3B3B"/>
        </w:rPr>
        <w:t xml:space="preserve"> </w:t>
      </w:r>
      <w:r>
        <w:rPr>
          <w:rFonts w:ascii="Arial" w:cs="Arial" w:eastAsia="Arial" w:hAnsi="Arial"/>
          <w:sz w:val="16"/>
          <w:szCs w:val="16"/>
          <w:color w:val="3B3B3B"/>
        </w:rPr>
        <w:t>a</w:t>
      </w:r>
      <w:r>
        <w:rPr>
          <w:rFonts w:ascii="Arial" w:cs="Arial" w:eastAsia="Arial" w:hAnsi="Arial"/>
          <w:sz w:val="16"/>
          <w:szCs w:val="16"/>
          <w:b w:val="1"/>
          <w:bCs w:val="1"/>
          <w:color w:val="3B3B3B"/>
        </w:rPr>
        <w:t xml:space="preserve"> </w:t>
      </w:r>
      <w:r>
        <w:rPr>
          <w:rFonts w:ascii="Arial" w:cs="Arial" w:eastAsia="Arial" w:hAnsi="Arial"/>
          <w:sz w:val="16"/>
          <w:szCs w:val="16"/>
          <w:color w:val="4B4B49"/>
        </w:rPr>
        <w:t>claim reasonably</w:t>
      </w:r>
      <w:r>
        <w:rPr>
          <w:rFonts w:ascii="Arial" w:cs="Arial" w:eastAsia="Arial" w:hAnsi="Arial"/>
          <w:sz w:val="16"/>
          <w:szCs w:val="16"/>
          <w:b w:val="1"/>
          <w:bCs w:val="1"/>
          <w:color w:val="3B3B3B"/>
        </w:rPr>
        <w:t xml:space="preserve"> </w:t>
      </w:r>
      <w:r>
        <w:rPr>
          <w:rFonts w:ascii="Arial" w:cs="Arial" w:eastAsia="Arial" w:hAnsi="Arial"/>
          <w:sz w:val="16"/>
          <w:szCs w:val="16"/>
          <w:color w:val="3B3B3B"/>
        </w:rPr>
        <w:t xml:space="preserve">likely </w:t>
      </w:r>
      <w:r>
        <w:rPr>
          <w:rFonts w:ascii="Arial" w:cs="Arial" w:eastAsia="Arial" w:hAnsi="Arial"/>
          <w:sz w:val="16"/>
          <w:szCs w:val="16"/>
          <w:color w:val="4B4B49"/>
        </w:rPr>
        <w:t>to involve us.</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B4B49"/>
        </w:rPr>
        <w:t xml:space="preserve">Examination. </w:t>
      </w:r>
      <w:r>
        <w:rPr>
          <w:rFonts w:ascii="Arial" w:cs="Arial" w:eastAsia="Arial" w:hAnsi="Arial"/>
          <w:sz w:val="16"/>
          <w:szCs w:val="16"/>
          <w:color w:val="3B3B3B"/>
        </w:rPr>
        <w:t>A</w:t>
      </w:r>
      <w:r>
        <w:rPr>
          <w:rFonts w:ascii="Arial" w:cs="Arial" w:eastAsia="Arial" w:hAnsi="Arial"/>
          <w:sz w:val="16"/>
          <w:szCs w:val="16"/>
          <w:b w:val="1"/>
          <w:bCs w:val="1"/>
          <w:color w:val="4B4B49"/>
        </w:rPr>
        <w:t xml:space="preserve"> </w:t>
      </w:r>
      <w:r>
        <w:rPr>
          <w:rFonts w:ascii="Arial" w:cs="Arial" w:eastAsia="Arial" w:hAnsi="Arial"/>
          <w:sz w:val="16"/>
          <w:szCs w:val="16"/>
          <w:color w:val="4B4B49"/>
        </w:rPr>
        <w:t>person</w:t>
      </w:r>
      <w:r>
        <w:rPr>
          <w:rFonts w:ascii="Arial" w:cs="Arial" w:eastAsia="Arial" w:hAnsi="Arial"/>
          <w:sz w:val="16"/>
          <w:szCs w:val="16"/>
          <w:b w:val="1"/>
          <w:bCs w:val="1"/>
          <w:color w:val="4B4B49"/>
        </w:rPr>
        <w:t xml:space="preserve"> </w:t>
      </w:r>
      <w:r>
        <w:rPr>
          <w:rFonts w:ascii="Arial" w:cs="Arial" w:eastAsia="Arial" w:hAnsi="Arial"/>
          <w:sz w:val="16"/>
          <w:szCs w:val="16"/>
          <w:color w:val="3B3B3B"/>
        </w:rPr>
        <w:t>making</w:t>
      </w:r>
      <w:r>
        <w:rPr>
          <w:rFonts w:ascii="Arial" w:cs="Arial" w:eastAsia="Arial" w:hAnsi="Arial"/>
          <w:sz w:val="16"/>
          <w:szCs w:val="16"/>
          <w:b w:val="1"/>
          <w:bCs w:val="1"/>
          <w:color w:val="4B4B49"/>
        </w:rPr>
        <w:t xml:space="preserve"> </w:t>
      </w:r>
      <w:r>
        <w:rPr>
          <w:rFonts w:ascii="Arial" w:cs="Arial" w:eastAsia="Arial" w:hAnsi="Arial"/>
          <w:sz w:val="16"/>
          <w:szCs w:val="16"/>
          <w:color w:val="4B4B49"/>
        </w:rPr>
        <w:t>a</w:t>
      </w:r>
      <w:r>
        <w:rPr>
          <w:rFonts w:ascii="Arial" w:cs="Arial" w:eastAsia="Arial" w:hAnsi="Arial"/>
          <w:sz w:val="16"/>
          <w:szCs w:val="16"/>
          <w:b w:val="1"/>
          <w:bCs w:val="1"/>
          <w:color w:val="4B4B49"/>
        </w:rPr>
        <w:t xml:space="preserve"> </w:t>
      </w:r>
      <w:r>
        <w:rPr>
          <w:rFonts w:ascii="Arial" w:cs="Arial" w:eastAsia="Arial" w:hAnsi="Arial"/>
          <w:sz w:val="16"/>
          <w:szCs w:val="16"/>
          <w:color w:val="3B3B3B"/>
        </w:rPr>
        <w:t>claim under this</w:t>
      </w:r>
      <w:r>
        <w:rPr>
          <w:rFonts w:ascii="Arial" w:cs="Arial" w:eastAsia="Arial" w:hAnsi="Arial"/>
          <w:sz w:val="16"/>
          <w:szCs w:val="16"/>
          <w:b w:val="1"/>
          <w:bCs w:val="1"/>
          <w:color w:val="4B4B49"/>
        </w:rPr>
        <w:t xml:space="preserve"> </w:t>
      </w:r>
      <w:r>
        <w:rPr>
          <w:rFonts w:ascii="Arial" w:cs="Arial" w:eastAsia="Arial" w:hAnsi="Arial"/>
          <w:sz w:val="16"/>
          <w:szCs w:val="16"/>
          <w:color w:val="4B4B49"/>
        </w:rPr>
        <w:t>policy</w:t>
      </w:r>
      <w:r>
        <w:rPr>
          <w:rFonts w:ascii="Arial" w:cs="Arial" w:eastAsia="Arial" w:hAnsi="Arial"/>
          <w:sz w:val="16"/>
          <w:szCs w:val="16"/>
          <w:b w:val="1"/>
          <w:bCs w:val="1"/>
          <w:color w:val="4B4B49"/>
        </w:rPr>
        <w:t xml:space="preserve"> </w:t>
      </w:r>
      <w:r>
        <w:rPr>
          <w:rFonts w:ascii="Arial" w:cs="Arial" w:eastAsia="Arial" w:hAnsi="Arial"/>
          <w:sz w:val="16"/>
          <w:szCs w:val="16"/>
          <w:color w:val="3B3B3B"/>
        </w:rPr>
        <w:t>must</w:t>
      </w:r>
      <w:r>
        <w:rPr>
          <w:rFonts w:ascii="Arial" w:cs="Arial" w:eastAsia="Arial" w:hAnsi="Arial"/>
          <w:sz w:val="16"/>
          <w:szCs w:val="16"/>
          <w:b w:val="1"/>
          <w:bCs w:val="1"/>
          <w:color w:val="4B4B49"/>
        </w:rPr>
        <w:t xml:space="preserve"> </w:t>
      </w:r>
      <w:r>
        <w:rPr>
          <w:rFonts w:ascii="Arial" w:cs="Arial" w:eastAsia="Arial" w:hAnsi="Arial"/>
          <w:sz w:val="16"/>
          <w:szCs w:val="16"/>
          <w:color w:val="4B4B49"/>
        </w:rPr>
        <w:t>submit as often as we</w:t>
      </w:r>
      <w:r>
        <w:rPr>
          <w:rFonts w:ascii="Arial" w:cs="Arial" w:eastAsia="Arial" w:hAnsi="Arial"/>
          <w:sz w:val="16"/>
          <w:szCs w:val="16"/>
          <w:b w:val="1"/>
          <w:bCs w:val="1"/>
          <w:color w:val="4B4B49"/>
        </w:rPr>
        <w:t xml:space="preserve"> </w:t>
      </w:r>
      <w:r>
        <w:rPr>
          <w:rFonts w:ascii="Arial" w:cs="Arial" w:eastAsia="Arial" w:hAnsi="Arial"/>
          <w:sz w:val="16"/>
          <w:szCs w:val="16"/>
          <w:color w:val="3B3B3B"/>
        </w:rPr>
        <w:t>reasonably</w:t>
      </w:r>
      <w:r>
        <w:rPr>
          <w:rFonts w:ascii="Arial" w:cs="Arial" w:eastAsia="Arial" w:hAnsi="Arial"/>
          <w:sz w:val="16"/>
          <w:szCs w:val="16"/>
          <w:b w:val="1"/>
          <w:bCs w:val="1"/>
          <w:color w:val="4B4B49"/>
        </w:rPr>
        <w:t xml:space="preserve"> </w:t>
      </w:r>
      <w:r>
        <w:rPr>
          <w:rFonts w:ascii="Arial" w:cs="Arial" w:eastAsia="Arial" w:hAnsi="Arial"/>
          <w:sz w:val="16"/>
          <w:szCs w:val="16"/>
          <w:color w:val="4B4B49"/>
        </w:rPr>
        <w:t>require:</w:t>
      </w:r>
    </w:p>
    <w:p>
      <w:pPr>
        <w:spacing w:after="0" w:line="40" w:lineRule="exact"/>
        <w:rPr>
          <w:sz w:val="20"/>
          <w:szCs w:val="20"/>
          <w:color w:val="auto"/>
        </w:rPr>
      </w:pPr>
    </w:p>
    <w:p>
      <w:pPr>
        <w:ind w:left="880" w:hanging="305"/>
        <w:spacing w:after="0"/>
        <w:tabs>
          <w:tab w:leader="none" w:pos="880" w:val="left"/>
        </w:tabs>
        <w:numPr>
          <w:ilvl w:val="0"/>
          <w:numId w:val="122"/>
        </w:numPr>
        <w:rPr>
          <w:rFonts w:ascii="Arial" w:cs="Arial" w:eastAsia="Arial" w:hAnsi="Arial"/>
          <w:sz w:val="20"/>
          <w:szCs w:val="20"/>
          <w:color w:val="auto"/>
        </w:rPr>
      </w:pPr>
      <w:r>
        <w:rPr>
          <w:rFonts w:ascii="Arial" w:cs="Arial" w:eastAsia="Arial" w:hAnsi="Arial"/>
          <w:sz w:val="16"/>
          <w:szCs w:val="16"/>
          <w:color w:val="3B3B3B"/>
        </w:rPr>
        <w:t xml:space="preserve">to physical </w:t>
      </w:r>
      <w:r>
        <w:rPr>
          <w:rFonts w:ascii="Arial" w:cs="Arial" w:eastAsia="Arial" w:hAnsi="Arial"/>
          <w:sz w:val="16"/>
          <w:szCs w:val="16"/>
          <w:color w:val="4B4B49"/>
        </w:rPr>
        <w:t>exams</w:t>
      </w:r>
      <w:r>
        <w:rPr>
          <w:rFonts w:ascii="Arial" w:cs="Arial" w:eastAsia="Arial" w:hAnsi="Arial"/>
          <w:sz w:val="16"/>
          <w:szCs w:val="16"/>
          <w:color w:val="3B3B3B"/>
        </w:rPr>
        <w:t xml:space="preserve"> by physicians </w:t>
      </w:r>
      <w:r>
        <w:rPr>
          <w:rFonts w:ascii="Arial" w:cs="Arial" w:eastAsia="Arial" w:hAnsi="Arial"/>
          <w:sz w:val="16"/>
          <w:szCs w:val="16"/>
          <w:color w:val="4B4B49"/>
        </w:rPr>
        <w:t>we</w:t>
      </w:r>
      <w:r>
        <w:rPr>
          <w:rFonts w:ascii="Arial" w:cs="Arial" w:eastAsia="Arial" w:hAnsi="Arial"/>
          <w:sz w:val="16"/>
          <w:szCs w:val="16"/>
          <w:color w:val="3B3B3B"/>
        </w:rPr>
        <w:t xml:space="preserve"> select, </w:t>
      </w:r>
      <w:r>
        <w:rPr>
          <w:rFonts w:ascii="Arial" w:cs="Arial" w:eastAsia="Arial" w:hAnsi="Arial"/>
          <w:sz w:val="16"/>
          <w:szCs w:val="16"/>
          <w:color w:val="4B4B49"/>
        </w:rPr>
        <w:t>which we</w:t>
      </w:r>
      <w:r>
        <w:rPr>
          <w:rFonts w:ascii="Arial" w:cs="Arial" w:eastAsia="Arial" w:hAnsi="Arial"/>
          <w:sz w:val="16"/>
          <w:szCs w:val="16"/>
          <w:color w:val="3B3B3B"/>
        </w:rPr>
        <w:t xml:space="preserve"> will pay </w:t>
      </w:r>
      <w:r>
        <w:rPr>
          <w:rFonts w:ascii="Arial" w:cs="Arial" w:eastAsia="Arial" w:hAnsi="Arial"/>
          <w:sz w:val="16"/>
          <w:szCs w:val="16"/>
          <w:color w:val="4B4B49"/>
        </w:rPr>
        <w:t>for; and</w:t>
      </w:r>
    </w:p>
    <w:p>
      <w:pPr>
        <w:spacing w:after="0" w:line="67" w:lineRule="exact"/>
        <w:rPr>
          <w:rFonts w:ascii="Arial" w:cs="Arial" w:eastAsia="Arial" w:hAnsi="Arial"/>
          <w:sz w:val="20"/>
          <w:szCs w:val="20"/>
          <w:color w:val="auto"/>
        </w:rPr>
      </w:pPr>
    </w:p>
    <w:p>
      <w:pPr>
        <w:ind w:left="820" w:hanging="245"/>
        <w:spacing w:after="0"/>
        <w:tabs>
          <w:tab w:leader="none" w:pos="820" w:val="left"/>
        </w:tabs>
        <w:numPr>
          <w:ilvl w:val="0"/>
          <w:numId w:val="122"/>
        </w:numPr>
        <w:rPr>
          <w:rFonts w:ascii="Arial" w:cs="Arial" w:eastAsia="Arial" w:hAnsi="Arial"/>
          <w:sz w:val="20"/>
          <w:szCs w:val="20"/>
          <w:color w:val="auto"/>
        </w:rPr>
      </w:pPr>
      <w:r>
        <w:rPr>
          <w:rFonts w:ascii="Arial" w:cs="Arial" w:eastAsia="Arial" w:hAnsi="Arial"/>
          <w:sz w:val="16"/>
          <w:szCs w:val="16"/>
          <w:color w:val="3B3B3B"/>
        </w:rPr>
        <w:t xml:space="preserve">to examination under </w:t>
      </w:r>
      <w:r>
        <w:rPr>
          <w:rFonts w:ascii="Arial" w:cs="Arial" w:eastAsia="Arial" w:hAnsi="Arial"/>
          <w:sz w:val="16"/>
          <w:szCs w:val="16"/>
          <w:color w:val="4B4B49"/>
        </w:rPr>
        <w:t>oath</w:t>
      </w:r>
      <w:r>
        <w:rPr>
          <w:rFonts w:ascii="Arial" w:cs="Arial" w:eastAsia="Arial" w:hAnsi="Arial"/>
          <w:sz w:val="16"/>
          <w:szCs w:val="16"/>
          <w:color w:val="3B3B3B"/>
        </w:rPr>
        <w:t xml:space="preserve"> and </w:t>
      </w:r>
      <w:r>
        <w:rPr>
          <w:rFonts w:ascii="Arial" w:cs="Arial" w:eastAsia="Arial" w:hAnsi="Arial"/>
          <w:sz w:val="16"/>
          <w:szCs w:val="16"/>
          <w:color w:val="4B4B49"/>
        </w:rPr>
        <w:t>subscribe</w:t>
      </w:r>
      <w:r>
        <w:rPr>
          <w:rFonts w:ascii="Arial" w:cs="Arial" w:eastAsia="Arial" w:hAnsi="Arial"/>
          <w:sz w:val="16"/>
          <w:szCs w:val="16"/>
          <w:color w:val="3B3B3B"/>
        </w:rPr>
        <w:t xml:space="preserve"> the </w:t>
      </w:r>
      <w:r>
        <w:rPr>
          <w:rFonts w:ascii="Arial" w:cs="Arial" w:eastAsia="Arial" w:hAnsi="Arial"/>
          <w:sz w:val="16"/>
          <w:szCs w:val="16"/>
          <w:color w:val="4B4B49"/>
        </w:rPr>
        <w:t>same; and</w:t>
      </w:r>
      <w:r>
        <w:rPr>
          <w:rFonts w:ascii="Arial" w:cs="Arial" w:eastAsia="Arial" w:hAnsi="Arial"/>
          <w:sz w:val="16"/>
          <w:szCs w:val="16"/>
          <w:color w:val="3B3B3B"/>
        </w:rPr>
        <w:t xml:space="preserve"> authorize </w:t>
      </w:r>
      <w:r>
        <w:rPr>
          <w:rFonts w:ascii="Arial" w:cs="Arial" w:eastAsia="Arial" w:hAnsi="Arial"/>
          <w:sz w:val="16"/>
          <w:szCs w:val="16"/>
          <w:color w:val="4B4B49"/>
        </w:rPr>
        <w:t>us</w:t>
      </w:r>
      <w:r>
        <w:rPr>
          <w:rFonts w:ascii="Arial" w:cs="Arial" w:eastAsia="Arial" w:hAnsi="Arial"/>
          <w:sz w:val="16"/>
          <w:szCs w:val="16"/>
          <w:color w:val="3B3B3B"/>
        </w:rPr>
        <w:t xml:space="preserve"> to obtain:</w:t>
      </w:r>
    </w:p>
    <w:p>
      <w:pPr>
        <w:spacing w:after="0" w:line="53" w:lineRule="exact"/>
        <w:rPr>
          <w:rFonts w:ascii="Arial" w:cs="Arial" w:eastAsia="Arial" w:hAnsi="Arial"/>
          <w:sz w:val="20"/>
          <w:szCs w:val="20"/>
          <w:color w:val="auto"/>
        </w:rPr>
      </w:pPr>
    </w:p>
    <w:p>
      <w:pPr>
        <w:ind w:left="900" w:hanging="325"/>
        <w:spacing w:after="0"/>
        <w:tabs>
          <w:tab w:leader="none" w:pos="900" w:val="left"/>
        </w:tabs>
        <w:numPr>
          <w:ilvl w:val="0"/>
          <w:numId w:val="122"/>
        </w:numPr>
        <w:rPr>
          <w:rFonts w:ascii="Arial" w:cs="Arial" w:eastAsia="Arial" w:hAnsi="Arial"/>
          <w:sz w:val="20"/>
          <w:szCs w:val="20"/>
          <w:color w:val="auto"/>
        </w:rPr>
      </w:pPr>
      <w:r>
        <w:rPr>
          <w:rFonts w:ascii="Arial" w:cs="Arial" w:eastAsia="Arial" w:hAnsi="Arial"/>
          <w:sz w:val="16"/>
          <w:szCs w:val="16"/>
          <w:color w:val="3B3B3B"/>
        </w:rPr>
        <w:t>medical reports; and</w:t>
      </w:r>
    </w:p>
    <w:p>
      <w:pPr>
        <w:spacing w:after="0" w:line="53" w:lineRule="exact"/>
        <w:rPr>
          <w:rFonts w:ascii="Arial" w:cs="Arial" w:eastAsia="Arial" w:hAnsi="Arial"/>
          <w:sz w:val="20"/>
          <w:szCs w:val="20"/>
          <w:color w:val="auto"/>
        </w:rPr>
      </w:pPr>
    </w:p>
    <w:p>
      <w:pPr>
        <w:ind w:left="900" w:hanging="325"/>
        <w:spacing w:after="0"/>
        <w:tabs>
          <w:tab w:leader="none" w:pos="900" w:val="left"/>
        </w:tabs>
        <w:numPr>
          <w:ilvl w:val="0"/>
          <w:numId w:val="122"/>
        </w:numPr>
        <w:rPr>
          <w:rFonts w:ascii="Arial" w:cs="Arial" w:eastAsia="Arial" w:hAnsi="Arial"/>
          <w:sz w:val="20"/>
          <w:szCs w:val="20"/>
          <w:color w:val="auto"/>
        </w:rPr>
      </w:pPr>
      <w:r>
        <w:rPr>
          <w:rFonts w:ascii="Arial" w:cs="Arial" w:eastAsia="Arial" w:hAnsi="Arial"/>
          <w:sz w:val="16"/>
          <w:szCs w:val="16"/>
          <w:color w:val="4B4B49"/>
        </w:rPr>
        <w:t xml:space="preserve">other pertinent </w:t>
      </w:r>
      <w:r>
        <w:rPr>
          <w:rFonts w:ascii="Arial" w:cs="Arial" w:eastAsia="Arial" w:hAnsi="Arial"/>
          <w:sz w:val="16"/>
          <w:szCs w:val="16"/>
          <w:color w:val="3B3B3B"/>
        </w:rPr>
        <w:t>records.</w:t>
      </w:r>
    </w:p>
    <w:p>
      <w:pPr>
        <w:spacing w:after="0" w:line="27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3B3B3B"/>
        </w:rPr>
        <w:t>Appeals</w:t>
      </w:r>
    </w:p>
    <w:p>
      <w:pPr>
        <w:spacing w:after="0" w:line="50" w:lineRule="exact"/>
        <w:rPr>
          <w:sz w:val="20"/>
          <w:szCs w:val="20"/>
          <w:color w:val="auto"/>
        </w:rPr>
      </w:pPr>
    </w:p>
    <w:p>
      <w:pPr>
        <w:jc w:val="both"/>
        <w:ind w:left="520"/>
        <w:spacing w:after="0" w:line="328" w:lineRule="auto"/>
        <w:rPr>
          <w:sz w:val="20"/>
          <w:szCs w:val="20"/>
          <w:color w:val="auto"/>
        </w:rPr>
      </w:pPr>
      <w:r>
        <w:rPr>
          <w:rFonts w:ascii="Arial" w:cs="Arial" w:eastAsia="Arial" w:hAnsi="Arial"/>
          <w:sz w:val="16"/>
          <w:szCs w:val="16"/>
          <w:color w:val="3B3B3B"/>
        </w:rPr>
        <w:t xml:space="preserve">If </w:t>
      </w:r>
      <w:r>
        <w:rPr>
          <w:rFonts w:ascii="Arial" w:cs="Arial" w:eastAsia="Arial" w:hAnsi="Arial"/>
          <w:sz w:val="16"/>
          <w:szCs w:val="16"/>
          <w:color w:val="4B4B49"/>
        </w:rPr>
        <w:t>a covered</w:t>
      </w:r>
      <w:r>
        <w:rPr>
          <w:rFonts w:ascii="Arial" w:cs="Arial" w:eastAsia="Arial" w:hAnsi="Arial"/>
          <w:sz w:val="16"/>
          <w:szCs w:val="16"/>
          <w:color w:val="3B3B3B"/>
        </w:rPr>
        <w:t xml:space="preserve"> person, or </w:t>
      </w:r>
      <w:r>
        <w:rPr>
          <w:rFonts w:ascii="Arial" w:cs="Arial" w:eastAsia="Arial" w:hAnsi="Arial"/>
          <w:sz w:val="16"/>
          <w:szCs w:val="16"/>
          <w:color w:val="4B4B49"/>
        </w:rPr>
        <w:t>any primary insurer, does not appeal a judgment for covered damages, we may choose</w:t>
      </w:r>
      <w:r>
        <w:rPr>
          <w:rFonts w:ascii="Arial" w:cs="Arial" w:eastAsia="Arial" w:hAnsi="Arial"/>
          <w:sz w:val="16"/>
          <w:szCs w:val="16"/>
          <w:color w:val="3B3B3B"/>
        </w:rPr>
        <w:t xml:space="preserve"> to </w:t>
      </w:r>
      <w:r>
        <w:rPr>
          <w:rFonts w:ascii="Arial" w:cs="Arial" w:eastAsia="Arial" w:hAnsi="Arial"/>
          <w:sz w:val="16"/>
          <w:szCs w:val="16"/>
          <w:color w:val="4B4B49"/>
        </w:rPr>
        <w:t>do so. We will</w:t>
      </w:r>
      <w:r>
        <w:rPr>
          <w:rFonts w:ascii="Arial" w:cs="Arial" w:eastAsia="Arial" w:hAnsi="Arial"/>
          <w:sz w:val="16"/>
          <w:szCs w:val="16"/>
          <w:color w:val="3B3B3B"/>
        </w:rPr>
        <w:t xml:space="preserve"> then </w:t>
      </w:r>
      <w:r>
        <w:rPr>
          <w:rFonts w:ascii="Arial" w:cs="Arial" w:eastAsia="Arial" w:hAnsi="Arial"/>
          <w:sz w:val="16"/>
          <w:szCs w:val="16"/>
          <w:color w:val="4B4B49"/>
        </w:rPr>
        <w:t>become responsible for</w:t>
      </w:r>
      <w:r>
        <w:rPr>
          <w:rFonts w:ascii="Arial" w:cs="Arial" w:eastAsia="Arial" w:hAnsi="Arial"/>
          <w:sz w:val="16"/>
          <w:szCs w:val="16"/>
          <w:color w:val="3B3B3B"/>
        </w:rPr>
        <w:t xml:space="preserve"> all </w:t>
      </w:r>
      <w:r>
        <w:rPr>
          <w:rFonts w:ascii="Arial" w:cs="Arial" w:eastAsia="Arial" w:hAnsi="Arial"/>
          <w:sz w:val="16"/>
          <w:szCs w:val="16"/>
          <w:color w:val="4B4B49"/>
        </w:rPr>
        <w:t xml:space="preserve">expenses, taxable costs, </w:t>
      </w:r>
      <w:r>
        <w:rPr>
          <w:rFonts w:ascii="Arial" w:cs="Arial" w:eastAsia="Arial" w:hAnsi="Arial"/>
          <w:sz w:val="16"/>
          <w:szCs w:val="16"/>
          <w:color w:val="3B3B3B"/>
        </w:rPr>
        <w:t>and interest arising</w:t>
      </w:r>
      <w:r>
        <w:rPr>
          <w:rFonts w:ascii="Arial" w:cs="Arial" w:eastAsia="Arial" w:hAnsi="Arial"/>
          <w:sz w:val="16"/>
          <w:szCs w:val="16"/>
          <w:color w:val="4B4B49"/>
        </w:rPr>
        <w:t xml:space="preserve"> out of </w:t>
      </w:r>
      <w:r>
        <w:rPr>
          <w:rFonts w:ascii="Arial" w:cs="Arial" w:eastAsia="Arial" w:hAnsi="Arial"/>
          <w:sz w:val="16"/>
          <w:szCs w:val="16"/>
          <w:color w:val="3B3B3B"/>
        </w:rPr>
        <w:t>the</w:t>
      </w:r>
      <w:r>
        <w:rPr>
          <w:rFonts w:ascii="Arial" w:cs="Arial" w:eastAsia="Arial" w:hAnsi="Arial"/>
          <w:sz w:val="16"/>
          <w:szCs w:val="16"/>
          <w:color w:val="4B4B49"/>
        </w:rPr>
        <w:t xml:space="preserve"> appeal. However, </w:t>
      </w:r>
      <w:r>
        <w:rPr>
          <w:rFonts w:ascii="Arial" w:cs="Arial" w:eastAsia="Arial" w:hAnsi="Arial"/>
          <w:sz w:val="16"/>
          <w:szCs w:val="16"/>
          <w:color w:val="3B3B3B"/>
        </w:rPr>
        <w:t>the</w:t>
      </w:r>
      <w:r>
        <w:rPr>
          <w:rFonts w:ascii="Arial" w:cs="Arial" w:eastAsia="Arial" w:hAnsi="Arial"/>
          <w:sz w:val="16"/>
          <w:szCs w:val="16"/>
          <w:color w:val="4B4B49"/>
        </w:rPr>
        <w:t xml:space="preserve"> amount of </w:t>
      </w:r>
      <w:r>
        <w:rPr>
          <w:rFonts w:ascii="Arial" w:cs="Arial" w:eastAsia="Arial" w:hAnsi="Arial"/>
          <w:sz w:val="16"/>
          <w:szCs w:val="16"/>
          <w:color w:val="3B3B3B"/>
        </w:rPr>
        <w:t>coverage</w:t>
      </w:r>
      <w:r>
        <w:rPr>
          <w:rFonts w:ascii="Arial" w:cs="Arial" w:eastAsia="Arial" w:hAnsi="Arial"/>
          <w:sz w:val="16"/>
          <w:szCs w:val="16"/>
          <w:color w:val="4B4B49"/>
        </w:rPr>
        <w:t xml:space="preserve"> for </w:t>
      </w:r>
      <w:r>
        <w:rPr>
          <w:rFonts w:ascii="Arial" w:cs="Arial" w:eastAsia="Arial" w:hAnsi="Arial"/>
          <w:sz w:val="16"/>
          <w:szCs w:val="16"/>
          <w:color w:val="3B3B3B"/>
        </w:rPr>
        <w:t>damages</w:t>
      </w:r>
      <w:r>
        <w:rPr>
          <w:rFonts w:ascii="Arial" w:cs="Arial" w:eastAsia="Arial" w:hAnsi="Arial"/>
          <w:sz w:val="16"/>
          <w:szCs w:val="16"/>
          <w:color w:val="4B4B49"/>
        </w:rPr>
        <w:t xml:space="preserve"> will </w:t>
      </w:r>
      <w:r>
        <w:rPr>
          <w:rFonts w:ascii="Arial" w:cs="Arial" w:eastAsia="Arial" w:hAnsi="Arial"/>
          <w:sz w:val="16"/>
          <w:szCs w:val="16"/>
          <w:color w:val="3B3B3B"/>
        </w:rPr>
        <w:t>not</w:t>
      </w:r>
      <w:r>
        <w:rPr>
          <w:rFonts w:ascii="Arial" w:cs="Arial" w:eastAsia="Arial" w:hAnsi="Arial"/>
          <w:sz w:val="16"/>
          <w:szCs w:val="16"/>
          <w:color w:val="4B4B49"/>
        </w:rPr>
        <w:t xml:space="preserve"> be </w:t>
      </w:r>
      <w:r>
        <w:rPr>
          <w:rFonts w:ascii="Arial" w:cs="Arial" w:eastAsia="Arial" w:hAnsi="Arial"/>
          <w:sz w:val="16"/>
          <w:szCs w:val="16"/>
          <w:color w:val="3B3B3B"/>
        </w:rPr>
        <w:t>increased.</w:t>
      </w:r>
    </w:p>
    <w:p>
      <w:pPr>
        <w:spacing w:after="0" w:line="271" w:lineRule="exact"/>
        <w:rPr>
          <w:sz w:val="20"/>
          <w:szCs w:val="20"/>
          <w:color w:val="auto"/>
        </w:rPr>
      </w:pPr>
    </w:p>
    <w:p>
      <w:pPr>
        <w:ind w:left="540"/>
        <w:spacing w:after="0"/>
        <w:rPr>
          <w:sz w:val="20"/>
          <w:szCs w:val="20"/>
          <w:color w:val="auto"/>
        </w:rPr>
      </w:pPr>
      <w:r>
        <w:rPr>
          <w:rFonts w:ascii="Arial" w:cs="Arial" w:eastAsia="Arial" w:hAnsi="Arial"/>
          <w:sz w:val="22"/>
          <w:szCs w:val="22"/>
          <w:b w:val="1"/>
          <w:bCs w:val="1"/>
          <w:i w:val="1"/>
          <w:iCs w:val="1"/>
          <w:color w:val="3B3B3B"/>
        </w:rPr>
        <w:t>Special Conditions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3B3B3B"/>
        </w:rPr>
        <w:t xml:space="preserve">In </w:t>
      </w:r>
      <w:r>
        <w:rPr>
          <w:rFonts w:ascii="Arial" w:cs="Arial" w:eastAsia="Arial" w:hAnsi="Arial"/>
          <w:sz w:val="16"/>
          <w:szCs w:val="16"/>
          <w:color w:val="4B4B49"/>
        </w:rPr>
        <w:t>the event</w:t>
      </w:r>
      <w:r>
        <w:rPr>
          <w:rFonts w:ascii="Arial" w:cs="Arial" w:eastAsia="Arial" w:hAnsi="Arial"/>
          <w:sz w:val="16"/>
          <w:szCs w:val="16"/>
          <w:color w:val="3B3B3B"/>
        </w:rPr>
        <w:t xml:space="preserve"> of </w:t>
      </w:r>
      <w:r>
        <w:rPr>
          <w:rFonts w:ascii="Arial" w:cs="Arial" w:eastAsia="Arial" w:hAnsi="Arial"/>
          <w:sz w:val="16"/>
          <w:szCs w:val="16"/>
          <w:color w:val="4B4B49"/>
        </w:rPr>
        <w:t>conflict with any other conditions of your</w:t>
      </w:r>
      <w:r>
        <w:rPr>
          <w:rFonts w:ascii="Arial" w:cs="Arial" w:eastAsia="Arial" w:hAnsi="Arial"/>
          <w:sz w:val="16"/>
          <w:szCs w:val="16"/>
          <w:color w:val="3B3B3B"/>
        </w:rPr>
        <w:t xml:space="preserve"> policy, these </w:t>
      </w:r>
      <w:r>
        <w:rPr>
          <w:rFonts w:ascii="Arial" w:cs="Arial" w:eastAsia="Arial" w:hAnsi="Arial"/>
          <w:sz w:val="16"/>
          <w:szCs w:val="16"/>
          <w:color w:val="4B4B49"/>
        </w:rPr>
        <w:t>conditions supersede.</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3B3B3B"/>
        </w:rPr>
        <w:t>Legal action against us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6"/>
          <w:szCs w:val="16"/>
          <w:color w:val="4B4B49"/>
        </w:rPr>
        <w:t xml:space="preserve">You agree not to </w:t>
      </w:r>
      <w:r>
        <w:rPr>
          <w:rFonts w:ascii="Arial" w:cs="Arial" w:eastAsia="Arial" w:hAnsi="Arial"/>
          <w:sz w:val="16"/>
          <w:szCs w:val="16"/>
          <w:color w:val="3B3B3B"/>
        </w:rPr>
        <w:t>bring action</w:t>
      </w:r>
      <w:r>
        <w:rPr>
          <w:rFonts w:ascii="Arial" w:cs="Arial" w:eastAsia="Arial" w:hAnsi="Arial"/>
          <w:sz w:val="16"/>
          <w:szCs w:val="16"/>
          <w:color w:val="4B4B49"/>
        </w:rPr>
        <w:t xml:space="preserve"> against </w:t>
      </w:r>
      <w:r>
        <w:rPr>
          <w:rFonts w:ascii="Arial" w:cs="Arial" w:eastAsia="Arial" w:hAnsi="Arial"/>
          <w:sz w:val="16"/>
          <w:szCs w:val="16"/>
          <w:color w:val="3B3B3B"/>
        </w:rPr>
        <w:t>us</w:t>
      </w:r>
      <w:r>
        <w:rPr>
          <w:rFonts w:ascii="Arial" w:cs="Arial" w:eastAsia="Arial" w:hAnsi="Arial"/>
          <w:sz w:val="16"/>
          <w:szCs w:val="16"/>
          <w:color w:val="4B4B49"/>
        </w:rPr>
        <w:t xml:space="preserve"> unless you </w:t>
      </w:r>
      <w:r>
        <w:rPr>
          <w:rFonts w:ascii="Arial" w:cs="Arial" w:eastAsia="Arial" w:hAnsi="Arial"/>
          <w:sz w:val="16"/>
          <w:szCs w:val="16"/>
          <w:color w:val="3B3B3B"/>
        </w:rPr>
        <w:t>have</w:t>
      </w:r>
      <w:r>
        <w:rPr>
          <w:rFonts w:ascii="Arial" w:cs="Arial" w:eastAsia="Arial" w:hAnsi="Arial"/>
          <w:sz w:val="16"/>
          <w:szCs w:val="16"/>
          <w:color w:val="4B4B49"/>
        </w:rPr>
        <w:t xml:space="preserve"> first complied with all conditions of this policy.</w:t>
      </w:r>
    </w:p>
    <w:p>
      <w:pPr>
        <w:spacing w:after="0" w:line="140" w:lineRule="exact"/>
        <w:rPr>
          <w:sz w:val="20"/>
          <w:szCs w:val="20"/>
          <w:color w:val="auto"/>
        </w:rPr>
      </w:pPr>
    </w:p>
    <w:p>
      <w:pPr>
        <w:jc w:val="both"/>
        <w:ind w:left="540" w:hanging="26"/>
        <w:spacing w:after="0" w:line="296" w:lineRule="auto"/>
        <w:rPr>
          <w:sz w:val="20"/>
          <w:szCs w:val="20"/>
          <w:color w:val="auto"/>
        </w:rPr>
      </w:pPr>
      <w:r>
        <w:rPr>
          <w:rFonts w:ascii="Arial" w:cs="Arial" w:eastAsia="Arial" w:hAnsi="Arial"/>
          <w:sz w:val="16"/>
          <w:szCs w:val="16"/>
          <w:color w:val="3B3B3B"/>
        </w:rPr>
        <w:t xml:space="preserve">You </w:t>
      </w:r>
      <w:r>
        <w:rPr>
          <w:rFonts w:ascii="Arial" w:cs="Arial" w:eastAsia="Arial" w:hAnsi="Arial"/>
          <w:sz w:val="16"/>
          <w:szCs w:val="16"/>
          <w:color w:val="4B4B49"/>
        </w:rPr>
        <w:t>also</w:t>
      </w:r>
      <w:r>
        <w:rPr>
          <w:rFonts w:ascii="Arial" w:cs="Arial" w:eastAsia="Arial" w:hAnsi="Arial"/>
          <w:sz w:val="16"/>
          <w:szCs w:val="16"/>
          <w:color w:val="3B3B3B"/>
        </w:rPr>
        <w:t xml:space="preserve"> agree not </w:t>
      </w:r>
      <w:r>
        <w:rPr>
          <w:rFonts w:ascii="Arial" w:cs="Arial" w:eastAsia="Arial" w:hAnsi="Arial"/>
          <w:sz w:val="16"/>
          <w:szCs w:val="16"/>
          <w:color w:val="4B4B49"/>
        </w:rPr>
        <w:t>to</w:t>
      </w:r>
      <w:r>
        <w:rPr>
          <w:rFonts w:ascii="Arial" w:cs="Arial" w:eastAsia="Arial" w:hAnsi="Arial"/>
          <w:sz w:val="16"/>
          <w:szCs w:val="16"/>
          <w:color w:val="3B3B3B"/>
        </w:rPr>
        <w:t xml:space="preserve"> bring any </w:t>
      </w:r>
      <w:r>
        <w:rPr>
          <w:rFonts w:ascii="Arial" w:cs="Arial" w:eastAsia="Arial" w:hAnsi="Arial"/>
          <w:sz w:val="16"/>
          <w:szCs w:val="16"/>
          <w:color w:val="4B4B49"/>
        </w:rPr>
        <w:t>action against</w:t>
      </w:r>
      <w:r>
        <w:rPr>
          <w:rFonts w:ascii="Arial" w:cs="Arial" w:eastAsia="Arial" w:hAnsi="Arial"/>
          <w:sz w:val="16"/>
          <w:szCs w:val="16"/>
          <w:color w:val="3B3B3B"/>
        </w:rPr>
        <w:t xml:space="preserve"> us until the </w:t>
      </w:r>
      <w:r>
        <w:rPr>
          <w:rFonts w:ascii="Arial" w:cs="Arial" w:eastAsia="Arial" w:hAnsi="Arial"/>
          <w:sz w:val="16"/>
          <w:szCs w:val="16"/>
          <w:color w:val="4B4B49"/>
        </w:rPr>
        <w:t>amount of damages</w:t>
      </w:r>
      <w:r>
        <w:rPr>
          <w:rFonts w:ascii="Arial" w:cs="Arial" w:eastAsia="Arial" w:hAnsi="Arial"/>
          <w:sz w:val="16"/>
          <w:szCs w:val="16"/>
          <w:color w:val="3B3B3B"/>
        </w:rPr>
        <w:t xml:space="preserve"> you are </w:t>
      </w:r>
      <w:r>
        <w:rPr>
          <w:rFonts w:ascii="Arial" w:cs="Arial" w:eastAsia="Arial" w:hAnsi="Arial"/>
          <w:sz w:val="16"/>
          <w:szCs w:val="16"/>
          <w:color w:val="4B4B49"/>
        </w:rPr>
        <w:t>legally obligated to pay</w:t>
      </w:r>
      <w:r>
        <w:rPr>
          <w:rFonts w:ascii="Arial" w:cs="Arial" w:eastAsia="Arial" w:hAnsi="Arial"/>
          <w:sz w:val="16"/>
          <w:szCs w:val="16"/>
          <w:color w:val="3B3B3B"/>
        </w:rPr>
        <w:t xml:space="preserve"> has </w:t>
      </w:r>
      <w:r>
        <w:rPr>
          <w:rFonts w:ascii="Arial" w:cs="Arial" w:eastAsia="Arial" w:hAnsi="Arial"/>
          <w:sz w:val="16"/>
          <w:szCs w:val="16"/>
          <w:color w:val="4B4B49"/>
        </w:rPr>
        <w:t>been</w:t>
      </w:r>
      <w:r>
        <w:rPr>
          <w:rFonts w:ascii="Arial" w:cs="Arial" w:eastAsia="Arial" w:hAnsi="Arial"/>
          <w:sz w:val="16"/>
          <w:szCs w:val="16"/>
          <w:color w:val="3B3B3B"/>
        </w:rPr>
        <w:t xml:space="preserve"> finally </w:t>
      </w:r>
      <w:r>
        <w:rPr>
          <w:rFonts w:ascii="Arial" w:cs="Arial" w:eastAsia="Arial" w:hAnsi="Arial"/>
          <w:sz w:val="16"/>
          <w:szCs w:val="16"/>
          <w:color w:val="4B4B49"/>
        </w:rPr>
        <w:t>determined after an actual trial or appeal,</w:t>
      </w:r>
      <w:r>
        <w:rPr>
          <w:rFonts w:ascii="Arial" w:cs="Arial" w:eastAsia="Arial" w:hAnsi="Arial"/>
          <w:sz w:val="16"/>
          <w:szCs w:val="16"/>
          <w:color w:val="3B3B3B"/>
        </w:rPr>
        <w:t xml:space="preserve"> </w:t>
      </w:r>
      <w:r>
        <w:rPr>
          <w:rFonts w:ascii="Arial" w:cs="Arial" w:eastAsia="Arial" w:hAnsi="Arial"/>
          <w:sz w:val="16"/>
          <w:szCs w:val="16"/>
          <w:color w:val="4B4B49"/>
        </w:rPr>
        <w:t xml:space="preserve">if any, or by a </w:t>
      </w:r>
      <w:r>
        <w:rPr>
          <w:rFonts w:ascii="Arial" w:cs="Arial" w:eastAsia="Arial" w:hAnsi="Arial"/>
          <w:sz w:val="16"/>
          <w:szCs w:val="16"/>
          <w:color w:val="3B3B3B"/>
        </w:rPr>
        <w:t>written</w:t>
      </w:r>
      <w:r>
        <w:rPr>
          <w:rFonts w:ascii="Arial" w:cs="Arial" w:eastAsia="Arial" w:hAnsi="Arial"/>
          <w:sz w:val="16"/>
          <w:szCs w:val="16"/>
          <w:color w:val="4B4B49"/>
        </w:rPr>
        <w:t xml:space="preserve"> agreement between you, us and the </w:t>
      </w:r>
      <w:r>
        <w:rPr>
          <w:rFonts w:ascii="Arial" w:cs="Arial" w:eastAsia="Arial" w:hAnsi="Arial"/>
          <w:sz w:val="16"/>
          <w:szCs w:val="16"/>
          <w:color w:val="3B3B3B"/>
        </w:rPr>
        <w:t>claimant</w:t>
      </w:r>
      <w:r>
        <w:rPr>
          <w:rFonts w:ascii="Arial" w:cs="Arial" w:eastAsia="Arial" w:hAnsi="Arial"/>
          <w:sz w:val="16"/>
          <w:szCs w:val="16"/>
          <w:color w:val="4B4B49"/>
        </w:rPr>
        <w:t xml:space="preserve"> No person or organization </w:t>
      </w:r>
      <w:r>
        <w:rPr>
          <w:rFonts w:ascii="Arial" w:cs="Arial" w:eastAsia="Arial" w:hAnsi="Arial"/>
          <w:sz w:val="16"/>
          <w:szCs w:val="16"/>
          <w:color w:val="3B3B3B"/>
        </w:rPr>
        <w:t>has</w:t>
      </w:r>
      <w:r>
        <w:rPr>
          <w:rFonts w:ascii="Arial" w:cs="Arial" w:eastAsia="Arial" w:hAnsi="Arial"/>
          <w:sz w:val="16"/>
          <w:szCs w:val="16"/>
          <w:color w:val="4B4B49"/>
        </w:rPr>
        <w:t xml:space="preserve"> any </w:t>
      </w:r>
      <w:r>
        <w:rPr>
          <w:rFonts w:ascii="Arial" w:cs="Arial" w:eastAsia="Arial" w:hAnsi="Arial"/>
          <w:sz w:val="16"/>
          <w:szCs w:val="16"/>
          <w:color w:val="3B3B3B"/>
        </w:rPr>
        <w:t>right under this policy</w:t>
      </w:r>
      <w:r>
        <w:rPr>
          <w:rFonts w:ascii="Arial" w:cs="Arial" w:eastAsia="Arial" w:hAnsi="Arial"/>
          <w:sz w:val="16"/>
          <w:szCs w:val="16"/>
          <w:color w:val="4B4B49"/>
        </w:rPr>
        <w:t xml:space="preserve"> to bring us </w:t>
      </w:r>
      <w:r>
        <w:rPr>
          <w:rFonts w:ascii="Arial" w:cs="Arial" w:eastAsia="Arial" w:hAnsi="Arial"/>
          <w:sz w:val="16"/>
          <w:szCs w:val="16"/>
          <w:color w:val="3B3B3B"/>
        </w:rPr>
        <w:t>into</w:t>
      </w:r>
      <w:r>
        <w:rPr>
          <w:rFonts w:ascii="Arial" w:cs="Arial" w:eastAsia="Arial" w:hAnsi="Arial"/>
          <w:sz w:val="16"/>
          <w:szCs w:val="16"/>
          <w:color w:val="4B4B49"/>
        </w:rPr>
        <w:t xml:space="preserve"> any action </w:t>
      </w:r>
      <w:r>
        <w:rPr>
          <w:rFonts w:ascii="Arial" w:cs="Arial" w:eastAsia="Arial" w:hAnsi="Arial"/>
          <w:sz w:val="16"/>
          <w:szCs w:val="16"/>
          <w:color w:val="3B3B3B"/>
        </w:rPr>
        <w:t>to determine</w:t>
      </w:r>
      <w:r>
        <w:rPr>
          <w:rFonts w:ascii="Arial" w:cs="Arial" w:eastAsia="Arial" w:hAnsi="Arial"/>
          <w:sz w:val="16"/>
          <w:szCs w:val="16"/>
          <w:color w:val="4B4B49"/>
        </w:rPr>
        <w:t xml:space="preserve"> the liability of a covered person.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B4B49"/>
        </w:rPr>
        <w:t xml:space="preserve">Notice of </w:t>
      </w:r>
      <w:r>
        <w:rPr>
          <w:rFonts w:ascii="Arial" w:cs="Arial" w:eastAsia="Arial" w:hAnsi="Arial"/>
          <w:sz w:val="16"/>
          <w:szCs w:val="16"/>
          <w:b w:val="1"/>
          <w:bCs w:val="1"/>
          <w:color w:val="3B3B3B"/>
        </w:rPr>
        <w:t>cancellation and</w:t>
      </w:r>
      <w:r>
        <w:rPr>
          <w:rFonts w:ascii="Arial" w:cs="Arial" w:eastAsia="Arial" w:hAnsi="Arial"/>
          <w:sz w:val="16"/>
          <w:szCs w:val="16"/>
          <w:b w:val="1"/>
          <w:bCs w:val="1"/>
          <w:color w:val="4B4B49"/>
        </w:rPr>
        <w:t xml:space="preserve"> coverage termination conditions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3B3B3B"/>
        </w:rPr>
        <w:t xml:space="preserve">The Sponsoring </w:t>
      </w:r>
      <w:r>
        <w:rPr>
          <w:rFonts w:ascii="Arial" w:cs="Arial" w:eastAsia="Arial" w:hAnsi="Arial"/>
          <w:sz w:val="16"/>
          <w:szCs w:val="16"/>
          <w:color w:val="4B4B49"/>
        </w:rPr>
        <w:t>Organization may cancel this policy by</w:t>
      </w:r>
      <w:r>
        <w:rPr>
          <w:rFonts w:ascii="Arial" w:cs="Arial" w:eastAsia="Arial" w:hAnsi="Arial"/>
          <w:sz w:val="16"/>
          <w:szCs w:val="16"/>
          <w:color w:val="3B3B3B"/>
        </w:rPr>
        <w:t xml:space="preserve"> returning it to us or notifying </w:t>
      </w:r>
      <w:r>
        <w:rPr>
          <w:rFonts w:ascii="Arial" w:cs="Arial" w:eastAsia="Arial" w:hAnsi="Arial"/>
          <w:sz w:val="16"/>
          <w:szCs w:val="16"/>
          <w:color w:val="4B4B49"/>
        </w:rPr>
        <w:t>us</w:t>
      </w:r>
      <w:r>
        <w:rPr>
          <w:rFonts w:ascii="Arial" w:cs="Arial" w:eastAsia="Arial" w:hAnsi="Arial"/>
          <w:sz w:val="16"/>
          <w:szCs w:val="16"/>
          <w:color w:val="3B3B3B"/>
        </w:rPr>
        <w:t xml:space="preserve"> in </w:t>
      </w:r>
      <w:r>
        <w:rPr>
          <w:rFonts w:ascii="Arial" w:cs="Arial" w:eastAsia="Arial" w:hAnsi="Arial"/>
          <w:sz w:val="16"/>
          <w:szCs w:val="16"/>
          <w:color w:val="4B4B49"/>
        </w:rPr>
        <w:t>writing</w:t>
      </w:r>
      <w:r>
        <w:rPr>
          <w:rFonts w:ascii="Arial" w:cs="Arial" w:eastAsia="Arial" w:hAnsi="Arial"/>
          <w:sz w:val="16"/>
          <w:szCs w:val="16"/>
          <w:color w:val="3B3B3B"/>
        </w:rPr>
        <w:t xml:space="preserve"> at any time </w:t>
      </w:r>
      <w:r>
        <w:rPr>
          <w:rFonts w:ascii="Arial" w:cs="Arial" w:eastAsia="Arial" w:hAnsi="Arial"/>
          <w:sz w:val="16"/>
          <w:szCs w:val="16"/>
          <w:color w:val="4B4B49"/>
        </w:rPr>
        <w:t>subject to</w:t>
      </w:r>
      <w:r>
        <w:rPr>
          <w:rFonts w:ascii="Arial" w:cs="Arial" w:eastAsia="Arial" w:hAnsi="Arial"/>
          <w:sz w:val="16"/>
          <w:szCs w:val="16"/>
          <w:color w:val="3B3B3B"/>
        </w:rPr>
        <w:t xml:space="preserve"> the following:</w:t>
      </w:r>
    </w:p>
    <w:p>
      <w:pPr>
        <w:spacing w:after="0" w:line="46" w:lineRule="exact"/>
        <w:rPr>
          <w:sz w:val="20"/>
          <w:szCs w:val="20"/>
          <w:color w:val="auto"/>
        </w:rPr>
      </w:pPr>
    </w:p>
    <w:p>
      <w:pPr>
        <w:ind w:left="840" w:hanging="319"/>
        <w:spacing w:after="0"/>
        <w:tabs>
          <w:tab w:leader="none" w:pos="840" w:val="left"/>
        </w:tabs>
        <w:numPr>
          <w:ilvl w:val="0"/>
          <w:numId w:val="123"/>
        </w:numPr>
        <w:rPr>
          <w:rFonts w:ascii="Arial" w:cs="Arial" w:eastAsia="Arial" w:hAnsi="Arial"/>
          <w:sz w:val="16"/>
          <w:szCs w:val="16"/>
          <w:color w:val="42423F"/>
        </w:rPr>
      </w:pPr>
      <w:r>
        <w:rPr>
          <w:rFonts w:ascii="Arial" w:cs="Arial" w:eastAsia="Arial" w:hAnsi="Arial"/>
          <w:sz w:val="16"/>
          <w:szCs w:val="16"/>
          <w:color w:val="3B3B3B"/>
        </w:rPr>
        <w:t xml:space="preserve">the </w:t>
      </w:r>
      <w:r>
        <w:rPr>
          <w:rFonts w:ascii="Arial" w:cs="Arial" w:eastAsia="Arial" w:hAnsi="Arial"/>
          <w:sz w:val="16"/>
          <w:szCs w:val="16"/>
          <w:color w:val="4B4B49"/>
        </w:rPr>
        <w:t>Sponsoring Organization</w:t>
      </w:r>
      <w:r>
        <w:rPr>
          <w:rFonts w:ascii="Arial" w:cs="Arial" w:eastAsia="Arial" w:hAnsi="Arial"/>
          <w:sz w:val="16"/>
          <w:szCs w:val="16"/>
          <w:color w:val="3B3B3B"/>
        </w:rPr>
        <w:t xml:space="preserve"> must notify us in </w:t>
      </w:r>
      <w:r>
        <w:rPr>
          <w:rFonts w:ascii="Arial" w:cs="Arial" w:eastAsia="Arial" w:hAnsi="Arial"/>
          <w:sz w:val="16"/>
          <w:szCs w:val="16"/>
          <w:color w:val="4B4B49"/>
        </w:rPr>
        <w:t>advance of</w:t>
      </w:r>
      <w:r>
        <w:rPr>
          <w:rFonts w:ascii="Arial" w:cs="Arial" w:eastAsia="Arial" w:hAnsi="Arial"/>
          <w:sz w:val="16"/>
          <w:szCs w:val="16"/>
          <w:color w:val="3B3B3B"/>
        </w:rPr>
        <w:t xml:space="preserve"> the requested cancellation </w:t>
      </w:r>
      <w:r>
        <w:rPr>
          <w:rFonts w:ascii="Arial" w:cs="Arial" w:eastAsia="Arial" w:hAnsi="Arial"/>
          <w:sz w:val="16"/>
          <w:szCs w:val="16"/>
          <w:color w:val="4B4B49"/>
        </w:rPr>
        <w:t>date;</w:t>
      </w:r>
      <w:r>
        <w:rPr>
          <w:rFonts w:ascii="Arial" w:cs="Arial" w:eastAsia="Arial" w:hAnsi="Arial"/>
          <w:sz w:val="16"/>
          <w:szCs w:val="16"/>
          <w:color w:val="3B3B3B"/>
        </w:rPr>
        <w:t xml:space="preserve"> and</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14 of 15</w:t>
      </w:r>
    </w:p>
    <w:p>
      <w:pPr>
        <w:sectPr>
          <w:pgSz w:w="11900" w:h="16838" w:orient="portrait"/>
          <w:cols w:equalWidth="0" w:num="1">
            <w:col w:w="11420"/>
          </w:cols>
          <w:pgMar w:left="240" w:top="757" w:right="239" w:bottom="1440" w:gutter="0" w:footer="0" w:header="0"/>
        </w:sectPr>
      </w:pPr>
    </w:p>
    <w:bookmarkStart w:id="162" w:name="page163"/>
    <w:bookmarkEnd w:id="162"/>
    <w:p>
      <w:pPr>
        <w:ind w:left="319" w:hanging="319"/>
        <w:spacing w:after="0"/>
        <w:tabs>
          <w:tab w:leader="none" w:pos="319" w:val="left"/>
        </w:tabs>
        <w:numPr>
          <w:ilvl w:val="0"/>
          <w:numId w:val="124"/>
        </w:numPr>
        <w:rPr>
          <w:rFonts w:ascii="Arial" w:cs="Arial" w:eastAsia="Arial" w:hAnsi="Arial"/>
          <w:sz w:val="16"/>
          <w:szCs w:val="16"/>
          <w:color w:val="42423F"/>
        </w:rPr>
      </w:pPr>
      <w:r>
        <w:rPr>
          <w:rFonts w:ascii="Arial" w:cs="Arial" w:eastAsia="Arial" w:hAnsi="Arial"/>
          <w:sz w:val="16"/>
          <w:szCs w:val="16"/>
          <w:color w:val="3B3B3B"/>
        </w:rPr>
        <w:t xml:space="preserve">the </w:t>
      </w:r>
      <w:r>
        <w:rPr>
          <w:rFonts w:ascii="Arial" w:cs="Arial" w:eastAsia="Arial" w:hAnsi="Arial"/>
          <w:sz w:val="16"/>
          <w:szCs w:val="16"/>
          <w:color w:val="4B4B49"/>
        </w:rPr>
        <w:t>Sponsoring Organization must provide proof of notification</w:t>
      </w:r>
      <w:r>
        <w:rPr>
          <w:rFonts w:ascii="Arial" w:cs="Arial" w:eastAsia="Arial" w:hAnsi="Arial"/>
          <w:sz w:val="16"/>
          <w:szCs w:val="16"/>
          <w:color w:val="3B3B3B"/>
        </w:rPr>
        <w:t xml:space="preserve"> to </w:t>
      </w:r>
      <w:r>
        <w:rPr>
          <w:rFonts w:ascii="Arial" w:cs="Arial" w:eastAsia="Arial" w:hAnsi="Arial"/>
          <w:sz w:val="16"/>
          <w:szCs w:val="16"/>
          <w:color w:val="4B4B49"/>
        </w:rPr>
        <w:t>each member of</w:t>
      </w:r>
      <w:r>
        <w:rPr>
          <w:rFonts w:ascii="Arial" w:cs="Arial" w:eastAsia="Arial" w:hAnsi="Arial"/>
          <w:sz w:val="16"/>
          <w:szCs w:val="16"/>
          <w:color w:val="3B3B3B"/>
        </w:rPr>
        <w:t xml:space="preserve"> the </w:t>
      </w:r>
      <w:r>
        <w:rPr>
          <w:rFonts w:ascii="Arial" w:cs="Arial" w:eastAsia="Arial" w:hAnsi="Arial"/>
          <w:sz w:val="16"/>
          <w:szCs w:val="16"/>
          <w:color w:val="4B4B49"/>
        </w:rPr>
        <w:t>Defined Group covered</w:t>
      </w:r>
      <w:r>
        <w:rPr>
          <w:rFonts w:ascii="Arial" w:cs="Arial" w:eastAsia="Arial" w:hAnsi="Arial"/>
          <w:sz w:val="16"/>
          <w:szCs w:val="16"/>
          <w:color w:val="3B3B3B"/>
        </w:rPr>
        <w:t xml:space="preserve"> under this policy.</w:t>
      </w:r>
    </w:p>
    <w:p>
      <w:pPr>
        <w:spacing w:after="0" w:line="221" w:lineRule="exact"/>
        <w:rPr>
          <w:sz w:val="20"/>
          <w:szCs w:val="20"/>
          <w:color w:val="auto"/>
        </w:rPr>
      </w:pPr>
    </w:p>
    <w:p>
      <w:pPr>
        <w:ind w:left="19" w:hanging="26"/>
        <w:spacing w:after="0" w:line="275" w:lineRule="auto"/>
        <w:rPr>
          <w:sz w:val="20"/>
          <w:szCs w:val="20"/>
          <w:color w:val="auto"/>
        </w:rPr>
      </w:pPr>
      <w:r>
        <w:rPr>
          <w:rFonts w:ascii="Arial" w:cs="Arial" w:eastAsia="Arial" w:hAnsi="Arial"/>
          <w:sz w:val="16"/>
          <w:szCs w:val="16"/>
          <w:color w:val="4B4B49"/>
        </w:rPr>
        <w:t xml:space="preserve">We may cancel this </w:t>
      </w:r>
      <w:r>
        <w:rPr>
          <w:rFonts w:ascii="Arial" w:cs="Arial" w:eastAsia="Arial" w:hAnsi="Arial"/>
          <w:sz w:val="16"/>
          <w:szCs w:val="16"/>
          <w:color w:val="3B3B3B"/>
        </w:rPr>
        <w:t>policy</w:t>
      </w:r>
      <w:r>
        <w:rPr>
          <w:rFonts w:ascii="Arial" w:cs="Arial" w:eastAsia="Arial" w:hAnsi="Arial"/>
          <w:sz w:val="16"/>
          <w:szCs w:val="16"/>
          <w:color w:val="4B4B49"/>
        </w:rPr>
        <w:t xml:space="preserve"> or any part of </w:t>
      </w:r>
      <w:r>
        <w:rPr>
          <w:rFonts w:ascii="Arial" w:cs="Arial" w:eastAsia="Arial" w:hAnsi="Arial"/>
          <w:sz w:val="16"/>
          <w:szCs w:val="16"/>
          <w:color w:val="3B3B3B"/>
        </w:rPr>
        <w:t>it</w:t>
      </w:r>
      <w:r>
        <w:rPr>
          <w:rFonts w:ascii="Arial" w:cs="Arial" w:eastAsia="Arial" w:hAnsi="Arial"/>
          <w:sz w:val="16"/>
          <w:szCs w:val="16"/>
          <w:color w:val="4B4B49"/>
        </w:rPr>
        <w:t xml:space="preserve"> subject to the following conditions. Our right to cancel applies to each coverage or limit </w:t>
      </w:r>
      <w:r>
        <w:rPr>
          <w:rFonts w:ascii="Arial" w:cs="Arial" w:eastAsia="Arial" w:hAnsi="Arial"/>
          <w:sz w:val="16"/>
          <w:szCs w:val="16"/>
          <w:color w:val="3B3B3B"/>
        </w:rPr>
        <w:t>in this</w:t>
      </w:r>
      <w:r>
        <w:rPr>
          <w:rFonts w:ascii="Arial" w:cs="Arial" w:eastAsia="Arial" w:hAnsi="Arial"/>
          <w:sz w:val="16"/>
          <w:szCs w:val="16"/>
          <w:color w:val="4B4B49"/>
        </w:rPr>
        <w:t xml:space="preserve"> policy. </w:t>
      </w:r>
      <w:r>
        <w:rPr>
          <w:rFonts w:ascii="Arial" w:cs="Arial" w:eastAsia="Arial" w:hAnsi="Arial"/>
          <w:sz w:val="16"/>
          <w:szCs w:val="16"/>
          <w:color w:val="3B3B3B"/>
        </w:rPr>
        <w:t>In the</w:t>
      </w:r>
      <w:r>
        <w:rPr>
          <w:rFonts w:ascii="Arial" w:cs="Arial" w:eastAsia="Arial" w:hAnsi="Arial"/>
          <w:sz w:val="16"/>
          <w:szCs w:val="16"/>
          <w:color w:val="4B4B49"/>
        </w:rPr>
        <w:t xml:space="preserve"> event we cancel </w:t>
      </w:r>
      <w:r>
        <w:rPr>
          <w:rFonts w:ascii="Arial" w:cs="Arial" w:eastAsia="Arial" w:hAnsi="Arial"/>
          <w:sz w:val="16"/>
          <w:szCs w:val="16"/>
          <w:color w:val="3B3B3B"/>
        </w:rPr>
        <w:t>this</w:t>
      </w:r>
      <w:r>
        <w:rPr>
          <w:rFonts w:ascii="Arial" w:cs="Arial" w:eastAsia="Arial" w:hAnsi="Arial"/>
          <w:sz w:val="16"/>
          <w:szCs w:val="16"/>
          <w:color w:val="4B4B49"/>
        </w:rPr>
        <w:t xml:space="preserve"> policy, </w:t>
      </w:r>
      <w:r>
        <w:rPr>
          <w:rFonts w:ascii="Arial" w:cs="Arial" w:eastAsia="Arial" w:hAnsi="Arial"/>
          <w:sz w:val="16"/>
          <w:szCs w:val="16"/>
          <w:color w:val="3B3B3B"/>
        </w:rPr>
        <w:t>we are under</w:t>
      </w:r>
      <w:r>
        <w:rPr>
          <w:rFonts w:ascii="Arial" w:cs="Arial" w:eastAsia="Arial" w:hAnsi="Arial"/>
          <w:sz w:val="16"/>
          <w:szCs w:val="16"/>
          <w:color w:val="4B4B49"/>
        </w:rPr>
        <w:t xml:space="preserve"> no obligation </w:t>
      </w:r>
      <w:r>
        <w:rPr>
          <w:rFonts w:ascii="Arial" w:cs="Arial" w:eastAsia="Arial" w:hAnsi="Arial"/>
          <w:sz w:val="16"/>
          <w:szCs w:val="16"/>
          <w:color w:val="3B3B3B"/>
        </w:rPr>
        <w:t>to</w:t>
      </w:r>
      <w:r>
        <w:rPr>
          <w:rFonts w:ascii="Arial" w:cs="Arial" w:eastAsia="Arial" w:hAnsi="Arial"/>
          <w:sz w:val="16"/>
          <w:szCs w:val="16"/>
          <w:color w:val="4B4B49"/>
        </w:rPr>
        <w:t xml:space="preserve"> provide you with an opportunity </w:t>
      </w:r>
      <w:r>
        <w:rPr>
          <w:rFonts w:ascii="Arial" w:cs="Arial" w:eastAsia="Arial" w:hAnsi="Arial"/>
          <w:sz w:val="16"/>
          <w:szCs w:val="16"/>
          <w:color w:val="3B3B3B"/>
        </w:rPr>
        <w:t>to</w:t>
      </w:r>
      <w:r>
        <w:rPr>
          <w:rFonts w:ascii="Arial" w:cs="Arial" w:eastAsia="Arial" w:hAnsi="Arial"/>
          <w:sz w:val="16"/>
          <w:szCs w:val="16"/>
          <w:color w:val="4B4B49"/>
        </w:rPr>
        <w:t xml:space="preserve"> purchase </w:t>
      </w:r>
      <w:r>
        <w:rPr>
          <w:rFonts w:ascii="Arial" w:cs="Arial" w:eastAsia="Arial" w:hAnsi="Arial"/>
          <w:sz w:val="16"/>
          <w:szCs w:val="16"/>
          <w:color w:val="3B3B3B"/>
        </w:rPr>
        <w:t>equivalent</w:t>
      </w:r>
      <w:r>
        <w:rPr>
          <w:rFonts w:ascii="Arial" w:cs="Arial" w:eastAsia="Arial" w:hAnsi="Arial"/>
          <w:sz w:val="16"/>
          <w:szCs w:val="16"/>
          <w:color w:val="4B4B49"/>
        </w:rPr>
        <w:t xml:space="preserve"> coverage.</w:t>
      </w:r>
    </w:p>
    <w:p>
      <w:pPr>
        <w:sectPr>
          <w:pgSz w:w="11900" w:h="16838" w:orient="portrait"/>
          <w:cols w:equalWidth="0" w:num="1">
            <w:col w:w="10899"/>
          </w:cols>
          <w:pgMar w:left="761" w:top="603" w:right="239" w:bottom="1440" w:gutter="0" w:footer="0" w:header="0"/>
        </w:sectPr>
      </w:pPr>
    </w:p>
    <w:bookmarkStart w:id="163" w:name="page164"/>
    <w:bookmarkEnd w:id="163"/>
    <w:p>
      <w:pPr>
        <w:ind w:left="180"/>
        <w:spacing w:after="0"/>
        <w:rPr>
          <w:sz w:val="20"/>
          <w:szCs w:val="20"/>
          <w:color w:val="auto"/>
        </w:rPr>
      </w:pPr>
      <w:r>
        <w:rPr>
          <w:rFonts w:ascii="Arial" w:cs="Arial" w:eastAsia="Arial" w:hAnsi="Arial"/>
          <w:sz w:val="22"/>
          <w:szCs w:val="22"/>
          <w:b w:val="1"/>
          <w:bCs w:val="1"/>
          <w:i w:val="1"/>
          <w:iCs w:val="1"/>
          <w:color w:val="343634"/>
        </w:rPr>
        <w:t>Special Conditions</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343634"/>
        </w:rPr>
        <w:t>(continued)</w:t>
      </w: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343634"/>
        </w:rPr>
        <w:t xml:space="preserve">Within 60 days. </w:t>
      </w:r>
      <w:r>
        <w:rPr>
          <w:rFonts w:ascii="Arial" w:cs="Arial" w:eastAsia="Arial" w:hAnsi="Arial"/>
          <w:sz w:val="16"/>
          <w:szCs w:val="16"/>
          <w:color w:val="343634"/>
        </w:rPr>
        <w:t>When this policy or any part of it has been in effect for less than 60 days, we may cancel with 30 days notice for any reason.</w:t>
      </w:r>
    </w:p>
    <w:p>
      <w:pPr>
        <w:spacing w:after="0" w:line="289" w:lineRule="exact"/>
        <w:rPr>
          <w:sz w:val="20"/>
          <w:szCs w:val="20"/>
          <w:color w:val="auto"/>
        </w:rPr>
      </w:pPr>
    </w:p>
    <w:p>
      <w:pPr>
        <w:ind w:left="120"/>
        <w:spacing w:after="0" w:line="333" w:lineRule="auto"/>
        <w:rPr>
          <w:sz w:val="20"/>
          <w:szCs w:val="20"/>
          <w:color w:val="auto"/>
        </w:rPr>
      </w:pPr>
      <w:r>
        <w:rPr>
          <w:rFonts w:ascii="Arial" w:cs="Arial" w:eastAsia="Arial" w:hAnsi="Arial"/>
          <w:sz w:val="16"/>
          <w:szCs w:val="16"/>
          <w:b w:val="1"/>
          <w:bCs w:val="1"/>
          <w:color w:val="343634"/>
        </w:rPr>
        <w:t xml:space="preserve">Nonpayment of premium. </w:t>
      </w:r>
      <w:r>
        <w:rPr>
          <w:rFonts w:ascii="Arial" w:cs="Arial" w:eastAsia="Arial" w:hAnsi="Arial"/>
          <w:sz w:val="16"/>
          <w:szCs w:val="16"/>
          <w:color w:val="343634"/>
        </w:rPr>
        <w:t>We may cancel this policy or any part of it with 10 days’ notice</w:t>
      </w:r>
      <w:r>
        <w:rPr>
          <w:rFonts w:ascii="Arial" w:cs="Arial" w:eastAsia="Arial" w:hAnsi="Arial"/>
          <w:sz w:val="16"/>
          <w:szCs w:val="16"/>
          <w:b w:val="1"/>
          <w:bCs w:val="1"/>
          <w:color w:val="343634"/>
        </w:rPr>
        <w:t xml:space="preserve"> </w:t>
      </w:r>
      <w:r>
        <w:rPr>
          <w:rFonts w:ascii="Arial" w:cs="Arial" w:eastAsia="Arial" w:hAnsi="Arial"/>
          <w:sz w:val="15"/>
          <w:szCs w:val="15"/>
          <w:color w:val="343634"/>
        </w:rPr>
        <w:t>if</w:t>
      </w:r>
      <w:r>
        <w:rPr>
          <w:rFonts w:ascii="Arial" w:cs="Arial" w:eastAsia="Arial" w:hAnsi="Arial"/>
          <w:sz w:val="16"/>
          <w:szCs w:val="16"/>
          <w:b w:val="1"/>
          <w:bCs w:val="1"/>
          <w:color w:val="343634"/>
        </w:rPr>
        <w:t xml:space="preserve"> </w:t>
      </w:r>
      <w:r>
        <w:rPr>
          <w:rFonts w:ascii="Arial" w:cs="Arial" w:eastAsia="Arial" w:hAnsi="Arial"/>
          <w:sz w:val="16"/>
          <w:szCs w:val="16"/>
          <w:color w:val="343634"/>
        </w:rPr>
        <w:t>the Sponsoring Organization or you fail to pay the premium by the due date,</w:t>
      </w:r>
      <w:r>
        <w:rPr>
          <w:rFonts w:ascii="Arial" w:cs="Arial" w:eastAsia="Arial" w:hAnsi="Arial"/>
          <w:sz w:val="16"/>
          <w:szCs w:val="16"/>
          <w:b w:val="1"/>
          <w:bCs w:val="1"/>
          <w:color w:val="343634"/>
        </w:rPr>
        <w:t xml:space="preserve"> </w:t>
      </w:r>
      <w:r>
        <w:rPr>
          <w:rFonts w:ascii="Arial" w:cs="Arial" w:eastAsia="Arial" w:hAnsi="Arial"/>
          <w:sz w:val="16"/>
          <w:szCs w:val="16"/>
          <w:color w:val="343634"/>
        </w:rPr>
        <w:t xml:space="preserve">regardless of whether the premium </w:t>
      </w:r>
      <w:r>
        <w:rPr>
          <w:rFonts w:ascii="Arial" w:cs="Arial" w:eastAsia="Arial" w:hAnsi="Arial"/>
          <w:sz w:val="16"/>
          <w:szCs w:val="16"/>
          <w:color w:val="4B4B49"/>
        </w:rPr>
        <w:t>is</w:t>
      </w:r>
      <w:r>
        <w:rPr>
          <w:rFonts w:ascii="Arial" w:cs="Arial" w:eastAsia="Arial" w:hAnsi="Arial"/>
          <w:sz w:val="16"/>
          <w:szCs w:val="16"/>
          <w:color w:val="343634"/>
        </w:rPr>
        <w:t xml:space="preserve"> payable to us, to our agent, or under any financial credit.</w:t>
      </w:r>
    </w:p>
    <w:p>
      <w:pPr>
        <w:spacing w:after="0" w:line="232" w:lineRule="exact"/>
        <w:rPr>
          <w:sz w:val="20"/>
          <w:szCs w:val="20"/>
          <w:color w:val="auto"/>
        </w:rPr>
      </w:pPr>
    </w:p>
    <w:p>
      <w:pPr>
        <w:ind w:left="120"/>
        <w:spacing w:after="0" w:line="333" w:lineRule="auto"/>
        <w:rPr>
          <w:sz w:val="20"/>
          <w:szCs w:val="20"/>
          <w:color w:val="auto"/>
        </w:rPr>
      </w:pPr>
      <w:r>
        <w:rPr>
          <w:rFonts w:ascii="Arial" w:cs="Arial" w:eastAsia="Arial" w:hAnsi="Arial"/>
          <w:sz w:val="16"/>
          <w:szCs w:val="16"/>
          <w:b w:val="1"/>
          <w:bCs w:val="1"/>
          <w:color w:val="343634"/>
        </w:rPr>
        <w:t xml:space="preserve">Misrepresentation. </w:t>
      </w:r>
      <w:r>
        <w:rPr>
          <w:rFonts w:ascii="Arial" w:cs="Arial" w:eastAsia="Arial" w:hAnsi="Arial"/>
          <w:sz w:val="16"/>
          <w:szCs w:val="16"/>
          <w:color w:val="343634"/>
        </w:rPr>
        <w:t>We may cancel this policy or any part of it with 30 days notice</w:t>
      </w:r>
      <w:r>
        <w:rPr>
          <w:rFonts w:ascii="Arial" w:cs="Arial" w:eastAsia="Arial" w:hAnsi="Arial"/>
          <w:sz w:val="16"/>
          <w:szCs w:val="16"/>
          <w:b w:val="1"/>
          <w:bCs w:val="1"/>
          <w:color w:val="343634"/>
        </w:rPr>
        <w:t xml:space="preserve"> </w:t>
      </w:r>
      <w:r>
        <w:rPr>
          <w:rFonts w:ascii="Arial" w:cs="Arial" w:eastAsia="Arial" w:hAnsi="Arial"/>
          <w:sz w:val="15"/>
          <w:szCs w:val="15"/>
          <w:color w:val="343634"/>
        </w:rPr>
        <w:t>if</w:t>
      </w:r>
      <w:r>
        <w:rPr>
          <w:rFonts w:ascii="Arial" w:cs="Arial" w:eastAsia="Arial" w:hAnsi="Arial"/>
          <w:sz w:val="16"/>
          <w:szCs w:val="16"/>
          <w:b w:val="1"/>
          <w:bCs w:val="1"/>
          <w:color w:val="343634"/>
        </w:rPr>
        <w:t xml:space="preserve"> </w:t>
      </w:r>
      <w:r>
        <w:rPr>
          <w:rFonts w:ascii="Arial" w:cs="Arial" w:eastAsia="Arial" w:hAnsi="Arial"/>
          <w:sz w:val="16"/>
          <w:szCs w:val="16"/>
          <w:color w:val="343634"/>
        </w:rPr>
        <w:t>the coverage was obtained through misrepresentation, fraudulent statements, or</w:t>
      </w:r>
      <w:r>
        <w:rPr>
          <w:rFonts w:ascii="Arial" w:cs="Arial" w:eastAsia="Arial" w:hAnsi="Arial"/>
          <w:sz w:val="16"/>
          <w:szCs w:val="16"/>
          <w:b w:val="1"/>
          <w:bCs w:val="1"/>
          <w:color w:val="343634"/>
        </w:rPr>
        <w:t xml:space="preserve"> </w:t>
      </w:r>
      <w:r>
        <w:rPr>
          <w:rFonts w:ascii="Arial" w:cs="Arial" w:eastAsia="Arial" w:hAnsi="Arial"/>
          <w:sz w:val="16"/>
          <w:szCs w:val="16"/>
          <w:color w:val="343634"/>
        </w:rPr>
        <w:t>omissions or concealment of a fact that is relevant to the acceptance of the risk or to the hazard we assumed</w:t>
      </w:r>
      <w:r>
        <w:rPr>
          <w:rFonts w:ascii="Arial" w:cs="Arial" w:eastAsia="Arial" w:hAnsi="Arial"/>
          <w:sz w:val="16"/>
          <w:szCs w:val="16"/>
          <w:color w:val="605D5D"/>
        </w:rPr>
        <w:t>.</w:t>
      </w:r>
    </w:p>
    <w:p>
      <w:pPr>
        <w:spacing w:after="0" w:line="209" w:lineRule="exact"/>
        <w:rPr>
          <w:sz w:val="20"/>
          <w:szCs w:val="20"/>
          <w:color w:val="auto"/>
        </w:rPr>
      </w:pPr>
    </w:p>
    <w:p>
      <w:pPr>
        <w:ind w:left="120"/>
        <w:spacing w:after="0" w:line="388" w:lineRule="auto"/>
        <w:rPr>
          <w:sz w:val="20"/>
          <w:szCs w:val="20"/>
          <w:color w:val="auto"/>
        </w:rPr>
      </w:pPr>
      <w:r>
        <w:rPr>
          <w:rFonts w:ascii="Arial" w:cs="Arial" w:eastAsia="Arial" w:hAnsi="Arial"/>
          <w:sz w:val="15"/>
          <w:szCs w:val="15"/>
          <w:b w:val="1"/>
          <w:bCs w:val="1"/>
          <w:color w:val="343634"/>
        </w:rPr>
        <w:t xml:space="preserve">Increase </w:t>
      </w:r>
      <w:r>
        <w:rPr>
          <w:rFonts w:ascii="Arial" w:cs="Arial" w:eastAsia="Arial" w:hAnsi="Arial"/>
          <w:sz w:val="16"/>
          <w:szCs w:val="16"/>
          <w:b w:val="1"/>
          <w:bCs w:val="1"/>
          <w:color w:val="343634"/>
        </w:rPr>
        <w:t>in</w:t>
      </w:r>
      <w:r>
        <w:rPr>
          <w:rFonts w:ascii="Arial" w:cs="Arial" w:eastAsia="Arial" w:hAnsi="Arial"/>
          <w:sz w:val="15"/>
          <w:szCs w:val="15"/>
          <w:b w:val="1"/>
          <w:bCs w:val="1"/>
          <w:color w:val="343634"/>
        </w:rPr>
        <w:t xml:space="preserve"> hazard. </w:t>
      </w:r>
      <w:r>
        <w:rPr>
          <w:rFonts w:ascii="Arial" w:cs="Arial" w:eastAsia="Arial" w:hAnsi="Arial"/>
          <w:sz w:val="15"/>
          <w:szCs w:val="15"/>
          <w:color w:val="343634"/>
        </w:rPr>
        <w:t>We may cancel this policy or any</w:t>
      </w:r>
      <w:r>
        <w:rPr>
          <w:rFonts w:ascii="Arial" w:cs="Arial" w:eastAsia="Arial" w:hAnsi="Arial"/>
          <w:sz w:val="15"/>
          <w:szCs w:val="15"/>
          <w:b w:val="1"/>
          <w:bCs w:val="1"/>
          <w:color w:val="343634"/>
        </w:rPr>
        <w:t xml:space="preserve"> </w:t>
      </w:r>
      <w:r>
        <w:rPr>
          <w:rFonts w:ascii="Arial" w:cs="Arial" w:eastAsia="Arial" w:hAnsi="Arial"/>
          <w:sz w:val="15"/>
          <w:szCs w:val="15"/>
          <w:color w:val="4B4B49"/>
        </w:rPr>
        <w:t>part</w:t>
      </w:r>
      <w:r>
        <w:rPr>
          <w:rFonts w:ascii="Arial" w:cs="Arial" w:eastAsia="Arial" w:hAnsi="Arial"/>
          <w:sz w:val="15"/>
          <w:szCs w:val="15"/>
          <w:b w:val="1"/>
          <w:bCs w:val="1"/>
          <w:color w:val="343634"/>
        </w:rPr>
        <w:t xml:space="preserve"> </w:t>
      </w:r>
      <w:r>
        <w:rPr>
          <w:rFonts w:ascii="Arial" w:cs="Arial" w:eastAsia="Arial" w:hAnsi="Arial"/>
          <w:sz w:val="15"/>
          <w:szCs w:val="15"/>
          <w:color w:val="343634"/>
        </w:rPr>
        <w:t>of it with 30 days notice</w:t>
      </w:r>
      <w:r>
        <w:rPr>
          <w:rFonts w:ascii="Arial" w:cs="Arial" w:eastAsia="Arial" w:hAnsi="Arial"/>
          <w:sz w:val="15"/>
          <w:szCs w:val="15"/>
          <w:b w:val="1"/>
          <w:bCs w:val="1"/>
          <w:color w:val="343634"/>
        </w:rPr>
        <w:t xml:space="preserve"> </w:t>
      </w:r>
      <w:r>
        <w:rPr>
          <w:rFonts w:ascii="Arial" w:cs="Arial" w:eastAsia="Arial" w:hAnsi="Arial"/>
          <w:sz w:val="14"/>
          <w:szCs w:val="14"/>
          <w:color w:val="343634"/>
        </w:rPr>
        <w:t>if</w:t>
      </w:r>
      <w:r>
        <w:rPr>
          <w:rFonts w:ascii="Arial" w:cs="Arial" w:eastAsia="Arial" w:hAnsi="Arial"/>
          <w:sz w:val="15"/>
          <w:szCs w:val="15"/>
          <w:b w:val="1"/>
          <w:bCs w:val="1"/>
          <w:color w:val="343634"/>
        </w:rPr>
        <w:t xml:space="preserve"> </w:t>
      </w:r>
      <w:r>
        <w:rPr>
          <w:rFonts w:ascii="Arial" w:cs="Arial" w:eastAsia="Arial" w:hAnsi="Arial"/>
          <w:sz w:val="15"/>
          <w:szCs w:val="15"/>
          <w:color w:val="343634"/>
        </w:rPr>
        <w:t>there has been a substantial change in the risk which increases the chance of loss after</w:t>
      </w:r>
      <w:r>
        <w:rPr>
          <w:rFonts w:ascii="Arial" w:cs="Arial" w:eastAsia="Arial" w:hAnsi="Arial"/>
          <w:sz w:val="15"/>
          <w:szCs w:val="15"/>
          <w:b w:val="1"/>
          <w:bCs w:val="1"/>
          <w:color w:val="343634"/>
        </w:rPr>
        <w:t xml:space="preserve"> </w:t>
      </w:r>
      <w:r>
        <w:rPr>
          <w:rFonts w:ascii="Arial" w:cs="Arial" w:eastAsia="Arial" w:hAnsi="Arial"/>
          <w:sz w:val="15"/>
          <w:szCs w:val="15"/>
          <w:color w:val="343634"/>
        </w:rPr>
        <w:t>insurance coverage has been issued or renewed, including but not limited to an increase in exposure due to rules, legislation, or court decision.</w:t>
      </w:r>
    </w:p>
    <w:p>
      <w:pPr>
        <w:spacing w:after="0" w:line="163" w:lineRule="exact"/>
        <w:rPr>
          <w:sz w:val="20"/>
          <w:szCs w:val="20"/>
          <w:color w:val="auto"/>
        </w:rPr>
      </w:pPr>
    </w:p>
    <w:p>
      <w:pPr>
        <w:ind w:left="120"/>
        <w:spacing w:after="0" w:line="333" w:lineRule="auto"/>
        <w:rPr>
          <w:sz w:val="20"/>
          <w:szCs w:val="20"/>
          <w:color w:val="auto"/>
        </w:rPr>
      </w:pPr>
      <w:r>
        <w:rPr>
          <w:rFonts w:ascii="Arial" w:cs="Arial" w:eastAsia="Arial" w:hAnsi="Arial"/>
          <w:sz w:val="16"/>
          <w:szCs w:val="16"/>
          <w:b w:val="1"/>
          <w:bCs w:val="1"/>
          <w:color w:val="343634"/>
        </w:rPr>
        <w:t xml:space="preserve">Procedure. </w:t>
      </w:r>
      <w:r>
        <w:rPr>
          <w:rFonts w:ascii="Arial" w:cs="Arial" w:eastAsia="Arial" w:hAnsi="Arial"/>
          <w:sz w:val="16"/>
          <w:szCs w:val="16"/>
          <w:color w:val="343634"/>
        </w:rPr>
        <w:t>To cancel this policy or any part of it, we must notify you in writing. This notice will</w:t>
      </w:r>
      <w:r>
        <w:rPr>
          <w:rFonts w:ascii="Arial" w:cs="Arial" w:eastAsia="Arial" w:hAnsi="Arial"/>
          <w:sz w:val="16"/>
          <w:szCs w:val="16"/>
          <w:b w:val="1"/>
          <w:bCs w:val="1"/>
          <w:color w:val="343634"/>
        </w:rPr>
        <w:t xml:space="preserve"> </w:t>
      </w:r>
      <w:r>
        <w:rPr>
          <w:rFonts w:ascii="Arial" w:cs="Arial" w:eastAsia="Arial" w:hAnsi="Arial"/>
          <w:sz w:val="14"/>
          <w:szCs w:val="14"/>
          <w:color w:val="343634"/>
        </w:rPr>
        <w:t>be</w:t>
      </w:r>
      <w:r>
        <w:rPr>
          <w:rFonts w:ascii="Arial" w:cs="Arial" w:eastAsia="Arial" w:hAnsi="Arial"/>
          <w:sz w:val="16"/>
          <w:szCs w:val="16"/>
          <w:b w:val="1"/>
          <w:bCs w:val="1"/>
          <w:color w:val="343634"/>
        </w:rPr>
        <w:t xml:space="preserve"> </w:t>
      </w:r>
      <w:r>
        <w:rPr>
          <w:rFonts w:ascii="Arial" w:cs="Arial" w:eastAsia="Arial" w:hAnsi="Arial"/>
          <w:sz w:val="16"/>
          <w:szCs w:val="16"/>
          <w:color w:val="343634"/>
        </w:rPr>
        <w:t>mailed to the Sponsoring Organization at the mailing address shown in</w:t>
      </w:r>
      <w:r>
        <w:rPr>
          <w:rFonts w:ascii="Arial" w:cs="Arial" w:eastAsia="Arial" w:hAnsi="Arial"/>
          <w:sz w:val="16"/>
          <w:szCs w:val="16"/>
          <w:b w:val="1"/>
          <w:bCs w:val="1"/>
          <w:color w:val="343634"/>
        </w:rPr>
        <w:t xml:space="preserve"> </w:t>
      </w:r>
      <w:r>
        <w:rPr>
          <w:rFonts w:ascii="Arial" w:cs="Arial" w:eastAsia="Arial" w:hAnsi="Arial"/>
          <w:sz w:val="16"/>
          <w:szCs w:val="16"/>
          <w:color w:val="343634"/>
        </w:rPr>
        <w:t>the Coverage Summary and we will obtain a certificate of mailing. This notice will include the date the cancellation is to take effect.</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343634"/>
        </w:rPr>
        <w:t xml:space="preserve">Termination. </w:t>
      </w:r>
      <w:r>
        <w:rPr>
          <w:rFonts w:ascii="Arial" w:cs="Arial" w:eastAsia="Arial" w:hAnsi="Arial"/>
          <w:sz w:val="16"/>
          <w:szCs w:val="16"/>
          <w:color w:val="343634"/>
        </w:rPr>
        <w:t>Should an individual for any reason no longer qualify as a member of the Defined Group, coverage will cease sixty</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5"/>
          <w:szCs w:val="15"/>
          <w:color w:val="343634"/>
        </w:rPr>
        <w:t>(60) days from the date that individual no longer qualifies as a member of the Defined Group, or the policy expiration or cancellation date, whichever comes first.</w:t>
      </w:r>
    </w:p>
    <w:p>
      <w:pPr>
        <w:spacing w:after="0" w:line="300" w:lineRule="exact"/>
        <w:rPr>
          <w:sz w:val="20"/>
          <w:szCs w:val="20"/>
          <w:color w:val="auto"/>
        </w:rPr>
      </w:pPr>
    </w:p>
    <w:p>
      <w:pPr>
        <w:ind w:left="80"/>
        <w:spacing w:after="0" w:line="345" w:lineRule="auto"/>
        <w:rPr>
          <w:sz w:val="20"/>
          <w:szCs w:val="20"/>
          <w:color w:val="auto"/>
        </w:rPr>
      </w:pPr>
      <w:r>
        <w:rPr>
          <w:rFonts w:ascii="Arial" w:cs="Arial" w:eastAsia="Arial" w:hAnsi="Arial"/>
          <w:sz w:val="17"/>
          <w:szCs w:val="17"/>
          <w:b w:val="1"/>
          <w:bCs w:val="1"/>
          <w:color w:val="343634"/>
        </w:rPr>
        <w:t xml:space="preserve">Refund. </w:t>
      </w:r>
      <w:r>
        <w:rPr>
          <w:rFonts w:ascii="Arial" w:cs="Arial" w:eastAsia="Arial" w:hAnsi="Arial"/>
          <w:sz w:val="16"/>
          <w:szCs w:val="16"/>
          <w:color w:val="343634"/>
        </w:rPr>
        <w:t>In the event of cancellation by the Sponsoring Organization or us, we will refund any unearned premium on the effective date of cancellation, or as soon as possible</w:t>
      </w:r>
      <w:r>
        <w:rPr>
          <w:rFonts w:ascii="Arial" w:cs="Arial" w:eastAsia="Arial" w:hAnsi="Arial"/>
          <w:sz w:val="17"/>
          <w:szCs w:val="17"/>
          <w:b w:val="1"/>
          <w:bCs w:val="1"/>
          <w:color w:val="343634"/>
        </w:rPr>
        <w:t xml:space="preserve"> </w:t>
      </w:r>
      <w:r>
        <w:rPr>
          <w:rFonts w:ascii="Arial" w:cs="Arial" w:eastAsia="Arial" w:hAnsi="Arial"/>
          <w:sz w:val="16"/>
          <w:szCs w:val="16"/>
          <w:color w:val="343634"/>
        </w:rPr>
        <w:t>afterwards to the Sponsoring Organization. The unearned premium will be computed short rate for the unexpired term of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w:t>
      </w:r>
    </w:p>
    <w:p>
      <w:pPr>
        <w:spacing w:after="0" w:line="42" w:lineRule="exact"/>
        <w:rPr>
          <w:sz w:val="20"/>
          <w:szCs w:val="20"/>
          <w:color w:val="auto"/>
        </w:rPr>
      </w:pPr>
    </w:p>
    <w:p>
      <w:pPr>
        <w:spacing w:after="0"/>
        <w:tabs>
          <w:tab w:leader="none" w:pos="3100" w:val="left"/>
        </w:tabs>
        <w:rPr>
          <w:sz w:val="20"/>
          <w:szCs w:val="20"/>
          <w:color w:val="auto"/>
        </w:rPr>
      </w:pPr>
      <w:r>
        <w:rPr>
          <w:rFonts w:ascii="Arial" w:cs="Arial" w:eastAsia="Arial" w:hAnsi="Arial"/>
          <w:sz w:val="14"/>
          <w:szCs w:val="14"/>
          <w:color w:val="auto"/>
        </w:rPr>
        <w:t>Form 10-02-0691 (Rev.7-16)</w:t>
      </w:r>
      <w:r>
        <w:rPr>
          <w:sz w:val="20"/>
          <w:szCs w:val="20"/>
          <w:color w:val="auto"/>
        </w:rPr>
        <w:tab/>
      </w:r>
      <w:r>
        <w:rPr>
          <w:rFonts w:ascii="Arial" w:cs="Arial" w:eastAsia="Arial" w:hAnsi="Arial"/>
          <w:sz w:val="12"/>
          <w:szCs w:val="12"/>
          <w:color w:val="auto"/>
        </w:rPr>
        <w:t>Page 15 of 15</w:t>
      </w:r>
    </w:p>
    <w:p>
      <w:pPr>
        <w:sectPr>
          <w:pgSz w:w="11900" w:h="16838" w:orient="portrait"/>
          <w:cols w:equalWidth="0" w:num="1">
            <w:col w:w="11420"/>
          </w:cols>
          <w:pgMar w:left="240" w:top="570" w:right="239" w:bottom="1440" w:gutter="0" w:footer="0" w:header="0"/>
        </w:sectPr>
      </w:pPr>
    </w:p>
    <w:bookmarkStart w:id="164" w:name="page165"/>
    <w:bookmarkEnd w:id="164"/>
    <w:p>
      <w:pPr>
        <w:ind w:left="168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-162560</wp:posOffset>
            </wp:positionV>
            <wp:extent cx="110617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0">
                      <a:extLst>
                        <a:ext uri="{28A0092B-C50C-407E-A947-70E740481C1C}"/>
                      </a:extLst>
                    </a:blip>
                    <a:srcRect/>
                    <a:stretch>
                      <a:fillRect/>
                    </a:stretch>
                  </pic:blipFill>
                  <pic:spPr bwMode="auto">
                    <a:xfrm>
                      <a:off x="0" y="0"/>
                      <a:ext cx="110617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333331"/>
        </w:rPr>
        <w:t>ENDORSEMENT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1900" w:type="dxa"/>
            <w:vAlign w:val="bottom"/>
          </w:tcPr>
          <w:p>
            <w:pPr>
              <w:spacing w:after="0"/>
              <w:rPr>
                <w:sz w:val="20"/>
                <w:szCs w:val="20"/>
                <w:color w:val="auto"/>
              </w:rPr>
            </w:pPr>
            <w:r>
              <w:rPr>
                <w:rFonts w:ascii="Arial" w:cs="Arial" w:eastAsia="Arial" w:hAnsi="Arial"/>
                <w:sz w:val="17"/>
                <w:szCs w:val="17"/>
                <w:color w:val="333331"/>
              </w:rPr>
              <w:t>Policy Period</w:t>
            </w:r>
          </w:p>
        </w:tc>
        <w:tc>
          <w:tcPr>
            <w:tcW w:w="3720" w:type="dxa"/>
            <w:vAlign w:val="bottom"/>
          </w:tcPr>
          <w:p>
            <w:pPr>
              <w:ind w:left="500"/>
              <w:spacing w:after="0"/>
              <w:rPr>
                <w:sz w:val="20"/>
                <w:szCs w:val="20"/>
                <w:color w:val="auto"/>
              </w:rPr>
            </w:pPr>
            <w:r>
              <w:rPr>
                <w:rFonts w:ascii="Arial" w:cs="Arial" w:eastAsia="Arial" w:hAnsi="Arial"/>
                <w:sz w:val="17"/>
                <w:szCs w:val="17"/>
                <w:color w:val="333331"/>
              </w:rPr>
              <w:t>JANUARY 01, 2019</w:t>
            </w:r>
          </w:p>
        </w:tc>
        <w:tc>
          <w:tcPr>
            <w:tcW w:w="2460" w:type="dxa"/>
            <w:vAlign w:val="bottom"/>
          </w:tcPr>
          <w:p>
            <w:pPr>
              <w:ind w:left="46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7"/>
                <w:szCs w:val="17"/>
                <w:color w:val="333331"/>
              </w:rPr>
              <w:t>JANUARY 01, 2020</w:t>
            </w:r>
          </w:p>
        </w:tc>
      </w:tr>
      <w:tr>
        <w:trPr>
          <w:trHeight w:val="496"/>
        </w:trPr>
        <w:tc>
          <w:tcPr>
            <w:tcW w:w="1900" w:type="dxa"/>
            <w:vAlign w:val="bottom"/>
          </w:tcPr>
          <w:p>
            <w:pPr>
              <w:spacing w:after="0"/>
              <w:rPr>
                <w:sz w:val="20"/>
                <w:szCs w:val="20"/>
                <w:color w:val="auto"/>
              </w:rPr>
            </w:pPr>
            <w:r>
              <w:rPr>
                <w:rFonts w:ascii="Arial" w:cs="Arial" w:eastAsia="Arial" w:hAnsi="Arial"/>
                <w:sz w:val="17"/>
                <w:szCs w:val="17"/>
                <w:color w:val="1C1C1A"/>
              </w:rPr>
              <w:t xml:space="preserve">Effective </w:t>
            </w:r>
            <w:r>
              <w:rPr>
                <w:rFonts w:ascii="Arial" w:cs="Arial" w:eastAsia="Arial" w:hAnsi="Arial"/>
                <w:sz w:val="17"/>
                <w:szCs w:val="17"/>
                <w:color w:val="333331"/>
              </w:rPr>
              <w:t>Date</w:t>
            </w:r>
          </w:p>
        </w:tc>
        <w:tc>
          <w:tcPr>
            <w:tcW w:w="3720" w:type="dxa"/>
            <w:vAlign w:val="bottom"/>
          </w:tcPr>
          <w:p>
            <w:pPr>
              <w:ind w:left="500"/>
              <w:spacing w:after="0"/>
              <w:rPr>
                <w:sz w:val="20"/>
                <w:szCs w:val="20"/>
                <w:color w:val="auto"/>
              </w:rPr>
            </w:pPr>
            <w:r>
              <w:rPr>
                <w:rFonts w:ascii="Arial" w:cs="Arial" w:eastAsia="Arial" w:hAnsi="Arial"/>
                <w:sz w:val="17"/>
                <w:szCs w:val="17"/>
                <w:color w:val="333331"/>
              </w:rPr>
              <w:t>JANUARY 01, 2019</w:t>
            </w:r>
          </w:p>
        </w:tc>
        <w:tc>
          <w:tcPr>
            <w:tcW w:w="2460" w:type="dxa"/>
            <w:vAlign w:val="bottom"/>
          </w:tcPr>
          <w:p>
            <w:pPr>
              <w:spacing w:after="0"/>
              <w:rPr>
                <w:sz w:val="24"/>
                <w:szCs w:val="24"/>
                <w:color w:val="auto"/>
              </w:rPr>
            </w:pPr>
          </w:p>
        </w:tc>
      </w:tr>
      <w:tr>
        <w:trPr>
          <w:trHeight w:val="473"/>
        </w:trPr>
        <w:tc>
          <w:tcPr>
            <w:tcW w:w="1900" w:type="dxa"/>
            <w:vAlign w:val="bottom"/>
          </w:tcPr>
          <w:p>
            <w:pPr>
              <w:spacing w:after="0"/>
              <w:rPr>
                <w:sz w:val="20"/>
                <w:szCs w:val="20"/>
                <w:color w:val="auto"/>
              </w:rPr>
            </w:pPr>
            <w:r>
              <w:rPr>
                <w:rFonts w:ascii="Arial" w:cs="Arial" w:eastAsia="Arial" w:hAnsi="Arial"/>
                <w:sz w:val="17"/>
                <w:szCs w:val="17"/>
                <w:color w:val="333331"/>
              </w:rPr>
              <w:t>Policy Number</w:t>
            </w:r>
          </w:p>
        </w:tc>
        <w:tc>
          <w:tcPr>
            <w:tcW w:w="37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86"/>
        </w:trPr>
        <w:tc>
          <w:tcPr>
            <w:tcW w:w="1900" w:type="dxa"/>
            <w:vAlign w:val="bottom"/>
          </w:tcPr>
          <w:p>
            <w:pPr>
              <w:spacing w:after="0"/>
              <w:rPr>
                <w:sz w:val="20"/>
                <w:szCs w:val="20"/>
                <w:color w:val="auto"/>
              </w:rPr>
            </w:pPr>
            <w:r>
              <w:rPr>
                <w:rFonts w:ascii="Arial" w:cs="Arial" w:eastAsia="Arial" w:hAnsi="Arial"/>
                <w:sz w:val="17"/>
                <w:szCs w:val="17"/>
                <w:color w:val="333331"/>
              </w:rPr>
              <w:t>Insured</w:t>
            </w:r>
          </w:p>
        </w:tc>
        <w:tc>
          <w:tcPr>
            <w:tcW w:w="3720" w:type="dxa"/>
            <w:vAlign w:val="bottom"/>
          </w:tcPr>
          <w:p>
            <w:pPr>
              <w:ind w:left="500"/>
              <w:spacing w:after="0"/>
              <w:rPr>
                <w:sz w:val="20"/>
                <w:szCs w:val="20"/>
                <w:color w:val="auto"/>
              </w:rPr>
            </w:pPr>
            <w:r>
              <w:rPr>
                <w:rFonts w:ascii="Arial" w:cs="Arial" w:eastAsia="Arial" w:hAnsi="Arial"/>
                <w:sz w:val="17"/>
                <w:szCs w:val="17"/>
                <w:color w:val="333331"/>
              </w:rPr>
              <w:t>BOOZ ALLEN HAMILTON INC</w:t>
            </w:r>
          </w:p>
        </w:tc>
        <w:tc>
          <w:tcPr>
            <w:tcW w:w="2460" w:type="dxa"/>
            <w:vAlign w:val="bottom"/>
          </w:tcPr>
          <w:p>
            <w:pPr>
              <w:spacing w:after="0"/>
              <w:rPr>
                <w:sz w:val="24"/>
                <w:szCs w:val="24"/>
                <w:color w:val="auto"/>
              </w:rPr>
            </w:pPr>
          </w:p>
        </w:tc>
      </w:tr>
      <w:tr>
        <w:trPr>
          <w:trHeight w:val="486"/>
        </w:trPr>
        <w:tc>
          <w:tcPr>
            <w:tcW w:w="1900" w:type="dxa"/>
            <w:vAlign w:val="bottom"/>
          </w:tcPr>
          <w:p>
            <w:pPr>
              <w:spacing w:after="0"/>
              <w:rPr>
                <w:sz w:val="24"/>
                <w:szCs w:val="24"/>
                <w:color w:val="auto"/>
              </w:rPr>
            </w:pPr>
          </w:p>
        </w:tc>
        <w:tc>
          <w:tcPr>
            <w:tcW w:w="3720" w:type="dxa"/>
            <w:vAlign w:val="bottom"/>
          </w:tcPr>
          <w:p>
            <w:pPr>
              <w:ind w:left="500"/>
              <w:spacing w:after="0"/>
              <w:rPr>
                <w:sz w:val="20"/>
                <w:szCs w:val="20"/>
                <w:color w:val="auto"/>
              </w:rPr>
            </w:pPr>
            <w:r>
              <w:rPr>
                <w:rFonts w:ascii="Arial" w:cs="Arial" w:eastAsia="Arial" w:hAnsi="Arial"/>
                <w:sz w:val="17"/>
                <w:szCs w:val="17"/>
                <w:color w:val="333331"/>
              </w:rPr>
              <w:t>Group Personal Excess Program</w:t>
            </w:r>
          </w:p>
        </w:tc>
        <w:tc>
          <w:tcPr>
            <w:tcW w:w="2460" w:type="dxa"/>
            <w:vAlign w:val="bottom"/>
          </w:tcPr>
          <w:p>
            <w:pPr>
              <w:spacing w:after="0"/>
              <w:rPr>
                <w:sz w:val="24"/>
                <w:szCs w:val="24"/>
                <w:color w:val="auto"/>
              </w:rPr>
            </w:pPr>
          </w:p>
        </w:tc>
      </w:tr>
      <w:tr>
        <w:trPr>
          <w:trHeight w:val="824"/>
        </w:trPr>
        <w:tc>
          <w:tcPr>
            <w:tcW w:w="1900" w:type="dxa"/>
            <w:vAlign w:val="bottom"/>
          </w:tcPr>
          <w:p>
            <w:pPr>
              <w:spacing w:after="0"/>
              <w:rPr>
                <w:sz w:val="20"/>
                <w:szCs w:val="20"/>
                <w:color w:val="auto"/>
              </w:rPr>
            </w:pPr>
            <w:r>
              <w:rPr>
                <w:rFonts w:ascii="Arial" w:cs="Arial" w:eastAsia="Arial" w:hAnsi="Arial"/>
                <w:sz w:val="17"/>
                <w:szCs w:val="17"/>
                <w:color w:val="333331"/>
              </w:rPr>
              <w:t>Name of Company</w:t>
            </w:r>
          </w:p>
        </w:tc>
        <w:tc>
          <w:tcPr>
            <w:tcW w:w="3720" w:type="dxa"/>
            <w:vAlign w:val="bottom"/>
          </w:tcPr>
          <w:p>
            <w:pPr>
              <w:ind w:left="500"/>
              <w:spacing w:after="0"/>
              <w:rPr>
                <w:sz w:val="20"/>
                <w:szCs w:val="20"/>
                <w:color w:val="auto"/>
              </w:rPr>
            </w:pPr>
            <w:r>
              <w:rPr>
                <w:rFonts w:ascii="Arial" w:cs="Arial" w:eastAsia="Arial" w:hAnsi="Arial"/>
                <w:sz w:val="17"/>
                <w:szCs w:val="17"/>
                <w:color w:val="1C1C1A"/>
              </w:rPr>
              <w:t xml:space="preserve">FEDERAL </w:t>
            </w:r>
            <w:r>
              <w:rPr>
                <w:rFonts w:ascii="Arial" w:cs="Arial" w:eastAsia="Arial" w:hAnsi="Arial"/>
                <w:sz w:val="17"/>
                <w:szCs w:val="17"/>
                <w:color w:val="333331"/>
              </w:rPr>
              <w:t>INSURANCE COMPANY</w:t>
            </w:r>
          </w:p>
        </w:tc>
        <w:tc>
          <w:tcPr>
            <w:tcW w:w="246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7"/>
                <w:szCs w:val="17"/>
                <w:color w:val="333331"/>
              </w:rPr>
              <w:t>Date Issued</w:t>
            </w:r>
          </w:p>
        </w:tc>
        <w:tc>
          <w:tcPr>
            <w:tcW w:w="3720" w:type="dxa"/>
            <w:vAlign w:val="bottom"/>
          </w:tcPr>
          <w:p>
            <w:pPr>
              <w:ind w:left="500"/>
              <w:spacing w:after="0"/>
              <w:rPr>
                <w:sz w:val="20"/>
                <w:szCs w:val="20"/>
                <w:color w:val="auto"/>
              </w:rPr>
            </w:pPr>
            <w:r>
              <w:rPr>
                <w:rFonts w:ascii="Arial" w:cs="Arial" w:eastAsia="Arial" w:hAnsi="Arial"/>
                <w:sz w:val="17"/>
                <w:szCs w:val="17"/>
                <w:color w:val="333331"/>
              </w:rPr>
              <w:t>DECEMBER 31, 2018</w:t>
            </w: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1220470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60"/>
        <w:spacing w:after="0"/>
        <w:rPr>
          <w:sz w:val="20"/>
          <w:szCs w:val="20"/>
          <w:color w:val="auto"/>
        </w:rPr>
      </w:pPr>
      <w:r>
        <w:rPr>
          <w:rFonts w:ascii="Arial" w:cs="Arial" w:eastAsia="Arial" w:hAnsi="Arial"/>
          <w:sz w:val="20"/>
          <w:szCs w:val="20"/>
          <w:color w:val="333331"/>
        </w:rPr>
        <w:t>ANNUAL PREMIUM ADJUSTMENT CLAUSE</w:t>
      </w:r>
    </w:p>
    <w:p>
      <w:pPr>
        <w:spacing w:after="0" w:line="205" w:lineRule="exact"/>
        <w:rPr>
          <w:sz w:val="20"/>
          <w:szCs w:val="20"/>
          <w:color w:val="auto"/>
        </w:rPr>
      </w:pPr>
    </w:p>
    <w:p>
      <w:pPr>
        <w:ind w:left="760"/>
        <w:spacing w:after="0" w:line="293" w:lineRule="auto"/>
        <w:rPr>
          <w:sz w:val="20"/>
          <w:szCs w:val="20"/>
          <w:color w:val="auto"/>
        </w:rPr>
      </w:pPr>
      <w:r>
        <w:rPr>
          <w:rFonts w:ascii="Arial" w:cs="Arial" w:eastAsia="Arial" w:hAnsi="Arial"/>
          <w:sz w:val="18"/>
          <w:szCs w:val="18"/>
          <w:color w:val="333331"/>
        </w:rPr>
        <w:t>This policy is written with a deposit premium to be adjusted on either each policy anniversary or at policy expiration. The premium will be adjusted on the basis of the difference between:</w:t>
      </w:r>
    </w:p>
    <w:p>
      <w:pPr>
        <w:spacing w:after="0" w:line="129" w:lineRule="exact"/>
        <w:rPr>
          <w:sz w:val="20"/>
          <w:szCs w:val="20"/>
          <w:color w:val="auto"/>
        </w:rPr>
      </w:pPr>
    </w:p>
    <w:p>
      <w:pPr>
        <w:ind w:left="880" w:hanging="127"/>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total number of participants at inceptions; and</w:t>
      </w:r>
    </w:p>
    <w:p>
      <w:pPr>
        <w:spacing w:after="0" w:line="198" w:lineRule="exact"/>
        <w:rPr>
          <w:rFonts w:ascii="Arial" w:cs="Arial" w:eastAsia="Arial" w:hAnsi="Arial"/>
          <w:sz w:val="18"/>
          <w:szCs w:val="18"/>
          <w:color w:val="auto"/>
        </w:rPr>
      </w:pPr>
    </w:p>
    <w:p>
      <w:pPr>
        <w:ind w:left="880" w:hanging="127"/>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actual number of participants at each policy anniversary.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60"/>
        <w:spacing w:after="0" w:line="293" w:lineRule="auto"/>
        <w:rPr>
          <w:sz w:val="20"/>
          <w:szCs w:val="20"/>
          <w:color w:val="auto"/>
        </w:rPr>
      </w:pPr>
      <w:r>
        <w:rPr>
          <w:rFonts w:ascii="Arial" w:cs="Arial" w:eastAsia="Arial" w:hAnsi="Arial"/>
          <w:sz w:val="18"/>
          <w:szCs w:val="18"/>
          <w:color w:val="auto"/>
        </w:rPr>
        <w:t>This difference will be multiplied by fifty percent (50%) of the annual rate per participant, resulting in either an additional or return premium.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60"/>
        <w:spacing w:after="0"/>
        <w:rPr>
          <w:sz w:val="20"/>
          <w:szCs w:val="20"/>
          <w:color w:val="auto"/>
        </w:rPr>
      </w:pPr>
      <w:r>
        <w:rPr>
          <w:rFonts w:ascii="Arial" w:cs="Arial" w:eastAsia="Arial" w:hAnsi="Arial"/>
          <w:sz w:val="17"/>
          <w:szCs w:val="17"/>
          <w:color w:val="333331"/>
        </w:rPr>
        <w:t>ALL OTHER TERMS AND CONDITIONS REMAIN UNCHANGED.</w:t>
      </w:r>
    </w:p>
    <w:p>
      <w:pPr>
        <w:sectPr>
          <w:pgSz w:w="11900" w:h="16838" w:orient="portrait"/>
          <w:cols w:equalWidth="0" w:num="1">
            <w:col w:w="10220"/>
          </w:cols>
          <w:pgMar w:left="1440" w:top="933" w:right="2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9740"/>
        <w:spacing w:after="0"/>
        <w:rPr>
          <w:sz w:val="20"/>
          <w:szCs w:val="20"/>
          <w:color w:val="auto"/>
        </w:rPr>
      </w:pPr>
      <w:r>
        <w:rPr>
          <w:rFonts w:ascii="Arial" w:cs="Arial" w:eastAsia="Arial" w:hAnsi="Arial"/>
          <w:sz w:val="15"/>
          <w:szCs w:val="15"/>
          <w:color w:val="auto"/>
        </w:rPr>
        <w:t>Page 1</w:t>
      </w:r>
    </w:p>
    <w:p>
      <w:pPr>
        <w:sectPr>
          <w:pgSz w:w="11900" w:h="16838" w:orient="portrait"/>
          <w:cols w:equalWidth="0" w:num="1">
            <w:col w:w="10220"/>
          </w:cols>
          <w:pgMar w:left="1440" w:top="933" w:right="239"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17"/>
          <w:szCs w:val="17"/>
          <w:i w:val="1"/>
          <w:iCs w:val="1"/>
          <w:color w:val="333331"/>
        </w:rPr>
        <w:drawing>
          <wp:anchor simplePos="0" relativeHeight="251657728" behindDoc="1" locked="0" layoutInCell="0" allowOverlap="1">
            <wp:simplePos x="0" y="0"/>
            <wp:positionH relativeFrom="page">
              <wp:posOffset>2335530</wp:posOffset>
            </wp:positionH>
            <wp:positionV relativeFrom="page">
              <wp:posOffset>706755</wp:posOffset>
            </wp:positionV>
            <wp:extent cx="1406525"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406525" cy="283210"/>
                    </a:xfrm>
                    <a:prstGeom prst="rect">
                      <a:avLst/>
                    </a:prstGeom>
                    <a:noFill/>
                  </pic:spPr>
                </pic:pic>
              </a:graphicData>
            </a:graphic>
          </wp:anchor>
        </w:drawing>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268605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760"/>
          </w:cols>
          <w:pgMar w:left="900" w:top="1385" w:right="239" w:bottom="1440" w:gutter="0" w:footer="0" w:header="0"/>
        </w:sectPr>
      </w:pPr>
    </w:p>
    <w:bookmarkStart w:id="166" w:name="page167"/>
    <w:bookmarkEnd w:id="166"/>
    <w:p>
      <w:pPr>
        <w:ind w:left="2940"/>
        <w:spacing w:after="0"/>
        <w:rPr>
          <w:sz w:val="20"/>
          <w:szCs w:val="20"/>
          <w:color w:val="auto"/>
        </w:rPr>
      </w:pPr>
      <w:r>
        <w:rPr>
          <w:rFonts w:ascii="Arial" w:cs="Arial" w:eastAsia="Arial" w:hAnsi="Arial"/>
          <w:sz w:val="25"/>
          <w:szCs w:val="25"/>
          <w:b w:val="1"/>
          <w:bCs w:val="1"/>
          <w:color w:val="41423F"/>
        </w:rPr>
        <w:t>GROUP PERSONAL EXCESS LIABILITY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-162560</wp:posOffset>
            </wp:positionV>
            <wp:extent cx="110617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4">
                      <a:extLst>
                        <a:ext uri="{28A0092B-C50C-407E-A947-70E740481C1C}"/>
                      </a:extLst>
                    </a:blip>
                    <a:srcRect/>
                    <a:stretch>
                      <a:fillRect/>
                    </a:stretch>
                  </pic:blipFill>
                  <pic:spPr bwMode="auto">
                    <a:xfrm>
                      <a:off x="0" y="0"/>
                      <a:ext cx="110617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20"/>
        <w:spacing w:after="0"/>
        <w:rPr>
          <w:sz w:val="20"/>
          <w:szCs w:val="20"/>
          <w:color w:val="auto"/>
        </w:rPr>
      </w:pPr>
      <w:r>
        <w:rPr>
          <w:rFonts w:ascii="Arial" w:cs="Arial" w:eastAsia="Arial" w:hAnsi="Arial"/>
          <w:sz w:val="23"/>
          <w:szCs w:val="23"/>
          <w:b w:val="1"/>
          <w:bCs w:val="1"/>
          <w:color w:val="31312F"/>
        </w:rPr>
        <w:t>ENDORSEMENT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1900" w:type="dxa"/>
            <w:vAlign w:val="bottom"/>
          </w:tcPr>
          <w:p>
            <w:pPr>
              <w:spacing w:after="0"/>
              <w:rPr>
                <w:sz w:val="20"/>
                <w:szCs w:val="20"/>
                <w:color w:val="auto"/>
              </w:rPr>
            </w:pPr>
            <w:r>
              <w:rPr>
                <w:rFonts w:ascii="Arial" w:cs="Arial" w:eastAsia="Arial" w:hAnsi="Arial"/>
                <w:sz w:val="17"/>
                <w:szCs w:val="17"/>
                <w:color w:val="333331"/>
              </w:rPr>
              <w:t>Policy Period</w:t>
            </w:r>
          </w:p>
        </w:tc>
        <w:tc>
          <w:tcPr>
            <w:tcW w:w="3700" w:type="dxa"/>
            <w:vAlign w:val="bottom"/>
          </w:tcPr>
          <w:p>
            <w:pPr>
              <w:ind w:left="480"/>
              <w:spacing w:after="0"/>
              <w:rPr>
                <w:sz w:val="20"/>
                <w:szCs w:val="20"/>
                <w:color w:val="auto"/>
              </w:rPr>
            </w:pPr>
            <w:r>
              <w:rPr>
                <w:rFonts w:ascii="Arial" w:cs="Arial" w:eastAsia="Arial" w:hAnsi="Arial"/>
                <w:sz w:val="17"/>
                <w:szCs w:val="17"/>
                <w:color w:val="333331"/>
              </w:rPr>
              <w:t>JANUARY 01, 2019</w:t>
            </w:r>
          </w:p>
        </w:tc>
        <w:tc>
          <w:tcPr>
            <w:tcW w:w="2440" w:type="dxa"/>
            <w:vAlign w:val="bottom"/>
          </w:tcPr>
          <w:p>
            <w:pPr>
              <w:ind w:left="460"/>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7"/>
                <w:szCs w:val="17"/>
                <w:color w:val="333331"/>
              </w:rPr>
              <w:t>JANUARY 01, 2020</w:t>
            </w:r>
          </w:p>
        </w:tc>
      </w:tr>
      <w:tr>
        <w:trPr>
          <w:trHeight w:val="496"/>
        </w:trPr>
        <w:tc>
          <w:tcPr>
            <w:tcW w:w="1900" w:type="dxa"/>
            <w:vAlign w:val="bottom"/>
          </w:tcPr>
          <w:p>
            <w:pPr>
              <w:spacing w:after="0"/>
              <w:rPr>
                <w:sz w:val="20"/>
                <w:szCs w:val="20"/>
                <w:color w:val="auto"/>
              </w:rPr>
            </w:pPr>
            <w:r>
              <w:rPr>
                <w:rFonts w:ascii="Arial" w:cs="Arial" w:eastAsia="Arial" w:hAnsi="Arial"/>
                <w:sz w:val="17"/>
                <w:szCs w:val="17"/>
                <w:color w:val="1C1C1A"/>
              </w:rPr>
              <w:t xml:space="preserve">Effective </w:t>
            </w:r>
            <w:r>
              <w:rPr>
                <w:rFonts w:ascii="Arial" w:cs="Arial" w:eastAsia="Arial" w:hAnsi="Arial"/>
                <w:sz w:val="17"/>
                <w:szCs w:val="17"/>
                <w:color w:val="333331"/>
              </w:rPr>
              <w:t>Date</w:t>
            </w:r>
          </w:p>
        </w:tc>
        <w:tc>
          <w:tcPr>
            <w:tcW w:w="3700" w:type="dxa"/>
            <w:vAlign w:val="bottom"/>
          </w:tcPr>
          <w:p>
            <w:pPr>
              <w:ind w:left="480"/>
              <w:spacing w:after="0"/>
              <w:rPr>
                <w:sz w:val="20"/>
                <w:szCs w:val="20"/>
                <w:color w:val="auto"/>
              </w:rPr>
            </w:pPr>
            <w:r>
              <w:rPr>
                <w:rFonts w:ascii="Arial" w:cs="Arial" w:eastAsia="Arial" w:hAnsi="Arial"/>
                <w:sz w:val="17"/>
                <w:szCs w:val="17"/>
                <w:color w:val="333331"/>
              </w:rPr>
              <w:t>JANUARY 01, 2019</w:t>
            </w:r>
          </w:p>
        </w:tc>
        <w:tc>
          <w:tcPr>
            <w:tcW w:w="2440" w:type="dxa"/>
            <w:vAlign w:val="bottom"/>
          </w:tcPr>
          <w:p>
            <w:pPr>
              <w:spacing w:after="0"/>
              <w:rPr>
                <w:sz w:val="24"/>
                <w:szCs w:val="24"/>
                <w:color w:val="auto"/>
              </w:rPr>
            </w:pPr>
          </w:p>
        </w:tc>
      </w:tr>
      <w:tr>
        <w:trPr>
          <w:trHeight w:val="473"/>
        </w:trPr>
        <w:tc>
          <w:tcPr>
            <w:tcW w:w="1900" w:type="dxa"/>
            <w:vAlign w:val="bottom"/>
          </w:tcPr>
          <w:p>
            <w:pPr>
              <w:spacing w:after="0"/>
              <w:rPr>
                <w:sz w:val="20"/>
                <w:szCs w:val="20"/>
                <w:color w:val="auto"/>
              </w:rPr>
            </w:pPr>
            <w:r>
              <w:rPr>
                <w:rFonts w:ascii="Arial" w:cs="Arial" w:eastAsia="Arial" w:hAnsi="Arial"/>
                <w:sz w:val="17"/>
                <w:szCs w:val="17"/>
                <w:color w:val="333331"/>
              </w:rPr>
              <w:t>Policy Number</w:t>
            </w:r>
          </w:p>
        </w:tc>
        <w:tc>
          <w:tcPr>
            <w:tcW w:w="37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86"/>
        </w:trPr>
        <w:tc>
          <w:tcPr>
            <w:tcW w:w="1900" w:type="dxa"/>
            <w:vAlign w:val="bottom"/>
          </w:tcPr>
          <w:p>
            <w:pPr>
              <w:spacing w:after="0"/>
              <w:rPr>
                <w:sz w:val="20"/>
                <w:szCs w:val="20"/>
                <w:color w:val="auto"/>
              </w:rPr>
            </w:pPr>
            <w:r>
              <w:rPr>
                <w:rFonts w:ascii="Arial" w:cs="Arial" w:eastAsia="Arial" w:hAnsi="Arial"/>
                <w:sz w:val="17"/>
                <w:szCs w:val="17"/>
                <w:color w:val="333331"/>
              </w:rPr>
              <w:t>Insured</w:t>
            </w:r>
          </w:p>
        </w:tc>
        <w:tc>
          <w:tcPr>
            <w:tcW w:w="3700" w:type="dxa"/>
            <w:vAlign w:val="bottom"/>
          </w:tcPr>
          <w:p>
            <w:pPr>
              <w:ind w:left="480"/>
              <w:spacing w:after="0"/>
              <w:rPr>
                <w:sz w:val="20"/>
                <w:szCs w:val="20"/>
                <w:color w:val="auto"/>
              </w:rPr>
            </w:pPr>
            <w:r>
              <w:rPr>
                <w:rFonts w:ascii="Arial" w:cs="Arial" w:eastAsia="Arial" w:hAnsi="Arial"/>
                <w:sz w:val="17"/>
                <w:szCs w:val="17"/>
                <w:color w:val="333331"/>
              </w:rPr>
              <w:t>BOOZ ALLEN HAMILTON INC</w:t>
            </w:r>
          </w:p>
        </w:tc>
        <w:tc>
          <w:tcPr>
            <w:tcW w:w="2440" w:type="dxa"/>
            <w:vAlign w:val="bottom"/>
          </w:tcPr>
          <w:p>
            <w:pPr>
              <w:spacing w:after="0"/>
              <w:rPr>
                <w:sz w:val="24"/>
                <w:szCs w:val="24"/>
                <w:color w:val="auto"/>
              </w:rPr>
            </w:pPr>
          </w:p>
        </w:tc>
      </w:tr>
      <w:tr>
        <w:trPr>
          <w:trHeight w:val="486"/>
        </w:trPr>
        <w:tc>
          <w:tcPr>
            <w:tcW w:w="19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Arial" w:cs="Arial" w:eastAsia="Arial" w:hAnsi="Arial"/>
                <w:sz w:val="17"/>
                <w:szCs w:val="17"/>
                <w:color w:val="333331"/>
              </w:rPr>
              <w:t>Group Personal Excess Program</w:t>
            </w:r>
          </w:p>
        </w:tc>
        <w:tc>
          <w:tcPr>
            <w:tcW w:w="2440" w:type="dxa"/>
            <w:vAlign w:val="bottom"/>
          </w:tcPr>
          <w:p>
            <w:pPr>
              <w:spacing w:after="0"/>
              <w:rPr>
                <w:sz w:val="24"/>
                <w:szCs w:val="24"/>
                <w:color w:val="auto"/>
              </w:rPr>
            </w:pPr>
          </w:p>
        </w:tc>
      </w:tr>
      <w:tr>
        <w:trPr>
          <w:trHeight w:val="824"/>
        </w:trPr>
        <w:tc>
          <w:tcPr>
            <w:tcW w:w="1900" w:type="dxa"/>
            <w:vAlign w:val="bottom"/>
          </w:tcPr>
          <w:p>
            <w:pPr>
              <w:spacing w:after="0"/>
              <w:rPr>
                <w:sz w:val="20"/>
                <w:szCs w:val="20"/>
                <w:color w:val="auto"/>
              </w:rPr>
            </w:pPr>
            <w:r>
              <w:rPr>
                <w:rFonts w:ascii="Arial" w:cs="Arial" w:eastAsia="Arial" w:hAnsi="Arial"/>
                <w:sz w:val="17"/>
                <w:szCs w:val="17"/>
                <w:color w:val="333331"/>
              </w:rPr>
              <w:t>Name of Company</w:t>
            </w:r>
          </w:p>
        </w:tc>
        <w:tc>
          <w:tcPr>
            <w:tcW w:w="3700" w:type="dxa"/>
            <w:vAlign w:val="bottom"/>
          </w:tcPr>
          <w:p>
            <w:pPr>
              <w:ind w:left="480"/>
              <w:spacing w:after="0"/>
              <w:rPr>
                <w:sz w:val="20"/>
                <w:szCs w:val="20"/>
                <w:color w:val="auto"/>
              </w:rPr>
            </w:pPr>
            <w:r>
              <w:rPr>
                <w:rFonts w:ascii="Arial" w:cs="Arial" w:eastAsia="Arial" w:hAnsi="Arial"/>
                <w:sz w:val="17"/>
                <w:szCs w:val="17"/>
                <w:color w:val="1C1C1A"/>
              </w:rPr>
              <w:t xml:space="preserve">FEDERAL </w:t>
            </w:r>
            <w:r>
              <w:rPr>
                <w:rFonts w:ascii="Arial" w:cs="Arial" w:eastAsia="Arial" w:hAnsi="Arial"/>
                <w:sz w:val="17"/>
                <w:szCs w:val="17"/>
                <w:color w:val="333331"/>
              </w:rPr>
              <w:t>INSURANCE COMPANY</w:t>
            </w:r>
          </w:p>
        </w:tc>
        <w:tc>
          <w:tcPr>
            <w:tcW w:w="2440" w:type="dxa"/>
            <w:vAlign w:val="bottom"/>
          </w:tcPr>
          <w:p>
            <w:pPr>
              <w:spacing w:after="0"/>
              <w:rPr>
                <w:sz w:val="24"/>
                <w:szCs w:val="24"/>
                <w:color w:val="auto"/>
              </w:rPr>
            </w:pPr>
          </w:p>
        </w:tc>
      </w:tr>
      <w:tr>
        <w:trPr>
          <w:trHeight w:val="284"/>
        </w:trPr>
        <w:tc>
          <w:tcPr>
            <w:tcW w:w="1900" w:type="dxa"/>
            <w:vAlign w:val="bottom"/>
          </w:tcPr>
          <w:p>
            <w:pPr>
              <w:spacing w:after="0"/>
              <w:rPr>
                <w:sz w:val="20"/>
                <w:szCs w:val="20"/>
                <w:color w:val="auto"/>
              </w:rPr>
            </w:pPr>
            <w:r>
              <w:rPr>
                <w:rFonts w:ascii="Arial" w:cs="Arial" w:eastAsia="Arial" w:hAnsi="Arial"/>
                <w:sz w:val="17"/>
                <w:szCs w:val="17"/>
                <w:color w:val="333331"/>
              </w:rPr>
              <w:t>Date Issued</w:t>
            </w:r>
          </w:p>
        </w:tc>
        <w:tc>
          <w:tcPr>
            <w:tcW w:w="3700" w:type="dxa"/>
            <w:vAlign w:val="bottom"/>
          </w:tcPr>
          <w:p>
            <w:pPr>
              <w:ind w:left="480"/>
              <w:spacing w:after="0"/>
              <w:rPr>
                <w:sz w:val="20"/>
                <w:szCs w:val="20"/>
                <w:color w:val="auto"/>
              </w:rPr>
            </w:pPr>
            <w:r>
              <w:rPr>
                <w:rFonts w:ascii="Arial" w:cs="Arial" w:eastAsia="Arial" w:hAnsi="Arial"/>
                <w:sz w:val="17"/>
                <w:szCs w:val="17"/>
                <w:color w:val="333331"/>
              </w:rPr>
              <w:t>DECEMBER 31, 2018</w:t>
            </w:r>
          </w:p>
        </w:tc>
        <w:tc>
          <w:tcPr>
            <w:tcW w:w="2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1125855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20"/>
        <w:spacing w:after="0"/>
        <w:rPr>
          <w:sz w:val="20"/>
          <w:szCs w:val="20"/>
          <w:color w:val="auto"/>
        </w:rPr>
      </w:pPr>
      <w:r>
        <w:rPr>
          <w:rFonts w:ascii="Arial" w:cs="Arial" w:eastAsia="Arial" w:hAnsi="Arial"/>
          <w:sz w:val="20"/>
          <w:szCs w:val="20"/>
          <w:color w:val="31312F"/>
        </w:rPr>
        <w:t>UNDERLYING LIMITS ENDORSEMENT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20"/>
          <w:szCs w:val="20"/>
          <w:color w:val="41413F"/>
        </w:rPr>
        <w:t xml:space="preserve">IT </w:t>
      </w:r>
      <w:r>
        <w:rPr>
          <w:rFonts w:ascii="Arial" w:cs="Arial" w:eastAsia="Arial" w:hAnsi="Arial"/>
          <w:sz w:val="20"/>
          <w:szCs w:val="20"/>
          <w:color w:val="31312F"/>
        </w:rPr>
        <w:t>IS HEREBY UNDERSTOOD AND AGREED THAT THE REQUIRED PRIMARY UNDERLYING</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20"/>
          <w:szCs w:val="20"/>
          <w:color w:val="31312F"/>
        </w:rPr>
        <w:t>LIABILITY INSURANCE LIMITS ARE AMENDED TO:</w:t>
      </w:r>
    </w:p>
    <w:p>
      <w:pPr>
        <w:spacing w:after="0" w:line="167" w:lineRule="exact"/>
        <w:rPr>
          <w:sz w:val="20"/>
          <w:szCs w:val="20"/>
          <w:color w:val="auto"/>
        </w:rPr>
      </w:pPr>
    </w:p>
    <w:p>
      <w:pPr>
        <w:ind w:left="1060" w:right="340" w:hanging="26"/>
        <w:spacing w:after="0" w:line="276" w:lineRule="auto"/>
        <w:rPr>
          <w:sz w:val="20"/>
          <w:szCs w:val="20"/>
          <w:color w:val="auto"/>
        </w:rPr>
      </w:pPr>
      <w:r>
        <w:rPr>
          <w:rFonts w:ascii="Arial" w:cs="Arial" w:eastAsia="Arial" w:hAnsi="Arial"/>
          <w:sz w:val="19"/>
          <w:szCs w:val="19"/>
          <w:color w:val="31312F"/>
        </w:rPr>
        <w:t xml:space="preserve">Personal Liability (Homeowners) for personal injury and property damage in </w:t>
      </w:r>
      <w:r>
        <w:rPr>
          <w:rFonts w:ascii="Arial" w:cs="Arial" w:eastAsia="Arial" w:hAnsi="Arial"/>
          <w:sz w:val="19"/>
          <w:szCs w:val="19"/>
          <w:color w:val="41413F"/>
        </w:rPr>
        <w:t>the</w:t>
      </w:r>
      <w:r>
        <w:rPr>
          <w:rFonts w:ascii="Arial" w:cs="Arial" w:eastAsia="Arial" w:hAnsi="Arial"/>
          <w:sz w:val="19"/>
          <w:szCs w:val="19"/>
          <w:color w:val="31312F"/>
        </w:rPr>
        <w:t xml:space="preserve"> minimum amount of $300,000 each occurrence.</w:t>
      </w:r>
    </w:p>
    <w:p>
      <w:pPr>
        <w:spacing w:after="0" w:line="132" w:lineRule="exact"/>
        <w:rPr>
          <w:sz w:val="20"/>
          <w:szCs w:val="20"/>
          <w:color w:val="auto"/>
        </w:rPr>
      </w:pPr>
    </w:p>
    <w:p>
      <w:pPr>
        <w:ind w:left="1040"/>
        <w:spacing w:after="0"/>
        <w:rPr>
          <w:sz w:val="20"/>
          <w:szCs w:val="20"/>
          <w:color w:val="auto"/>
        </w:rPr>
      </w:pPr>
      <w:r>
        <w:rPr>
          <w:rFonts w:ascii="Arial" w:cs="Arial" w:eastAsia="Arial" w:hAnsi="Arial"/>
          <w:sz w:val="19"/>
          <w:szCs w:val="19"/>
          <w:color w:val="31312F"/>
        </w:rPr>
        <w:t xml:space="preserve">Registered </w:t>
      </w:r>
      <w:r>
        <w:rPr>
          <w:rFonts w:ascii="Arial" w:cs="Arial" w:eastAsia="Arial" w:hAnsi="Arial"/>
          <w:sz w:val="19"/>
          <w:szCs w:val="19"/>
          <w:color w:val="41413F"/>
        </w:rPr>
        <w:t>vehicles</w:t>
      </w:r>
      <w:r>
        <w:rPr>
          <w:rFonts w:ascii="Arial" w:cs="Arial" w:eastAsia="Arial" w:hAnsi="Arial"/>
          <w:sz w:val="19"/>
          <w:szCs w:val="19"/>
          <w:color w:val="31312F"/>
        </w:rPr>
        <w:t xml:space="preserve"> in the minimum amount of:</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9"/>
          <w:szCs w:val="19"/>
          <w:color w:val="31312F"/>
        </w:rPr>
        <w:t xml:space="preserve">$250,000/$500,000 bodily injury </w:t>
      </w:r>
      <w:r>
        <w:rPr>
          <w:rFonts w:ascii="Arial" w:cs="Arial" w:eastAsia="Arial" w:hAnsi="Arial"/>
          <w:sz w:val="19"/>
          <w:szCs w:val="19"/>
          <w:color w:val="41413F"/>
        </w:rPr>
        <w:t>and</w:t>
      </w:r>
      <w:r>
        <w:rPr>
          <w:rFonts w:ascii="Arial" w:cs="Arial" w:eastAsia="Arial" w:hAnsi="Arial"/>
          <w:sz w:val="19"/>
          <w:szCs w:val="19"/>
          <w:color w:val="31312F"/>
        </w:rPr>
        <w:t xml:space="preserve"> $100,000 property damage;</w:t>
      </w:r>
    </w:p>
    <w:p>
      <w:pPr>
        <w:spacing w:after="0" w:line="25" w:lineRule="exact"/>
        <w:rPr>
          <w:sz w:val="20"/>
          <w:szCs w:val="20"/>
          <w:color w:val="auto"/>
        </w:rPr>
      </w:pPr>
    </w:p>
    <w:p>
      <w:pPr>
        <w:ind w:left="1260" w:right="3820"/>
        <w:spacing w:after="0" w:line="291" w:lineRule="auto"/>
        <w:rPr>
          <w:sz w:val="20"/>
          <w:szCs w:val="20"/>
          <w:color w:val="auto"/>
        </w:rPr>
      </w:pPr>
      <w:r>
        <w:rPr>
          <w:rFonts w:ascii="Arial" w:cs="Arial" w:eastAsia="Arial" w:hAnsi="Arial"/>
          <w:sz w:val="19"/>
          <w:szCs w:val="19"/>
          <w:color w:val="31312F"/>
        </w:rPr>
        <w:t>$300,000/$300,000 bodily injury and $100,000 property damage; or $300,000 single limit each occurrence.</w:t>
      </w:r>
    </w:p>
    <w:p>
      <w:pPr>
        <w:spacing w:after="0" w:line="105" w:lineRule="exact"/>
        <w:rPr>
          <w:sz w:val="20"/>
          <w:szCs w:val="20"/>
          <w:color w:val="auto"/>
        </w:rPr>
      </w:pPr>
    </w:p>
    <w:p>
      <w:pPr>
        <w:ind w:left="1060"/>
        <w:spacing w:after="0"/>
        <w:rPr>
          <w:sz w:val="20"/>
          <w:szCs w:val="20"/>
          <w:color w:val="auto"/>
        </w:rPr>
      </w:pPr>
      <w:r>
        <w:rPr>
          <w:rFonts w:ascii="Arial" w:cs="Arial" w:eastAsia="Arial" w:hAnsi="Arial"/>
          <w:sz w:val="18"/>
          <w:szCs w:val="18"/>
          <w:color w:val="31312F"/>
        </w:rPr>
        <w:t xml:space="preserve">Unregistered </w:t>
      </w:r>
      <w:r>
        <w:rPr>
          <w:rFonts w:ascii="Arial" w:cs="Arial" w:eastAsia="Arial" w:hAnsi="Arial"/>
          <w:sz w:val="18"/>
          <w:szCs w:val="18"/>
          <w:color w:val="41413F"/>
        </w:rPr>
        <w:t>vehicles</w:t>
      </w:r>
      <w:r>
        <w:rPr>
          <w:rFonts w:ascii="Arial" w:cs="Arial" w:eastAsia="Arial" w:hAnsi="Arial"/>
          <w:sz w:val="18"/>
          <w:szCs w:val="18"/>
          <w:color w:val="31312F"/>
        </w:rPr>
        <w:t xml:space="preserve"> in the minimum amount of $300,000 bodily injury and property damage each </w:t>
      </w:r>
      <w:r>
        <w:rPr>
          <w:rFonts w:ascii="Arial" w:cs="Arial" w:eastAsia="Arial" w:hAnsi="Arial"/>
          <w:sz w:val="18"/>
          <w:szCs w:val="18"/>
          <w:color w:val="41413F"/>
        </w:rPr>
        <w:t>occurrence</w:t>
      </w:r>
      <w:r>
        <w:rPr>
          <w:rFonts w:ascii="Arial" w:cs="Arial" w:eastAsia="Arial" w:hAnsi="Arial"/>
          <w:sz w:val="18"/>
          <w:szCs w:val="18"/>
          <w:color w:val="626260"/>
        </w:rPr>
        <w: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9"/>
          <w:szCs w:val="19"/>
          <w:color w:val="31312F"/>
        </w:rPr>
        <w:t xml:space="preserve">Registered </w:t>
      </w:r>
      <w:r>
        <w:rPr>
          <w:rFonts w:ascii="Arial" w:cs="Arial" w:eastAsia="Arial" w:hAnsi="Arial"/>
          <w:sz w:val="19"/>
          <w:szCs w:val="19"/>
          <w:color w:val="41413F"/>
        </w:rPr>
        <w:t>vehicles with</w:t>
      </w:r>
      <w:r>
        <w:rPr>
          <w:rFonts w:ascii="Arial" w:cs="Arial" w:eastAsia="Arial" w:hAnsi="Arial"/>
          <w:sz w:val="19"/>
          <w:szCs w:val="19"/>
          <w:color w:val="31312F"/>
        </w:rPr>
        <w:t xml:space="preserve"> less than four wheels and motorhomes </w:t>
      </w:r>
      <w:r>
        <w:rPr>
          <w:rFonts w:ascii="Arial" w:cs="Arial" w:eastAsia="Arial" w:hAnsi="Arial"/>
          <w:sz w:val="19"/>
          <w:szCs w:val="19"/>
          <w:color w:val="41413F"/>
        </w:rPr>
        <w:t>in</w:t>
      </w:r>
      <w:r>
        <w:rPr>
          <w:rFonts w:ascii="Arial" w:cs="Arial" w:eastAsia="Arial" w:hAnsi="Arial"/>
          <w:sz w:val="19"/>
          <w:szCs w:val="19"/>
          <w:color w:val="31312F"/>
        </w:rPr>
        <w:t xml:space="preserve"> the minimum amount of:</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9"/>
          <w:szCs w:val="19"/>
          <w:color w:val="31312F"/>
        </w:rPr>
        <w:t>$250,000/$500,000 bodily injury and $100,000 property damage;</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9"/>
          <w:szCs w:val="19"/>
          <w:color w:val="31312F"/>
        </w:rPr>
        <w:t xml:space="preserve">$300,000/$300,000 bodily injury and $100,000 property damage; </w:t>
      </w:r>
      <w:r>
        <w:rPr>
          <w:rFonts w:ascii="Arial" w:cs="Arial" w:eastAsia="Arial" w:hAnsi="Arial"/>
          <w:sz w:val="19"/>
          <w:szCs w:val="19"/>
          <w:color w:val="41413F"/>
        </w:rPr>
        <w:t>or</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0220"/>
          </w:cols>
          <w:pgMar w:left="1440" w:top="757" w:right="239" w:bottom="1440" w:gutter="0" w:footer="0" w:header="0"/>
        </w:sectPr>
      </w:pPr>
    </w:p>
    <w:bookmarkStart w:id="167" w:name="page168"/>
    <w:bookmarkEnd w:id="167"/>
    <w:p>
      <w:pPr>
        <w:ind w:left="1260"/>
        <w:spacing w:after="0"/>
        <w:rPr>
          <w:sz w:val="20"/>
          <w:szCs w:val="20"/>
          <w:color w:val="auto"/>
        </w:rPr>
      </w:pPr>
      <w:r>
        <w:rPr>
          <w:rFonts w:ascii="Arial" w:cs="Arial" w:eastAsia="Arial" w:hAnsi="Arial"/>
          <w:sz w:val="19"/>
          <w:szCs w:val="19"/>
          <w:color w:val="31312F"/>
        </w:rPr>
        <w:t xml:space="preserve">$300,000 single </w:t>
      </w:r>
      <w:r>
        <w:rPr>
          <w:rFonts w:ascii="Arial" w:cs="Arial" w:eastAsia="Arial" w:hAnsi="Arial"/>
          <w:sz w:val="19"/>
          <w:szCs w:val="19"/>
          <w:color w:val="41413F"/>
        </w:rPr>
        <w:t>limit</w:t>
      </w:r>
      <w:r>
        <w:rPr>
          <w:rFonts w:ascii="Arial" w:cs="Arial" w:eastAsia="Arial" w:hAnsi="Arial"/>
          <w:sz w:val="19"/>
          <w:szCs w:val="19"/>
          <w:color w:val="31312F"/>
        </w:rPr>
        <w:t xml:space="preserve"> each </w:t>
      </w:r>
      <w:r>
        <w:rPr>
          <w:rFonts w:ascii="Arial" w:cs="Arial" w:eastAsia="Arial" w:hAnsi="Arial"/>
          <w:sz w:val="19"/>
          <w:szCs w:val="19"/>
          <w:color w:val="41413F"/>
        </w:rPr>
        <w:t>occurrence</w:t>
      </w:r>
      <w:r>
        <w:rPr>
          <w:rFonts w:ascii="Arial" w:cs="Arial" w:eastAsia="Arial" w:hAnsi="Arial"/>
          <w:sz w:val="19"/>
          <w:szCs w:val="19"/>
          <w:color w:val="626260"/>
        </w:rPr>
        <w:t>.</w:t>
      </w:r>
    </w:p>
    <w:p>
      <w:pPr>
        <w:spacing w:after="0" w:line="187" w:lineRule="exact"/>
        <w:rPr>
          <w:sz w:val="20"/>
          <w:szCs w:val="20"/>
          <w:color w:val="auto"/>
        </w:rPr>
      </w:pPr>
    </w:p>
    <w:p>
      <w:pPr>
        <w:ind w:left="1080" w:right="180"/>
        <w:spacing w:after="0" w:line="291" w:lineRule="auto"/>
        <w:rPr>
          <w:sz w:val="20"/>
          <w:szCs w:val="20"/>
          <w:color w:val="auto"/>
        </w:rPr>
      </w:pPr>
      <w:r>
        <w:rPr>
          <w:rFonts w:ascii="Arial" w:cs="Arial" w:eastAsia="Arial" w:hAnsi="Arial"/>
          <w:sz w:val="19"/>
          <w:szCs w:val="19"/>
          <w:color w:val="41413F"/>
        </w:rPr>
        <w:t xml:space="preserve">Watercraft </w:t>
      </w:r>
      <w:r>
        <w:rPr>
          <w:rFonts w:ascii="Arial" w:cs="Arial" w:eastAsia="Arial" w:hAnsi="Arial"/>
          <w:sz w:val="19"/>
          <w:szCs w:val="19"/>
          <w:color w:val="31312F"/>
        </w:rPr>
        <w:t>less than 26 feet and 50</w:t>
      </w:r>
      <w:r>
        <w:rPr>
          <w:rFonts w:ascii="Arial" w:cs="Arial" w:eastAsia="Arial" w:hAnsi="Arial"/>
          <w:sz w:val="19"/>
          <w:szCs w:val="19"/>
          <w:color w:val="41413F"/>
        </w:rPr>
        <w:t xml:space="preserve"> engine </w:t>
      </w:r>
      <w:r>
        <w:rPr>
          <w:rFonts w:ascii="Arial" w:cs="Arial" w:eastAsia="Arial" w:hAnsi="Arial"/>
          <w:sz w:val="19"/>
          <w:szCs w:val="19"/>
          <w:color w:val="31312F"/>
        </w:rPr>
        <w:t>rated horsepower</w:t>
      </w:r>
      <w:r>
        <w:rPr>
          <w:rFonts w:ascii="Arial" w:cs="Arial" w:eastAsia="Arial" w:hAnsi="Arial"/>
          <w:sz w:val="19"/>
          <w:szCs w:val="19"/>
          <w:color w:val="41413F"/>
        </w:rPr>
        <w:t xml:space="preserve"> or </w:t>
      </w:r>
      <w:r>
        <w:rPr>
          <w:rFonts w:ascii="Arial" w:cs="Arial" w:eastAsia="Arial" w:hAnsi="Arial"/>
          <w:sz w:val="19"/>
          <w:szCs w:val="19"/>
          <w:color w:val="31312F"/>
        </w:rPr>
        <w:t>less for bodily injury and property damage in the</w:t>
      </w:r>
      <w:r>
        <w:rPr>
          <w:rFonts w:ascii="Arial" w:cs="Arial" w:eastAsia="Arial" w:hAnsi="Arial"/>
          <w:sz w:val="19"/>
          <w:szCs w:val="19"/>
          <w:color w:val="41413F"/>
        </w:rPr>
        <w:t xml:space="preserve"> </w:t>
      </w:r>
      <w:r>
        <w:rPr>
          <w:rFonts w:ascii="Arial" w:cs="Arial" w:eastAsia="Arial" w:hAnsi="Arial"/>
          <w:sz w:val="19"/>
          <w:szCs w:val="19"/>
          <w:color w:val="31312F"/>
        </w:rPr>
        <w:t xml:space="preserve">minimum amount of </w:t>
      </w:r>
      <w:r>
        <w:rPr>
          <w:rFonts w:ascii="Arial" w:cs="Arial" w:eastAsia="Arial" w:hAnsi="Arial"/>
          <w:sz w:val="19"/>
          <w:szCs w:val="19"/>
          <w:color w:val="41413F"/>
        </w:rPr>
        <w:t>$300,000</w:t>
      </w:r>
      <w:r>
        <w:rPr>
          <w:rFonts w:ascii="Arial" w:cs="Arial" w:eastAsia="Arial" w:hAnsi="Arial"/>
          <w:sz w:val="19"/>
          <w:szCs w:val="19"/>
          <w:color w:val="31312F"/>
        </w:rPr>
        <w:t xml:space="preserve"> each occurrence.</w:t>
      </w:r>
    </w:p>
    <w:p>
      <w:pPr>
        <w:spacing w:after="0" w:line="91" w:lineRule="exact"/>
        <w:rPr>
          <w:sz w:val="20"/>
          <w:szCs w:val="20"/>
          <w:color w:val="auto"/>
        </w:rPr>
      </w:pPr>
    </w:p>
    <w:p>
      <w:pPr>
        <w:ind w:left="1080"/>
        <w:spacing w:after="0" w:line="281" w:lineRule="auto"/>
        <w:rPr>
          <w:sz w:val="20"/>
          <w:szCs w:val="20"/>
          <w:color w:val="auto"/>
        </w:rPr>
      </w:pPr>
      <w:r>
        <w:rPr>
          <w:rFonts w:ascii="Arial" w:cs="Arial" w:eastAsia="Arial" w:hAnsi="Arial"/>
          <w:sz w:val="19"/>
          <w:szCs w:val="19"/>
          <w:color w:val="31312F"/>
        </w:rPr>
        <w:t xml:space="preserve">Watercraft 26 feet or longer </w:t>
      </w:r>
      <w:r>
        <w:rPr>
          <w:rFonts w:ascii="Arial" w:cs="Arial" w:eastAsia="Arial" w:hAnsi="Arial"/>
          <w:sz w:val="19"/>
          <w:szCs w:val="19"/>
          <w:color w:val="41413F"/>
        </w:rPr>
        <w:t>or</w:t>
      </w:r>
      <w:r>
        <w:rPr>
          <w:rFonts w:ascii="Arial" w:cs="Arial" w:eastAsia="Arial" w:hAnsi="Arial"/>
          <w:sz w:val="19"/>
          <w:szCs w:val="19"/>
          <w:color w:val="31312F"/>
        </w:rPr>
        <w:t xml:space="preserve"> more than 50 engine rated horsepower for bodily injury and property damage in the minimum amount of</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9"/>
          <w:szCs w:val="19"/>
          <w:color w:val="31312F"/>
        </w:rPr>
        <w:t>$500,000 each occurrence.</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19"/>
          <w:szCs w:val="19"/>
          <w:color w:val="31312F"/>
        </w:rPr>
        <w:t xml:space="preserve">Uninsured motorists </w:t>
      </w:r>
      <w:r>
        <w:rPr>
          <w:rFonts w:ascii="Arial" w:cs="Arial" w:eastAsia="Arial" w:hAnsi="Arial"/>
          <w:sz w:val="19"/>
          <w:szCs w:val="19"/>
          <w:color w:val="41413F"/>
        </w:rPr>
        <w:t>/underinsured</w:t>
      </w:r>
      <w:r>
        <w:rPr>
          <w:rFonts w:ascii="Arial" w:cs="Arial" w:eastAsia="Arial" w:hAnsi="Arial"/>
          <w:sz w:val="19"/>
          <w:szCs w:val="19"/>
          <w:color w:val="31312F"/>
        </w:rPr>
        <w:t xml:space="preserve"> motorist protection in the minimum amount of:</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19"/>
          <w:szCs w:val="19"/>
          <w:color w:val="31312F"/>
        </w:rPr>
        <w:t xml:space="preserve">$250,000/$500,000 bodily </w:t>
      </w:r>
      <w:r>
        <w:rPr>
          <w:rFonts w:ascii="Arial" w:cs="Arial" w:eastAsia="Arial" w:hAnsi="Arial"/>
          <w:sz w:val="19"/>
          <w:szCs w:val="19"/>
          <w:color w:val="41413F"/>
        </w:rPr>
        <w:t>injury</w:t>
      </w:r>
      <w:r>
        <w:rPr>
          <w:rFonts w:ascii="Arial" w:cs="Arial" w:eastAsia="Arial" w:hAnsi="Arial"/>
          <w:sz w:val="19"/>
          <w:szCs w:val="19"/>
          <w:color w:val="31312F"/>
        </w:rPr>
        <w:t xml:space="preserve"> and $100,000 property damage;</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9"/>
          <w:szCs w:val="19"/>
          <w:color w:val="31312F"/>
        </w:rPr>
        <w:t>$300,000/$300,000 bodily injury and $100,000 property damage; or</w:t>
      </w:r>
    </w:p>
    <w:p>
      <w:pPr>
        <w:sectPr>
          <w:pgSz w:w="11900" w:h="16838" w:orient="portrait"/>
          <w:cols w:equalWidth="0" w:num="1">
            <w:col w:w="9740"/>
          </w:cols>
          <w:pgMar w:left="1440" w:top="590" w:right="719" w:bottom="1440" w:gutter="0" w:footer="0" w:header="0"/>
        </w:sectPr>
      </w:pPr>
    </w:p>
    <w:bookmarkStart w:id="168" w:name="page169"/>
    <w:bookmarkEnd w:id="168"/>
    <w:p>
      <w:pPr>
        <w:ind w:left="2500"/>
        <w:spacing w:after="0"/>
        <w:rPr>
          <w:sz w:val="20"/>
          <w:szCs w:val="20"/>
          <w:color w:val="auto"/>
        </w:rPr>
      </w:pPr>
      <w:r>
        <w:rPr>
          <w:rFonts w:ascii="Arial" w:cs="Arial" w:eastAsia="Arial" w:hAnsi="Arial"/>
          <w:sz w:val="19"/>
          <w:szCs w:val="19"/>
          <w:color w:val="383836"/>
        </w:rPr>
        <w:t>$</w:t>
      </w:r>
      <w:r>
        <w:rPr>
          <w:rFonts w:ascii="Arial" w:cs="Arial" w:eastAsia="Arial" w:hAnsi="Arial"/>
          <w:sz w:val="19"/>
          <w:szCs w:val="19"/>
          <w:color w:val="31312F"/>
        </w:rPr>
        <w:t>300,000</w:t>
      </w:r>
      <w:r>
        <w:rPr>
          <w:rFonts w:ascii="Arial" w:cs="Arial" w:eastAsia="Arial" w:hAnsi="Arial"/>
          <w:sz w:val="19"/>
          <w:szCs w:val="19"/>
          <w:color w:val="383836"/>
        </w:rPr>
        <w:t xml:space="preserve"> </w:t>
      </w:r>
      <w:r>
        <w:rPr>
          <w:rFonts w:ascii="Arial" w:cs="Arial" w:eastAsia="Arial" w:hAnsi="Arial"/>
          <w:sz w:val="18"/>
          <w:szCs w:val="18"/>
          <w:color w:val="383836"/>
        </w:rPr>
        <w:t>single</w:t>
      </w:r>
      <w:r>
        <w:rPr>
          <w:rFonts w:ascii="Arial" w:cs="Arial" w:eastAsia="Arial" w:hAnsi="Arial"/>
          <w:sz w:val="19"/>
          <w:szCs w:val="19"/>
          <w:color w:val="383836"/>
        </w:rPr>
        <w:t xml:space="preserve"> </w:t>
      </w:r>
      <w:r>
        <w:rPr>
          <w:rFonts w:ascii="Arial" w:cs="Arial" w:eastAsia="Arial" w:hAnsi="Arial"/>
          <w:sz w:val="18"/>
          <w:szCs w:val="18"/>
          <w:color w:val="494946"/>
        </w:rPr>
        <w:t>limit each occurrence</w:t>
      </w:r>
      <w:r>
        <w:rPr>
          <w:rFonts w:ascii="Arial" w:cs="Arial" w:eastAsia="Arial" w:hAnsi="Arial"/>
          <w:sz w:val="18"/>
          <w:szCs w:val="18"/>
          <w:color w:val="676664"/>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40" w:right="740"/>
        <w:spacing w:after="0" w:line="261" w:lineRule="auto"/>
        <w:rPr>
          <w:sz w:val="20"/>
          <w:szCs w:val="20"/>
          <w:color w:val="auto"/>
        </w:rPr>
      </w:pPr>
      <w:r>
        <w:rPr>
          <w:rFonts w:ascii="Arial" w:cs="Arial" w:eastAsia="Arial" w:hAnsi="Arial"/>
          <w:sz w:val="19"/>
          <w:szCs w:val="19"/>
          <w:color w:val="494946"/>
        </w:rPr>
        <w:t xml:space="preserve">FAILURE TO COMPLY </w:t>
      </w:r>
      <w:r>
        <w:rPr>
          <w:rFonts w:ascii="Arial" w:cs="Arial" w:eastAsia="Arial" w:hAnsi="Arial"/>
          <w:sz w:val="19"/>
          <w:szCs w:val="19"/>
          <w:color w:val="383836"/>
        </w:rPr>
        <w:t>WITH</w:t>
      </w:r>
      <w:r>
        <w:rPr>
          <w:rFonts w:ascii="Arial" w:cs="Arial" w:eastAsia="Arial" w:hAnsi="Arial"/>
          <w:sz w:val="19"/>
          <w:szCs w:val="19"/>
          <w:color w:val="494946"/>
        </w:rPr>
        <w:t xml:space="preserve"> THE </w:t>
      </w:r>
      <w:r>
        <w:rPr>
          <w:rFonts w:ascii="Arial" w:cs="Arial" w:eastAsia="Arial" w:hAnsi="Arial"/>
          <w:sz w:val="19"/>
          <w:szCs w:val="19"/>
          <w:color w:val="383836"/>
        </w:rPr>
        <w:t>REQUIRED</w:t>
      </w:r>
      <w:r>
        <w:rPr>
          <w:rFonts w:ascii="Arial" w:cs="Arial" w:eastAsia="Arial" w:hAnsi="Arial"/>
          <w:sz w:val="19"/>
          <w:szCs w:val="19"/>
          <w:color w:val="494946"/>
        </w:rPr>
        <w:t xml:space="preserve"> PRIMARY </w:t>
      </w:r>
      <w:r>
        <w:rPr>
          <w:rFonts w:ascii="Arial" w:cs="Arial" w:eastAsia="Arial" w:hAnsi="Arial"/>
          <w:sz w:val="19"/>
          <w:szCs w:val="19"/>
          <w:color w:val="383836"/>
        </w:rPr>
        <w:t>UNDERLYING INSURANCE WILL RESULT</w:t>
      </w:r>
      <w:r>
        <w:rPr>
          <w:rFonts w:ascii="Arial" w:cs="Arial" w:eastAsia="Arial" w:hAnsi="Arial"/>
          <w:sz w:val="19"/>
          <w:szCs w:val="19"/>
          <w:color w:val="494946"/>
        </w:rPr>
        <w:t xml:space="preserve"> IN </w:t>
      </w:r>
      <w:r>
        <w:rPr>
          <w:rFonts w:ascii="Arial" w:cs="Arial" w:eastAsia="Arial" w:hAnsi="Arial"/>
          <w:sz w:val="19"/>
          <w:szCs w:val="19"/>
          <w:color w:val="383836"/>
        </w:rPr>
        <w:t>A GAP IN</w:t>
      </w:r>
      <w:r>
        <w:rPr>
          <w:rFonts w:ascii="Arial" w:cs="Arial" w:eastAsia="Arial" w:hAnsi="Arial"/>
          <w:sz w:val="19"/>
          <w:szCs w:val="19"/>
          <w:color w:val="494946"/>
        </w:rPr>
        <w:t xml:space="preserve"> </w:t>
      </w:r>
      <w:r>
        <w:rPr>
          <w:rFonts w:ascii="Arial" w:cs="Arial" w:eastAsia="Arial" w:hAnsi="Arial"/>
          <w:sz w:val="19"/>
          <w:szCs w:val="19"/>
          <w:color w:val="383836"/>
        </w:rPr>
        <w:t>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520"/>
        <w:spacing w:after="0"/>
        <w:rPr>
          <w:sz w:val="20"/>
          <w:szCs w:val="20"/>
          <w:color w:val="auto"/>
        </w:rPr>
      </w:pPr>
      <w:r>
        <w:rPr>
          <w:rFonts w:ascii="Arial" w:cs="Arial" w:eastAsia="Arial" w:hAnsi="Arial"/>
          <w:sz w:val="17"/>
          <w:szCs w:val="17"/>
          <w:color w:val="383836"/>
        </w:rPr>
        <w:t>ALL OTHER TERMS AND CONDITIONS REMAIN UNCHANGED</w:t>
      </w:r>
      <w:r>
        <w:rPr>
          <w:rFonts w:ascii="Arial" w:cs="Arial" w:eastAsia="Arial" w:hAnsi="Arial"/>
          <w:sz w:val="17"/>
          <w:szCs w:val="17"/>
          <w:color w:val="605E5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179705</wp:posOffset>
            </wp:positionV>
            <wp:extent cx="1406525" cy="2832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6">
                      <a:extLst>
                        <a:ext uri="{28A0092B-C50C-407E-A947-70E740481C1C}"/>
                      </a:extLst>
                    </a:blip>
                    <a:srcRect/>
                    <a:stretch>
                      <a:fillRect/>
                    </a:stretch>
                  </pic:blipFill>
                  <pic:spPr bwMode="auto">
                    <a:xfrm>
                      <a:off x="0" y="0"/>
                      <a:ext cx="1406525" cy="28321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i w:val="1"/>
          <w:iCs w:val="1"/>
          <w:color w:val="484846"/>
        </w:rPr>
        <w:t xml:space="preserve">Authorized </w:t>
      </w:r>
      <w:r>
        <w:rPr>
          <w:rFonts w:ascii="Arial" w:cs="Arial" w:eastAsia="Arial" w:hAnsi="Arial"/>
          <w:sz w:val="16"/>
          <w:szCs w:val="16"/>
          <w:i w:val="1"/>
          <w:iCs w:val="1"/>
          <w:color w:val="383836"/>
        </w:rPr>
        <w:t>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269240</wp:posOffset>
            </wp:positionV>
            <wp:extent cx="6637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7">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60" w:top="603"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color w:val="auto"/>
        </w:rPr>
        <w:t>Exhibit 10.58</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EQUITY INCENTIVE PLAN 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BOOZ ALLEN HAMILTON HOLDING CORPORATION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NOTICE</w:t>
      </w:r>
    </w:p>
    <w:p>
      <w:pPr>
        <w:spacing w:after="0" w:line="200" w:lineRule="exact"/>
        <w:rPr>
          <w:sz w:val="20"/>
          <w:szCs w:val="20"/>
          <w:color w:val="auto"/>
        </w:rPr>
      </w:pPr>
    </w:p>
    <w:p>
      <w:pPr>
        <w:spacing w:after="0" w:line="242"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9"/>
          <w:szCs w:val="19"/>
          <w:color w:val="auto"/>
        </w:rPr>
        <w:t>Unless otherwise defined herein, the terms defined in the Second Amended and Restated Equity Incentive Plan of Booz Allen Holding Corporation (the “</w:t>
      </w:r>
      <w:r>
        <w:rPr>
          <w:rFonts w:ascii="Arial" w:cs="Arial" w:eastAsia="Arial" w:hAnsi="Arial"/>
          <w:sz w:val="19"/>
          <w:szCs w:val="19"/>
          <w:u w:val="single" w:color="auto"/>
          <w:color w:val="auto"/>
        </w:rPr>
        <w:t>Plan</w:t>
      </w:r>
      <w:r>
        <w:rPr>
          <w:rFonts w:ascii="Arial" w:cs="Arial" w:eastAsia="Arial" w:hAnsi="Arial"/>
          <w:sz w:val="19"/>
          <w:szCs w:val="19"/>
          <w:color w:val="auto"/>
        </w:rPr>
        <w:t>”) shall have the same defined meanings in this Restricted Stock Unit Agreement, which includes the terms in this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attached hereto (collectively,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350" w:lineRule="exact"/>
        <w:rPr>
          <w:sz w:val="20"/>
          <w:szCs w:val="20"/>
          <w:color w:val="auto"/>
        </w:rPr>
      </w:pPr>
    </w:p>
    <w:p>
      <w:pPr>
        <w:ind w:right="620" w:firstLine="648"/>
        <w:spacing w:after="0" w:line="253" w:lineRule="auto"/>
        <w:rPr>
          <w:sz w:val="20"/>
          <w:szCs w:val="20"/>
          <w:color w:val="auto"/>
        </w:rPr>
      </w:pPr>
      <w:r>
        <w:rPr>
          <w:rFonts w:ascii="Arial" w:cs="Arial" w:eastAsia="Arial" w:hAnsi="Arial"/>
          <w:sz w:val="22"/>
          <w:szCs w:val="22"/>
          <w:color w:val="auto"/>
        </w:rPr>
        <w:t>You have been granted restricted stock units, subject to the terms and conditions of the Plan and this Agreement in an amount and vesting schedule as delivered and made available to you by the Company, which shall be deemed part of and incorporated by reference into this Grant Notice.</w:t>
      </w:r>
    </w:p>
    <w:p>
      <w:pPr>
        <w:spacing w:after="0" w:line="200" w:lineRule="exact"/>
        <w:rPr>
          <w:sz w:val="20"/>
          <w:szCs w:val="20"/>
          <w:color w:val="auto"/>
        </w:rPr>
      </w:pPr>
    </w:p>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9"/>
          <w:szCs w:val="19"/>
          <w:color w:val="auto"/>
        </w:rPr>
        <w:t xml:space="preserve">Your acceptance of this grant indicates your agreement and understanding that the Restricted Stock Units granted herein are subject to all of the terms and conditions contained in the Agreement and the Plan. </w:t>
      </w:r>
      <w:r>
        <w:rPr>
          <w:rFonts w:ascii="Arial" w:cs="Arial" w:eastAsia="Arial" w:hAnsi="Arial"/>
          <w:sz w:val="19"/>
          <w:szCs w:val="19"/>
          <w:b w:val="1"/>
          <w:bCs w:val="1"/>
          <w:color w:val="auto"/>
        </w:rPr>
        <w:t>ACCORDINGLY, PLEASE BE SURE TO</w:t>
      </w:r>
    </w:p>
    <w:p>
      <w:pPr>
        <w:spacing w:after="0" w:line="1"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b w:val="1"/>
          <w:bCs w:val="1"/>
          <w:color w:val="auto"/>
        </w:rPr>
        <w:t>READ ALL OF THE PLAN AND APPENDIX A, WHICH CONTAIN THE SPECIFIC TERMS AND CONDITIONS OF THE RESTRICTED STOCK UNITS.</w:t>
      </w:r>
    </w:p>
    <w:p>
      <w:pPr>
        <w:spacing w:after="0" w:line="200" w:lineRule="exact"/>
        <w:rPr>
          <w:sz w:val="20"/>
          <w:szCs w:val="20"/>
          <w:color w:val="auto"/>
        </w:rPr>
      </w:pPr>
    </w:p>
    <w:p>
      <w:pPr>
        <w:spacing w:after="0" w:line="209"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In order to view the grant details and to accept this grant, please go to Fidelity NetBenefits at www.netbenefits.com and follow the instructions regarding this grant.</w:t>
      </w:r>
    </w:p>
    <w:p>
      <w:pPr>
        <w:sectPr>
          <w:pgSz w:w="11900" w:h="16838" w:orient="portrait"/>
          <w:cols w:equalWidth="0" w:num="1">
            <w:col w:w="11420"/>
          </w:cols>
          <w:pgMar w:left="240" w:top="132"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b w:val="1"/>
          <w:bCs w:val="1"/>
          <w:color w:val="auto"/>
        </w:rPr>
        <w:t>APPENDIX A TO RESTRICTED STOCK UNIT AGREEMENT</w:t>
      </w:r>
    </w:p>
    <w:p>
      <w:pPr>
        <w:spacing w:after="0" w:line="200" w:lineRule="exact"/>
        <w:rPr>
          <w:sz w:val="20"/>
          <w:szCs w:val="20"/>
          <w:color w:val="auto"/>
        </w:rPr>
      </w:pPr>
    </w:p>
    <w:p>
      <w:pPr>
        <w:spacing w:after="0" w:line="242" w:lineRule="exact"/>
        <w:rPr>
          <w:sz w:val="20"/>
          <w:szCs w:val="20"/>
          <w:color w:val="auto"/>
        </w:rPr>
      </w:pPr>
    </w:p>
    <w:p>
      <w:pPr>
        <w:jc w:val="both"/>
        <w:ind w:left="-40" w:right="80" w:firstLine="656"/>
        <w:spacing w:after="0" w:line="297" w:lineRule="auto"/>
        <w:tabs>
          <w:tab w:leader="none" w:pos="950"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Subject to the terms, conditions, and restrictions set forth in this Agreement (including the Grant Notice made available to you by the Company) and in the Plan, the Company hereby evidences and confirms its grant to the Participant, effective as of the Grant Date, of the number of restricted stock units specified in the Grant Notice (the “</w:t>
      </w:r>
      <w:r>
        <w:rPr>
          <w:rFonts w:ascii="Arial" w:cs="Arial" w:eastAsia="Arial" w:hAnsi="Arial"/>
          <w:sz w:val="19"/>
          <w:szCs w:val="19"/>
          <w:u w:val="single" w:color="auto"/>
          <w:color w:val="auto"/>
        </w:rPr>
        <w:t>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Stock Units</w:t>
      </w:r>
      <w:r>
        <w:rPr>
          <w:rFonts w:ascii="Arial" w:cs="Arial" w:eastAsia="Arial" w:hAnsi="Arial"/>
          <w:sz w:val="19"/>
          <w:szCs w:val="19"/>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w:t>
      </w:r>
    </w:p>
    <w:p>
      <w:pPr>
        <w:spacing w:after="0" w:line="363" w:lineRule="exact"/>
        <w:rPr>
          <w:rFonts w:ascii="Arial" w:cs="Arial" w:eastAsia="Arial" w:hAnsi="Arial"/>
          <w:sz w:val="19"/>
          <w:szCs w:val="19"/>
          <w:color w:val="auto"/>
        </w:rPr>
      </w:pPr>
    </w:p>
    <w:p>
      <w:pPr>
        <w:ind w:left="960" w:hanging="344"/>
        <w:spacing w:after="0"/>
        <w:tabs>
          <w:tab w:leader="none" w:pos="96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40" w:firstLine="656"/>
        <w:spacing w:after="0" w:line="260" w:lineRule="auto"/>
        <w:tabs>
          <w:tab w:leader="none" w:pos="1028"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Except as otherwise provided in this Section 2, the Restricted Stock Units shall become vested, in the amount(s), and on the vesting date(s) set forth in the Grant Notice (each, a “</w:t>
      </w:r>
      <w:r>
        <w:rPr>
          <w:rFonts w:ascii="Arial" w:cs="Arial" w:eastAsia="Arial" w:hAnsi="Arial"/>
          <w:sz w:val="22"/>
          <w:szCs w:val="22"/>
          <w:u w:val="single" w:color="auto"/>
          <w:color w:val="auto"/>
        </w:rPr>
        <w:t>Vesting Date</w:t>
      </w:r>
      <w:r>
        <w:rPr>
          <w:rFonts w:ascii="Arial" w:cs="Arial" w:eastAsia="Arial" w:hAnsi="Arial"/>
          <w:sz w:val="22"/>
          <w:szCs w:val="22"/>
          <w:color w:val="auto"/>
        </w:rPr>
        <w:t>”), subject to the continued employment of the Participant by the Company or any Subsidiary thereof through such date.</w:t>
      </w:r>
    </w:p>
    <w:p>
      <w:pPr>
        <w:spacing w:after="0" w:line="393" w:lineRule="exact"/>
        <w:rPr>
          <w:rFonts w:ascii="Arial" w:cs="Arial" w:eastAsia="Arial" w:hAnsi="Arial"/>
          <w:sz w:val="22"/>
          <w:szCs w:val="22"/>
          <w:color w:val="auto"/>
        </w:rPr>
      </w:pPr>
    </w:p>
    <w:p>
      <w:pPr>
        <w:ind w:left="1040" w:hanging="424"/>
        <w:spacing w:after="0"/>
        <w:tabs>
          <w:tab w:leader="none" w:pos="104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40" w:right="20" w:firstLine="1305"/>
        <w:spacing w:after="0" w:line="276" w:lineRule="auto"/>
        <w:tabs>
          <w:tab w:leader="none" w:pos="1640" w:val="left"/>
        </w:tabs>
        <w:numPr>
          <w:ilvl w:val="1"/>
          <w:numId w:val="127"/>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If a Participant’s employment or service terminates due to the Participant’s death, all unvested Restricted Stock Units shall immediately vest.</w:t>
      </w:r>
    </w:p>
    <w:p>
      <w:pPr>
        <w:spacing w:after="0" w:line="377" w:lineRule="exact"/>
        <w:rPr>
          <w:rFonts w:ascii="Arial" w:cs="Arial" w:eastAsia="Arial" w:hAnsi="Arial"/>
          <w:sz w:val="22"/>
          <w:szCs w:val="22"/>
          <w:color w:val="auto"/>
        </w:rPr>
      </w:pPr>
    </w:p>
    <w:p>
      <w:pPr>
        <w:ind w:left="-40" w:right="520" w:firstLine="1305"/>
        <w:spacing w:after="0" w:line="260" w:lineRule="auto"/>
        <w:tabs>
          <w:tab w:leader="none" w:pos="1701" w:val="left"/>
        </w:tabs>
        <w:numPr>
          <w:ilvl w:val="1"/>
          <w:numId w:val="127"/>
        </w:numPr>
        <w:rPr>
          <w:rFonts w:ascii="Arial" w:cs="Arial" w:eastAsia="Arial" w:hAnsi="Arial"/>
          <w:sz w:val="22"/>
          <w:szCs w:val="22"/>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If a Participant’s employment or service terminates due to Disability, all unvested Restricted Stock Units shall not be forfeited upon such termination and shall continue to vest in accordance with the schedule provided in Section 2(a).</w:t>
      </w:r>
    </w:p>
    <w:p>
      <w:pPr>
        <w:spacing w:after="0" w:line="393" w:lineRule="exact"/>
        <w:rPr>
          <w:rFonts w:ascii="Arial" w:cs="Arial" w:eastAsia="Arial" w:hAnsi="Arial"/>
          <w:sz w:val="22"/>
          <w:szCs w:val="22"/>
          <w:color w:val="auto"/>
        </w:rPr>
      </w:pPr>
    </w:p>
    <w:p>
      <w:pPr>
        <w:ind w:left="-40" w:right="60" w:firstLine="1305"/>
        <w:spacing w:after="0" w:line="297" w:lineRule="auto"/>
        <w:tabs>
          <w:tab w:leader="none" w:pos="1760" w:val="left"/>
        </w:tabs>
        <w:numPr>
          <w:ilvl w:val="1"/>
          <w:numId w:val="127"/>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a Company Approved Departure</w:t>
      </w:r>
      <w:r>
        <w:rPr>
          <w:rFonts w:ascii="Arial" w:cs="Arial" w:eastAsia="Arial" w:hAnsi="Arial"/>
          <w:sz w:val="19"/>
          <w:szCs w:val="19"/>
          <w:color w:val="auto"/>
        </w:rPr>
        <w:t>. If a Participant’s employment or service terminates in a Company Approved Departure (as defined below), all unvested Restricted Stock Units shall not be forfeited upon such termination and shall continue to vest in accordance with the schedule as set forth in the Grant Notice. “</w:t>
      </w:r>
      <w:r>
        <w:rPr>
          <w:rFonts w:ascii="Arial" w:cs="Arial" w:eastAsia="Arial" w:hAnsi="Arial"/>
          <w:sz w:val="19"/>
          <w:szCs w:val="19"/>
          <w:u w:val="single" w:color="auto"/>
          <w:color w:val="auto"/>
        </w:rPr>
        <w:t>Company Approved</w:t>
      </w:r>
      <w:r>
        <w:rPr>
          <w:rFonts w:ascii="Arial" w:cs="Arial" w:eastAsia="Arial" w:hAnsi="Arial"/>
          <w:sz w:val="19"/>
          <w:szCs w:val="19"/>
          <w:color w:val="auto"/>
        </w:rPr>
        <w:t xml:space="preserve"> </w:t>
      </w:r>
      <w:r>
        <w:rPr>
          <w:rFonts w:ascii="Arial" w:cs="Arial" w:eastAsia="Arial" w:hAnsi="Arial"/>
          <w:sz w:val="19"/>
          <w:szCs w:val="19"/>
          <w:u w:val="single" w:color="auto"/>
          <w:color w:val="auto"/>
        </w:rPr>
        <w:t>Departure</w:t>
      </w:r>
      <w:r>
        <w:rPr>
          <w:rFonts w:ascii="Arial" w:cs="Arial" w:eastAsia="Arial" w:hAnsi="Arial"/>
          <w:sz w:val="19"/>
          <w:szCs w:val="19"/>
          <w:color w:val="auto"/>
        </w:rPr>
        <w:t>” shall mean a termination of employment that the Company (through the members of its senior management), in its sole discretion, determines to be in the best interest of the Company and the Company’s approval of such termination as a Company Approved Departure is approved or ratified by the Board or the Administrator.</w:t>
      </w:r>
    </w:p>
    <w:p>
      <w:pPr>
        <w:spacing w:after="0" w:line="363" w:lineRule="exact"/>
        <w:rPr>
          <w:rFonts w:ascii="Arial" w:cs="Arial" w:eastAsia="Arial" w:hAnsi="Arial"/>
          <w:sz w:val="19"/>
          <w:szCs w:val="19"/>
          <w:color w:val="auto"/>
        </w:rPr>
      </w:pPr>
    </w:p>
    <w:p>
      <w:pPr>
        <w:ind w:left="-40" w:right="100" w:firstLine="1305"/>
        <w:spacing w:after="0" w:line="250" w:lineRule="auto"/>
        <w:tabs>
          <w:tab w:leader="none" w:pos="1748" w:val="left"/>
        </w:tabs>
        <w:numPr>
          <w:ilvl w:val="1"/>
          <w:numId w:val="127"/>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twelve (12)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40"/>
          </w:cols>
          <w:pgMar w:left="280" w:top="1098" w:right="27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accrued due to the sale of Company Common Stock issued in settlement of any Restricted Stock Units.</w:t>
      </w:r>
    </w:p>
    <w:p>
      <w:pPr>
        <w:spacing w:after="0" w:line="200" w:lineRule="exact"/>
        <w:rPr>
          <w:sz w:val="20"/>
          <w:szCs w:val="20"/>
          <w:color w:val="auto"/>
        </w:rPr>
      </w:pPr>
    </w:p>
    <w:p>
      <w:pPr>
        <w:spacing w:after="0" w:line="236" w:lineRule="exact"/>
        <w:rPr>
          <w:sz w:val="20"/>
          <w:szCs w:val="20"/>
          <w:color w:val="auto"/>
        </w:rPr>
      </w:pPr>
    </w:p>
    <w:p>
      <w:pPr>
        <w:jc w:val="both"/>
        <w:ind w:right="20" w:firstLine="1305"/>
        <w:spacing w:after="0" w:line="260" w:lineRule="auto"/>
        <w:tabs>
          <w:tab w:leader="none" w:pos="1728" w:val="left"/>
        </w:tabs>
        <w:numPr>
          <w:ilvl w:val="1"/>
          <w:numId w:val="128"/>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w:t>
      </w:r>
      <w:r>
        <w:rPr>
          <w:rFonts w:ascii="Arial" w:cs="Arial" w:eastAsia="Arial" w:hAnsi="Arial"/>
          <w:sz w:val="22"/>
          <w:szCs w:val="22"/>
          <w:color w:val="auto"/>
        </w:rPr>
        <w:t>. If a Participant’s employment is terminated for any reason other than death, Disability, in a Company Approved Departure or by the Company for Cause, all unvested Restricted Stock Units shall immediately be forfeited.</w:t>
      </w:r>
    </w:p>
    <w:p>
      <w:pPr>
        <w:spacing w:after="0" w:line="393" w:lineRule="exact"/>
        <w:rPr>
          <w:rFonts w:ascii="Arial" w:cs="Arial" w:eastAsia="Arial" w:hAnsi="Arial"/>
          <w:sz w:val="22"/>
          <w:szCs w:val="22"/>
          <w:color w:val="auto"/>
        </w:rPr>
      </w:pPr>
    </w:p>
    <w:p>
      <w:pPr>
        <w:ind w:right="60" w:firstLine="656"/>
        <w:spacing w:after="0" w:line="276" w:lineRule="auto"/>
        <w:tabs>
          <w:tab w:leader="none" w:pos="1068"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Change in Control, then the Restricted Stock Units shall vest or continue and shall have such treatment, as set forth in the Plan.</w:t>
      </w:r>
    </w:p>
    <w:p>
      <w:pPr>
        <w:spacing w:after="0" w:line="377" w:lineRule="exact"/>
        <w:rPr>
          <w:rFonts w:ascii="Arial" w:cs="Arial" w:eastAsia="Arial" w:hAnsi="Arial"/>
          <w:sz w:val="22"/>
          <w:szCs w:val="22"/>
          <w:color w:val="auto"/>
        </w:rPr>
      </w:pPr>
    </w:p>
    <w:p>
      <w:pPr>
        <w:ind w:right="280" w:firstLine="656"/>
        <w:spacing w:after="0" w:line="250" w:lineRule="auto"/>
        <w:tabs>
          <w:tab w:leader="none" w:pos="108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Other Forfeiture Provisions</w:t>
      </w:r>
      <w:r>
        <w:rPr>
          <w:rFonts w:ascii="Arial" w:cs="Arial" w:eastAsia="Arial" w:hAnsi="Arial"/>
          <w:sz w:val="22"/>
          <w:szCs w:val="22"/>
          <w:color w:val="auto"/>
        </w:rPr>
        <w:t>. The Restricted Stock Units shall also be forfeited and subject to disgorgement and/or repayment to the Company in the event the Participant (</w:t>
      </w:r>
      <w:r>
        <w:rPr>
          <w:rFonts w:ascii="Arial" w:cs="Arial" w:eastAsia="Arial" w:hAnsi="Arial"/>
          <w:sz w:val="22"/>
          <w:szCs w:val="22"/>
          <w:u w:val="single" w:color="auto"/>
          <w:color w:val="auto"/>
        </w:rPr>
        <w:t>i</w:t>
      </w:r>
      <w:r>
        <w:rPr>
          <w:rFonts w:ascii="Arial" w:cs="Arial" w:eastAsia="Arial" w:hAnsi="Arial"/>
          <w:sz w:val="22"/>
          <w:szCs w:val="22"/>
          <w:color w:val="auto"/>
        </w:rPr>
        <w:t>) engages in financial or other misconduct (including but not limited to engaging in Competitive Activity (excluding, only of if the Participant is located in California, clause (a) of the definition of Competitive Activity contained in the Plan)) or as required by Applicable Law, as provided in the Plan or (</w:t>
      </w:r>
      <w:r>
        <w:rPr>
          <w:rFonts w:ascii="Arial" w:cs="Arial" w:eastAsia="Arial" w:hAnsi="Arial"/>
          <w:sz w:val="22"/>
          <w:szCs w:val="22"/>
          <w:u w:val="single" w:color="auto"/>
          <w:color w:val="auto"/>
        </w:rPr>
        <w:t>ii</w:t>
      </w:r>
      <w:r>
        <w:rPr>
          <w:rFonts w:ascii="Arial" w:cs="Arial" w:eastAsia="Arial" w:hAnsi="Arial"/>
          <w:sz w:val="22"/>
          <w:szCs w:val="22"/>
          <w:color w:val="auto"/>
        </w:rPr>
        <w:t>) materially violates any restrictive covenant agreement (or any other agreement containing restrictive covenants) that the Participant has entered into with the Company.</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firstLine="656"/>
        <w:spacing w:after="0" w:line="251" w:lineRule="auto"/>
        <w:tabs>
          <w:tab w:leader="none" w:pos="1068"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Administrator Discretion</w:t>
      </w:r>
      <w:r>
        <w:rPr>
          <w:rFonts w:ascii="Arial" w:cs="Arial" w:eastAsia="Arial" w:hAnsi="Arial"/>
          <w:sz w:val="22"/>
          <w:szCs w:val="22"/>
          <w:color w:val="auto"/>
        </w:rPr>
        <w:t>. Notwithstanding anything contained in this Agreement to the contrary, subject to Article XIII of the Plan, the Administrator, in its sole discretion, may waive forfeiture provisions or accelerate the vesting with respect to any Restricted Stock Units under this Agreement, at such times and upon such terms and conditions as the Administrator shall determine; provided, however, that such waiver or acceleration of vesting shall not change the settlement date of the Restricted Stock Units provided in Section 3 of this Agreement.</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140" w:firstLine="656"/>
        <w:spacing w:after="0" w:line="290" w:lineRule="auto"/>
        <w:tabs>
          <w:tab w:leader="none" w:pos="1044"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Post-Termination Informational Requirements</w:t>
      </w:r>
      <w:r>
        <w:rPr>
          <w:rFonts w:ascii="Arial" w:cs="Arial" w:eastAsia="Arial" w:hAnsi="Arial"/>
          <w:sz w:val="19"/>
          <w:szCs w:val="19"/>
          <w:color w:val="auto"/>
        </w:rPr>
        <w:t>. Before the settlement of any Restricted Stock Units following termination of employment or service, the Company may require the Participant (or the Participant’s Eligible Representative, if applicable) to make such representations and provide such documents as the Administrator deems necessary or advisable to determine whether the provisions of Section 2(b)(iv) or 2(d) apply. Such representations and documents may include tax returns and all other relevant information and records from which the Company can determine the current or former employment status of the Participant during the vesting period. Notwithstanding anything in this Agreement to the contrary, the settlement of the Restricted Stock Units may be withheld until information deemed sufficient by the Company is delivered to it, and any unvested Restricted Stock Units shall be forfeited if the requested information is not provided in sufficient detail to the Company before the earlier of (</w:t>
      </w:r>
      <w:r>
        <w:rPr>
          <w:rFonts w:ascii="Arial" w:cs="Arial" w:eastAsia="Arial" w:hAnsi="Arial"/>
          <w:sz w:val="19"/>
          <w:szCs w:val="19"/>
          <w:u w:val="single" w:color="auto"/>
          <w:color w:val="auto"/>
        </w:rPr>
        <w:t>i</w:t>
      </w:r>
      <w:r>
        <w:rPr>
          <w:rFonts w:ascii="Arial" w:cs="Arial" w:eastAsia="Arial" w:hAnsi="Arial"/>
          <w:sz w:val="19"/>
          <w:szCs w:val="19"/>
          <w:color w:val="auto"/>
        </w:rPr>
        <w:t>) ninety (90) calendar days after the issue of a request from the Company for such information and (</w:t>
      </w:r>
      <w:r>
        <w:rPr>
          <w:rFonts w:ascii="Arial" w:cs="Arial" w:eastAsia="Arial" w:hAnsi="Arial"/>
          <w:sz w:val="19"/>
          <w:szCs w:val="19"/>
          <w:u w:val="single" w:color="auto"/>
          <w:color w:val="auto"/>
        </w:rPr>
        <w:t>ii</w:t>
      </w:r>
      <w:r>
        <w:rPr>
          <w:rFonts w:ascii="Arial" w:cs="Arial" w:eastAsia="Arial" w:hAnsi="Arial"/>
          <w:sz w:val="19"/>
          <w:szCs w:val="19"/>
          <w:color w:val="auto"/>
        </w:rPr>
        <w:t>) December 31 of the calendar year in which the applicable Vesting Date occurs.</w:t>
      </w:r>
    </w:p>
    <w:p>
      <w:pPr>
        <w:spacing w:after="0" w:line="372" w:lineRule="exact"/>
        <w:rPr>
          <w:sz w:val="20"/>
          <w:szCs w:val="20"/>
          <w:color w:val="auto"/>
        </w:rPr>
      </w:pPr>
    </w:p>
    <w:p>
      <w:pPr>
        <w:ind w:right="360" w:firstLine="656"/>
        <w:spacing w:after="0" w:line="266" w:lineRule="auto"/>
        <w:tabs>
          <w:tab w:leader="none" w:pos="990"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Settlement of Restricted Stock Units</w:t>
      </w:r>
      <w:r>
        <w:rPr>
          <w:rFonts w:ascii="Arial" w:cs="Arial" w:eastAsia="Arial" w:hAnsi="Arial"/>
          <w:sz w:val="21"/>
          <w:szCs w:val="21"/>
          <w:color w:val="auto"/>
        </w:rPr>
        <w:t>. Subject to Section 8(d) and Section 2(f), the Company shall deliver to the Participant one share of Company Common Stock (or the value thereof) in settlement of each outstanding Restricted Stock Unit that has vested as provided in Section 2(a) on the first to occur of (</w:t>
      </w:r>
      <w:r>
        <w:rPr>
          <w:rFonts w:ascii="Arial" w:cs="Arial" w:eastAsia="Arial" w:hAnsi="Arial"/>
          <w:sz w:val="21"/>
          <w:szCs w:val="21"/>
          <w:u w:val="single" w:color="auto"/>
          <w:color w:val="auto"/>
        </w:rPr>
        <w:t>i</w:t>
      </w:r>
      <w:r>
        <w:rPr>
          <w:rFonts w:ascii="Arial" w:cs="Arial" w:eastAsia="Arial" w:hAnsi="Arial"/>
          <w:sz w:val="21"/>
          <w:szCs w:val="21"/>
          <w:color w:val="auto"/>
        </w:rPr>
        <w:t>) the Vesting Date (or within 30 days thereafter), (</w:t>
      </w:r>
      <w:r>
        <w:rPr>
          <w:rFonts w:ascii="Arial" w:cs="Arial" w:eastAsia="Arial" w:hAnsi="Arial"/>
          <w:sz w:val="21"/>
          <w:szCs w:val="21"/>
          <w:u w:val="single" w:color="auto"/>
          <w:color w:val="auto"/>
        </w:rPr>
        <w:t>iii</w:t>
      </w:r>
      <w:r>
        <w:rPr>
          <w:rFonts w:ascii="Arial" w:cs="Arial" w:eastAsia="Arial" w:hAnsi="Arial"/>
          <w:sz w:val="21"/>
          <w:szCs w:val="21"/>
          <w:color w:val="auto"/>
        </w:rPr>
        <w:t>) in the event of a termination of employment or service due to death, as soon as practicable following the Participant’s termination of employment or service by reason of death or (i</w:t>
      </w:r>
      <w:r>
        <w:rPr>
          <w:rFonts w:ascii="Arial" w:cs="Arial" w:eastAsia="Arial" w:hAnsi="Arial"/>
          <w:sz w:val="21"/>
          <w:szCs w:val="21"/>
          <w:u w:val="single" w:color="auto"/>
          <w:color w:val="auto"/>
        </w:rPr>
        <w:t>ii</w:t>
      </w:r>
      <w:r>
        <w:rPr>
          <w:rFonts w:ascii="Arial" w:cs="Arial" w:eastAsia="Arial" w:hAnsi="Arial"/>
          <w:sz w:val="21"/>
          <w:szCs w:val="21"/>
          <w:color w:val="auto"/>
        </w:rPr>
        <w:t>) a Change in</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847" w:right="239" w:bottom="1440" w:gutter="0" w:footer="0" w:header="0"/>
        </w:sectPr>
      </w:pPr>
    </w:p>
    <w:bookmarkStart w:id="172" w:name="page173"/>
    <w:bookmarkEnd w:id="172"/>
    <w:p>
      <w:pPr>
        <w:spacing w:after="0" w:line="260" w:lineRule="auto"/>
        <w:rPr>
          <w:sz w:val="20"/>
          <w:szCs w:val="20"/>
          <w:color w:val="auto"/>
        </w:rPr>
      </w:pPr>
      <w:r>
        <w:rPr>
          <w:rFonts w:ascii="Arial" w:cs="Arial" w:eastAsia="Arial" w:hAnsi="Arial"/>
          <w:sz w:val="21"/>
          <w:szCs w:val="21"/>
          <w:color w:val="auto"/>
        </w:rPr>
        <w:t>Control in which the Restricted Stock Units do not continue, in each case (</w:t>
      </w:r>
      <w:r>
        <w:rPr>
          <w:rFonts w:ascii="Arial" w:cs="Arial" w:eastAsia="Arial" w:hAnsi="Arial"/>
          <w:sz w:val="21"/>
          <w:szCs w:val="21"/>
          <w:u w:val="single" w:color="auto"/>
          <w:color w:val="auto"/>
        </w:rPr>
        <w:t>A</w:t>
      </w:r>
      <w:r>
        <w:rPr>
          <w:rFonts w:ascii="Arial" w:cs="Arial" w:eastAsia="Arial" w:hAnsi="Arial"/>
          <w:sz w:val="21"/>
          <w:szCs w:val="21"/>
          <w:color w:val="auto"/>
        </w:rPr>
        <w:t>) in Company Common Stock by either, (</w:t>
      </w:r>
      <w:r>
        <w:rPr>
          <w:rFonts w:ascii="Arial" w:cs="Arial" w:eastAsia="Arial" w:hAnsi="Arial"/>
          <w:sz w:val="21"/>
          <w:szCs w:val="21"/>
          <w:u w:val="single" w:color="auto"/>
          <w:color w:val="auto"/>
        </w:rPr>
        <w:t>x</w:t>
      </w:r>
      <w:r>
        <w:rPr>
          <w:rFonts w:ascii="Arial" w:cs="Arial" w:eastAsia="Arial" w:hAnsi="Arial"/>
          <w:sz w:val="21"/>
          <w:szCs w:val="21"/>
          <w:color w:val="auto"/>
        </w:rPr>
        <w:t>) issuing one or more certificates evidencing the Company Common Stock to the Participant or (</w:t>
      </w:r>
      <w:r>
        <w:rPr>
          <w:rFonts w:ascii="Arial" w:cs="Arial" w:eastAsia="Arial" w:hAnsi="Arial"/>
          <w:sz w:val="21"/>
          <w:szCs w:val="21"/>
          <w:u w:val="single" w:color="auto"/>
          <w:color w:val="auto"/>
        </w:rPr>
        <w:t>y</w:t>
      </w:r>
      <w:r>
        <w:rPr>
          <w:rFonts w:ascii="Arial" w:cs="Arial" w:eastAsia="Arial" w:hAnsi="Arial"/>
          <w:sz w:val="21"/>
          <w:szCs w:val="21"/>
          <w:color w:val="auto"/>
        </w:rPr>
        <w:t>) registering the issuance of the Company Common Stock in the name of the Participant through a book entry credit in the records of the Company’s transfer agent, or (</w:t>
      </w:r>
      <w:r>
        <w:rPr>
          <w:rFonts w:ascii="Arial" w:cs="Arial" w:eastAsia="Arial" w:hAnsi="Arial"/>
          <w:sz w:val="21"/>
          <w:szCs w:val="21"/>
          <w:u w:val="single" w:color="auto"/>
          <w:color w:val="auto"/>
        </w:rPr>
        <w:t>B</w:t>
      </w:r>
      <w:r>
        <w:rPr>
          <w:rFonts w:ascii="Arial" w:cs="Arial" w:eastAsia="Arial" w:hAnsi="Arial"/>
          <w:sz w:val="21"/>
          <w:szCs w:val="21"/>
          <w:color w:val="auto"/>
        </w:rPr>
        <w:t>) in the event of settlement upon a Change in Control, a cash payment equal to the Change in Control Price, multiplied by the number of vested Restricted Stock Units). No fractional shares of Company Common Stock shall be issued in settlement of Restricted Stock Units. Fractional Restricted Stock Units shall be settled through a cash payment equal to the Fair Market Value of the Company Common Stock on the settlement date.</w:t>
      </w:r>
    </w:p>
    <w:p>
      <w:pPr>
        <w:spacing w:after="0" w:line="397" w:lineRule="exact"/>
        <w:rPr>
          <w:sz w:val="20"/>
          <w:szCs w:val="20"/>
          <w:color w:val="auto"/>
        </w:rPr>
      </w:pPr>
    </w:p>
    <w:p>
      <w:pPr>
        <w:ind w:right="100" w:firstLine="656"/>
        <w:spacing w:after="0" w:line="297" w:lineRule="auto"/>
        <w:tabs>
          <w:tab w:leader="none" w:pos="990"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Securities Law Compliance</w:t>
      </w:r>
      <w:r>
        <w:rPr>
          <w:rFonts w:ascii="Arial" w:cs="Arial" w:eastAsia="Arial" w:hAnsi="Arial"/>
          <w:sz w:val="19"/>
          <w:szCs w:val="19"/>
          <w:color w:val="auto"/>
        </w:rPr>
        <w:t>. Notwithstanding any other provision of this Agreement, the Participant may not sell the shares of Company Common Stock acquired upon vesting of the Restricted Stock Units unless such shares are registered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Company Common Stock if the Company determines that such sale would not be in material compliance with such laws and regulations.</w:t>
      </w:r>
    </w:p>
    <w:p>
      <w:pPr>
        <w:spacing w:after="0" w:line="363" w:lineRule="exact"/>
        <w:rPr>
          <w:rFonts w:ascii="Arial" w:cs="Arial" w:eastAsia="Arial" w:hAnsi="Arial"/>
          <w:sz w:val="19"/>
          <w:szCs w:val="19"/>
          <w:color w:val="auto"/>
        </w:rPr>
      </w:pPr>
    </w:p>
    <w:p>
      <w:pPr>
        <w:ind w:left="1000" w:hanging="344"/>
        <w:spacing w:after="0"/>
        <w:tabs>
          <w:tab w:leader="none" w:pos="100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Participant’s Rights with Respect to the Restricted Stock Units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right="20" w:firstLine="656"/>
        <w:spacing w:after="0" w:line="297" w:lineRule="auto"/>
        <w:tabs>
          <w:tab w:leader="none" w:pos="1068"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Restrictions on Transferability</w:t>
      </w:r>
      <w:r>
        <w:rPr>
          <w:rFonts w:ascii="Arial" w:cs="Arial" w:eastAsia="Arial" w:hAnsi="Arial"/>
          <w:sz w:val="19"/>
          <w:szCs w:val="19"/>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363" w:lineRule="exact"/>
        <w:rPr>
          <w:rFonts w:ascii="Arial" w:cs="Arial" w:eastAsia="Arial" w:hAnsi="Arial"/>
          <w:sz w:val="19"/>
          <w:szCs w:val="19"/>
          <w:color w:val="auto"/>
        </w:rPr>
      </w:pPr>
    </w:p>
    <w:p>
      <w:pPr>
        <w:ind w:right="120" w:firstLine="656"/>
        <w:spacing w:after="0" w:line="254" w:lineRule="auto"/>
        <w:tabs>
          <w:tab w:leader="none" w:pos="108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No Rights as Stockholder</w:t>
      </w:r>
      <w:r>
        <w:rPr>
          <w:rFonts w:ascii="Arial" w:cs="Arial" w:eastAsia="Arial" w:hAnsi="Arial"/>
          <w:sz w:val="22"/>
          <w:szCs w:val="22"/>
          <w:color w:val="auto"/>
        </w:rPr>
        <w:t>. The Participant shall not have any rights as a stockholder including any voting, dividend or other rights or privileges as a stockholder of the Company with respect to any Company Common Stock corresponding to the Restricted Stock Units granted hereby unless and until shares of Company Common Stock are issued to the Participant in respect thereof.</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180" w:firstLine="656"/>
        <w:spacing w:after="0" w:line="266" w:lineRule="auto"/>
        <w:tabs>
          <w:tab w:leader="none" w:pos="1068"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The Participant shall be credited with Dividend Equivalents in the form of a right to a cash payment when cash dividends are paid on the Company Common Stock. Such cash payment shall equal the amount obtained by multiplying the amount of the dividend declared and paid for each share of Company Common Stock by the number of Restricted Stock Units held by the Participant on the record date. Any cash amounts credited to the Participant’s account shall be paid to the Participant on the applicable Payment Date for the related cash dividends.</w:t>
      </w:r>
    </w:p>
    <w:p>
      <w:pPr>
        <w:spacing w:after="0" w:line="390" w:lineRule="exact"/>
        <w:rPr>
          <w:sz w:val="20"/>
          <w:szCs w:val="20"/>
          <w:color w:val="auto"/>
        </w:rPr>
      </w:pPr>
    </w:p>
    <w:p>
      <w:pPr>
        <w:ind w:left="5660" w:right="5480" w:hanging="5004"/>
        <w:spacing w:after="0" w:line="862" w:lineRule="auto"/>
        <w:tabs>
          <w:tab w:leader="none" w:pos="998"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Participant’s Representations, Warranties and Covenants</w:t>
      </w:r>
      <w:r>
        <w:rPr>
          <w:rFonts w:ascii="Arial" w:cs="Arial" w:eastAsia="Arial" w:hAnsi="Arial"/>
          <w:sz w:val="19"/>
          <w:szCs w:val="19"/>
          <w:color w:val="auto"/>
        </w:rPr>
        <w:t>. 4</w:t>
      </w:r>
    </w:p>
    <w:p>
      <w:pPr>
        <w:sectPr>
          <w:pgSz w:w="11900" w:h="16838" w:orient="portrait"/>
          <w:cols w:equalWidth="0" w:num="1">
            <w:col w:w="11420"/>
          </w:cols>
          <w:pgMar w:left="240" w:top="848" w:right="239" w:bottom="1440" w:gutter="0" w:footer="0" w:header="0"/>
        </w:sectPr>
      </w:pPr>
    </w:p>
    <w:bookmarkStart w:id="173" w:name="page174"/>
    <w:bookmarkEnd w:id="173"/>
    <w:p>
      <w:pPr>
        <w:ind w:left="-40" w:right="40" w:firstLine="656"/>
        <w:spacing w:after="0" w:line="294" w:lineRule="auto"/>
        <w:tabs>
          <w:tab w:leader="none" w:pos="1028"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No Conflicts; No Consents</w:t>
      </w:r>
      <w:r>
        <w:rPr>
          <w:rFonts w:ascii="Arial" w:cs="Arial" w:eastAsia="Arial" w:hAnsi="Arial"/>
          <w:sz w:val="19"/>
          <w:szCs w:val="19"/>
          <w:color w:val="auto"/>
        </w:rPr>
        <w:t>. The execution and delivery by Participant of this Agreement, the consummation of the transactions contemplated hereby and the performance of Participant’s obligations hereunder do not and will not (</w:t>
      </w:r>
      <w:r>
        <w:rPr>
          <w:rFonts w:ascii="Arial" w:cs="Arial" w:eastAsia="Arial" w:hAnsi="Arial"/>
          <w:sz w:val="19"/>
          <w:szCs w:val="19"/>
          <w:u w:val="single" w:color="auto"/>
          <w:color w:val="auto"/>
        </w:rPr>
        <w:t>i</w:t>
      </w:r>
      <w:r>
        <w:rPr>
          <w:rFonts w:ascii="Arial" w:cs="Arial" w:eastAsia="Arial" w:hAnsi="Arial"/>
          <w:sz w:val="19"/>
          <w:szCs w:val="19"/>
          <w:color w:val="auto"/>
        </w:rPr>
        <w:t>) materially conflict with or result in a material violation or breach of any term or provision of any Law applicable to either Participant or the Restricted Stock Units or (</w:t>
      </w:r>
      <w:r>
        <w:rPr>
          <w:rFonts w:ascii="Arial" w:cs="Arial" w:eastAsia="Arial" w:hAnsi="Arial"/>
          <w:sz w:val="19"/>
          <w:szCs w:val="19"/>
          <w:u w:val="single" w:color="auto"/>
          <w:color w:val="auto"/>
        </w:rPr>
        <w:t>ii</w:t>
      </w:r>
      <w:r>
        <w:rPr>
          <w:rFonts w:ascii="Arial" w:cs="Arial" w:eastAsia="Arial" w:hAnsi="Arial"/>
          <w:sz w:val="19"/>
          <w:szCs w:val="19"/>
          <w:color w:val="auto"/>
        </w:rPr>
        <w:t>) violate in any material respect, conflict with in any material respect or result in any material breach of, or constitute (with or without notice or lapse of time or both) a material default under, or require either Participant to obtain any consent, approval or action of, make any filing with or give any notice to any Person as a result or under the terms of, any contract, agreement, instrument, commitment, arrangement or understanding to which Participant is a party.</w:t>
      </w:r>
    </w:p>
    <w:p>
      <w:pPr>
        <w:spacing w:after="0" w:line="368" w:lineRule="exact"/>
        <w:rPr>
          <w:rFonts w:ascii="Arial" w:cs="Arial" w:eastAsia="Arial" w:hAnsi="Arial"/>
          <w:sz w:val="19"/>
          <w:szCs w:val="19"/>
          <w:color w:val="auto"/>
        </w:rPr>
      </w:pPr>
    </w:p>
    <w:p>
      <w:pPr>
        <w:ind w:left="-40" w:right="80" w:firstLine="656"/>
        <w:spacing w:after="0" w:line="307" w:lineRule="auto"/>
        <w:tabs>
          <w:tab w:leader="none" w:pos="1040"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Compliance with Rule 144</w:t>
      </w:r>
      <w:r>
        <w:rPr>
          <w:rFonts w:ascii="Arial" w:cs="Arial" w:eastAsia="Arial" w:hAnsi="Arial"/>
          <w:sz w:val="19"/>
          <w:szCs w:val="19"/>
          <w:color w:val="auto"/>
        </w:rPr>
        <w:t>. If any shares of Company Common Stock issued in respect of the Restricted Stock Units are to be disposed of in accordance with Rule 144, the Participant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354" w:lineRule="exact"/>
        <w:rPr>
          <w:rFonts w:ascii="Arial" w:cs="Arial" w:eastAsia="Arial" w:hAnsi="Arial"/>
          <w:sz w:val="19"/>
          <w:szCs w:val="19"/>
          <w:color w:val="auto"/>
        </w:rPr>
      </w:pPr>
    </w:p>
    <w:p>
      <w:pPr>
        <w:ind w:left="-40" w:right="540" w:firstLine="656"/>
        <w:spacing w:after="0" w:line="276" w:lineRule="auto"/>
        <w:tabs>
          <w:tab w:leader="none" w:pos="1028"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Participant Status</w:t>
      </w:r>
      <w:r>
        <w:rPr>
          <w:rFonts w:ascii="Arial" w:cs="Arial" w:eastAsia="Arial" w:hAnsi="Arial"/>
          <w:sz w:val="22"/>
          <w:szCs w:val="22"/>
          <w:color w:val="auto"/>
        </w:rPr>
        <w:t>. The Participant represents and warrants that, as of the date hereof, the Participant is an officer, employee, director or Consultant of the Company or a Subsidiary.</w:t>
      </w:r>
    </w:p>
    <w:p>
      <w:pPr>
        <w:spacing w:after="0" w:line="377" w:lineRule="exact"/>
        <w:rPr>
          <w:sz w:val="20"/>
          <w:szCs w:val="20"/>
          <w:color w:val="auto"/>
        </w:rPr>
      </w:pPr>
    </w:p>
    <w:p>
      <w:pPr>
        <w:ind w:left="-40" w:right="560" w:firstLine="656"/>
        <w:spacing w:after="0" w:line="307" w:lineRule="auto"/>
        <w:tabs>
          <w:tab w:leader="none" w:pos="950"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Adjustment in Capitalization</w:t>
      </w:r>
      <w:r>
        <w:rPr>
          <w:rFonts w:ascii="Arial" w:cs="Arial" w:eastAsia="Arial" w:hAnsi="Arial"/>
          <w:sz w:val="19"/>
          <w:szCs w:val="19"/>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354" w:lineRule="exact"/>
        <w:rPr>
          <w:rFonts w:ascii="Arial" w:cs="Arial" w:eastAsia="Arial" w:hAnsi="Arial"/>
          <w:sz w:val="19"/>
          <w:szCs w:val="19"/>
          <w:color w:val="auto"/>
        </w:rPr>
      </w:pPr>
    </w:p>
    <w:p>
      <w:pPr>
        <w:ind w:left="960" w:hanging="344"/>
        <w:spacing w:after="0"/>
        <w:tabs>
          <w:tab w:leader="none" w:pos="96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40" w:firstLine="656"/>
        <w:spacing w:after="0" w:line="270" w:lineRule="auto"/>
        <w:tabs>
          <w:tab w:leader="none" w:pos="1028"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Binding Effect; Benefits</w:t>
      </w:r>
      <w:r>
        <w:rPr>
          <w:rFonts w:ascii="Arial" w:cs="Arial" w:eastAsia="Arial" w:hAnsi="Arial"/>
          <w:sz w:val="21"/>
          <w:szCs w:val="21"/>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385" w:lineRule="exact"/>
        <w:rPr>
          <w:rFonts w:ascii="Arial" w:cs="Arial" w:eastAsia="Arial" w:hAnsi="Arial"/>
          <w:sz w:val="21"/>
          <w:szCs w:val="21"/>
          <w:color w:val="auto"/>
        </w:rPr>
      </w:pPr>
    </w:p>
    <w:p>
      <w:pPr>
        <w:ind w:left="-40" w:right="40" w:firstLine="656"/>
        <w:spacing w:after="0" w:line="260" w:lineRule="auto"/>
        <w:tabs>
          <w:tab w:leader="none" w:pos="104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in the Plan or this Agreement shall interfere with or limit in any way the right of the Company or any of its Subsidiaries to terminate the Participant’s employment at any time, or confer upon the Participant any right to continue in the employ of the Company or any of its Subsidiaries.</w:t>
      </w:r>
    </w:p>
    <w:p>
      <w:pPr>
        <w:spacing w:after="0" w:line="393" w:lineRule="exact"/>
        <w:rPr>
          <w:rFonts w:ascii="Arial" w:cs="Arial" w:eastAsia="Arial" w:hAnsi="Arial"/>
          <w:sz w:val="22"/>
          <w:szCs w:val="22"/>
          <w:color w:val="auto"/>
        </w:rPr>
      </w:pPr>
    </w:p>
    <w:p>
      <w:pPr>
        <w:ind w:left="-40" w:right="320" w:firstLine="656"/>
        <w:spacing w:after="0" w:line="320" w:lineRule="auto"/>
        <w:tabs>
          <w:tab w:leader="none" w:pos="1028"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40"/>
          </w:cols>
          <w:pgMar w:left="280" w:top="848" w:right="279" w:bottom="1440" w:gutter="0" w:footer="0" w:header="0"/>
        </w:sectPr>
      </w:pPr>
    </w:p>
    <w:bookmarkStart w:id="174" w:name="page175"/>
    <w:bookmarkEnd w:id="174"/>
    <w:p>
      <w:pPr>
        <w:spacing w:after="0" w:line="294" w:lineRule="auto"/>
        <w:rPr>
          <w:sz w:val="20"/>
          <w:szCs w:val="20"/>
          <w:color w:val="auto"/>
        </w:rPr>
      </w:pPr>
      <w:r>
        <w:rPr>
          <w:rFonts w:ascii="Arial" w:cs="Arial" w:eastAsia="Arial" w:hAnsi="Arial"/>
          <w:sz w:val="19"/>
          <w:szCs w:val="19"/>
          <w:color w:val="auto"/>
        </w:rPr>
        <w:t>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366" w:lineRule="exact"/>
        <w:rPr>
          <w:sz w:val="20"/>
          <w:szCs w:val="20"/>
          <w:color w:val="auto"/>
        </w:rPr>
      </w:pPr>
    </w:p>
    <w:p>
      <w:pPr>
        <w:ind w:right="40" w:firstLine="656"/>
        <w:spacing w:after="0" w:line="288" w:lineRule="auto"/>
        <w:tabs>
          <w:tab w:leader="none" w:pos="1080"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Whenever any cash or other payment is to be made hereunder or with respect to the Restricted Stock Units, the Company or any Subsidiary shall have the power to withhold an amount (in cash, Restricted Stock Units or in Company Common Stock issuable upon settlement of Restricted Stock Units or from other amounts paid to the Participant in cash (whether under the Plan or otherwise)) sufficient to satisfy federal, state, and local withholding tax requirements relating to such transaction. The Company may require the recipient of shares of Company Common Stock to remit to the Company an amount in cash sufficient to satisfy the amount of taxes required to be withheld as a condition to the issuance of shares in settlement of the Restricted Stock Units. The Committee may, in its discretion, require the Participant, or permit the Participant to elect, subject to such conditions as the Committee shall impose, to meet such obligations by having the Company withhold or sell the least number of whole shares of Company Common Stock having a Fair Market Value sufficient to satisfy all or part of the amount required to be withheld. The Company or such Subsidiary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 The Participant shall be responsible for all withholding taxes and other tax consequences of this award of Restricted Stock Units.</w:t>
      </w:r>
    </w:p>
    <w:p>
      <w:pPr>
        <w:spacing w:after="0" w:line="373" w:lineRule="exact"/>
        <w:rPr>
          <w:rFonts w:ascii="Arial" w:cs="Arial" w:eastAsia="Arial" w:hAnsi="Arial"/>
          <w:sz w:val="19"/>
          <w:szCs w:val="19"/>
          <w:color w:val="auto"/>
        </w:rPr>
      </w:pPr>
    </w:p>
    <w:p>
      <w:pPr>
        <w:jc w:val="both"/>
        <w:ind w:right="20" w:firstLine="656"/>
        <w:spacing w:after="0" w:line="254" w:lineRule="auto"/>
        <w:tabs>
          <w:tab w:leader="none" w:pos="1068"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The Participant acknowledges that the Company is organized under the laws of the State of Delaware, U.S.A. The Participant and the Company agree that this Agreement shall be construed in accordance with and governed by the laws of the State of Delaware, U.S.A., without reference to principles of conflict of laws that would apply the laws of any other jurisdiction..</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80" w:firstLine="656"/>
        <w:spacing w:after="0" w:line="261" w:lineRule="auto"/>
        <w:tabs>
          <w:tab w:leader="none" w:pos="1044"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Forum Selection.</w:t>
      </w:r>
      <w:r>
        <w:rPr>
          <w:rFonts w:ascii="Arial" w:cs="Arial" w:eastAsia="Arial" w:hAnsi="Arial"/>
          <w:sz w:val="21"/>
          <w:szCs w:val="21"/>
          <w:color w:val="auto"/>
        </w:rPr>
        <w:t xml:space="preserve"> The Participant acknowledges that the Company’s principal place of business is in, and a substantial portion of the Company’s business is based out of, the Commonwealth of Virginia, U.S.A. The Participant also acknowledges that, as such, during the course of the Participant’s service with the Company and its Subsidiaries, the Participant shall have substantial contacts with the Commonwealth of Virginia, U.S.A.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U.S.A. The Participant and the Company hereby consent to the personal jurisdiction of such courts over the parties to this Agreement. The Participant expressly waives any defense that such courts lack</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848" w:right="239" w:bottom="1440" w:gutter="0" w:footer="0" w:header="0"/>
        </w:sectPr>
      </w:pPr>
    </w:p>
    <w:bookmarkStart w:id="175" w:name="page176"/>
    <w:bookmarkEnd w:id="175"/>
    <w:p>
      <w:pPr>
        <w:ind w:right="580"/>
        <w:spacing w:after="0" w:line="343" w:lineRule="auto"/>
        <w:rPr>
          <w:sz w:val="20"/>
          <w:szCs w:val="20"/>
          <w:color w:val="auto"/>
        </w:rPr>
      </w:pPr>
      <w:r>
        <w:rPr>
          <w:rFonts w:ascii="Arial" w:cs="Arial" w:eastAsia="Arial" w:hAnsi="Arial"/>
          <w:sz w:val="19"/>
          <w:szCs w:val="19"/>
          <w:color w:val="auto"/>
        </w:rPr>
        <w:t>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321" w:lineRule="exact"/>
        <w:rPr>
          <w:sz w:val="20"/>
          <w:szCs w:val="20"/>
          <w:color w:val="auto"/>
        </w:rPr>
      </w:pPr>
    </w:p>
    <w:p>
      <w:pPr>
        <w:ind w:right="100" w:firstLine="656"/>
        <w:spacing w:after="0" w:line="276" w:lineRule="auto"/>
        <w:tabs>
          <w:tab w:leader="none" w:pos="108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modified or supplemented orally, but only by a written instrument executed by the Participant and the Company.</w:t>
      </w:r>
    </w:p>
    <w:p>
      <w:pPr>
        <w:spacing w:after="0" w:line="377" w:lineRule="exact"/>
        <w:rPr>
          <w:rFonts w:ascii="Arial" w:cs="Arial" w:eastAsia="Arial" w:hAnsi="Arial"/>
          <w:sz w:val="22"/>
          <w:szCs w:val="22"/>
          <w:color w:val="auto"/>
        </w:rPr>
      </w:pPr>
    </w:p>
    <w:p>
      <w:pPr>
        <w:ind w:right="160" w:firstLine="656"/>
        <w:spacing w:after="0" w:line="254" w:lineRule="auto"/>
        <w:tabs>
          <w:tab w:leader="none" w:pos="108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may assign all or any portion of its rights or obligations under this Agreement to one or more persons or other entities designated by it.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20" w:firstLine="656"/>
        <w:spacing w:after="0" w:line="260" w:lineRule="auto"/>
        <w:tabs>
          <w:tab w:leader="none" w:pos="1032"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Severability; Blue Pencil</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393" w:lineRule="exact"/>
        <w:rPr>
          <w:rFonts w:ascii="Arial" w:cs="Arial" w:eastAsia="Arial" w:hAnsi="Arial"/>
          <w:sz w:val="22"/>
          <w:szCs w:val="22"/>
          <w:color w:val="auto"/>
        </w:rPr>
      </w:pPr>
    </w:p>
    <w:p>
      <w:pPr>
        <w:ind w:firstLine="656"/>
        <w:spacing w:after="0" w:line="294" w:lineRule="auto"/>
        <w:tabs>
          <w:tab w:leader="none" w:pos="1032"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Limitation on Rights; No Right to Future Grants; Extraordinary Item of Compensation</w:t>
      </w:r>
      <w:r>
        <w:rPr>
          <w:rFonts w:ascii="Arial" w:cs="Arial" w:eastAsia="Arial" w:hAnsi="Arial"/>
          <w:sz w:val="19"/>
          <w:szCs w:val="19"/>
          <w:color w:val="auto"/>
        </w:rPr>
        <w:t>. By entering into this Agreement and accepting the Restricted Stock Units evidenced hereby, the Participant acknowledges: (</w:t>
      </w:r>
      <w:r>
        <w:rPr>
          <w:rFonts w:ascii="Arial" w:cs="Arial" w:eastAsia="Arial" w:hAnsi="Arial"/>
          <w:sz w:val="19"/>
          <w:szCs w:val="19"/>
          <w:u w:val="single" w:color="auto"/>
          <w:color w:val="auto"/>
        </w:rPr>
        <w:t>a</w:t>
      </w:r>
      <w:r>
        <w:rPr>
          <w:rFonts w:ascii="Arial" w:cs="Arial" w:eastAsia="Arial" w:hAnsi="Arial"/>
          <w:sz w:val="19"/>
          <w:szCs w:val="19"/>
          <w:color w:val="auto"/>
        </w:rPr>
        <w:t>) that the Plan is discretionary in nature and may be suspended or terminated by the Company at any time; (</w:t>
      </w:r>
      <w:r>
        <w:rPr>
          <w:rFonts w:ascii="Arial" w:cs="Arial" w:eastAsia="Arial" w:hAnsi="Arial"/>
          <w:sz w:val="19"/>
          <w:szCs w:val="19"/>
          <w:u w:val="single" w:color="auto"/>
          <w:color w:val="auto"/>
        </w:rPr>
        <w:t>b</w:t>
      </w:r>
      <w:r>
        <w:rPr>
          <w:rFonts w:ascii="Arial" w:cs="Arial" w:eastAsia="Arial" w:hAnsi="Arial"/>
          <w:sz w:val="19"/>
          <w:szCs w:val="19"/>
          <w:color w:val="auto"/>
        </w:rPr>
        <w:t>) that the Award does not create any contractual or other right to receive future grants of Awards; (</w:t>
      </w:r>
      <w:r>
        <w:rPr>
          <w:rFonts w:ascii="Arial" w:cs="Arial" w:eastAsia="Arial" w:hAnsi="Arial"/>
          <w:sz w:val="19"/>
          <w:szCs w:val="19"/>
          <w:u w:val="single" w:color="auto"/>
          <w:color w:val="auto"/>
        </w:rPr>
        <w:t>c</w:t>
      </w:r>
      <w:r>
        <w:rPr>
          <w:rFonts w:ascii="Arial" w:cs="Arial" w:eastAsia="Arial" w:hAnsi="Arial"/>
          <w:sz w:val="19"/>
          <w:szCs w:val="19"/>
          <w:color w:val="auto"/>
        </w:rPr>
        <w:t>) that participation in the Plan is voluntary; (</w:t>
      </w:r>
      <w:r>
        <w:rPr>
          <w:rFonts w:ascii="Arial" w:cs="Arial" w:eastAsia="Arial" w:hAnsi="Arial"/>
          <w:sz w:val="19"/>
          <w:szCs w:val="19"/>
          <w:u w:val="single" w:color="auto"/>
          <w:color w:val="auto"/>
        </w:rPr>
        <w:t>d</w:t>
      </w:r>
      <w:r>
        <w:rPr>
          <w:rFonts w:ascii="Arial" w:cs="Arial" w:eastAsia="Arial" w:hAnsi="Arial"/>
          <w:sz w:val="19"/>
          <w:szCs w:val="19"/>
          <w:color w:val="auto"/>
        </w:rPr>
        <w:t>) that the value of the Restricted Stock Units is not part of normal or expected compensation for purposes of calculating any severance, resignation, redundancy, end of service payments, bonuses, long-service awards, pension or retirement benefits or similar payments; and (</w:t>
      </w:r>
      <w:r>
        <w:rPr>
          <w:rFonts w:ascii="Arial" w:cs="Arial" w:eastAsia="Arial" w:hAnsi="Arial"/>
          <w:sz w:val="19"/>
          <w:szCs w:val="19"/>
          <w:u w:val="single" w:color="auto"/>
          <w:color w:val="auto"/>
        </w:rPr>
        <w:t>e</w:t>
      </w:r>
      <w:r>
        <w:rPr>
          <w:rFonts w:ascii="Arial" w:cs="Arial" w:eastAsia="Arial" w:hAnsi="Arial"/>
          <w:sz w:val="19"/>
          <w:szCs w:val="19"/>
          <w:color w:val="auto"/>
        </w:rPr>
        <w:t>) that the future value of the Company Common Stock is unknown and cannot be predicted with certainty.</w:t>
      </w:r>
    </w:p>
    <w:p>
      <w:pPr>
        <w:spacing w:after="0" w:line="368" w:lineRule="exact"/>
        <w:rPr>
          <w:rFonts w:ascii="Arial" w:cs="Arial" w:eastAsia="Arial" w:hAnsi="Arial"/>
          <w:sz w:val="19"/>
          <w:szCs w:val="19"/>
          <w:color w:val="auto"/>
        </w:rPr>
      </w:pPr>
    </w:p>
    <w:p>
      <w:pPr>
        <w:ind w:right="60" w:firstLine="656"/>
        <w:spacing w:after="0" w:line="294" w:lineRule="auto"/>
        <w:tabs>
          <w:tab w:leader="none" w:pos="1080"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Employee Data Privacy</w:t>
      </w:r>
      <w:r>
        <w:rPr>
          <w:rFonts w:ascii="Arial" w:cs="Arial" w:eastAsia="Arial" w:hAnsi="Arial"/>
          <w:sz w:val="19"/>
          <w:szCs w:val="19"/>
          <w:color w:val="auto"/>
        </w:rPr>
        <w:t>. The collection, use disclosure and transfer, in electronic or other form, of personally identifiable information to facilitate the grant of the Award and the administration of the Plan by and among, as applicable, the Company and the Participant’s employer, if different, any of the Company’s affiliates, any agent of the Company administering or providing Plan services is governed by the Employee Privacy Notice (the “</w:t>
      </w:r>
      <w:r>
        <w:rPr>
          <w:rFonts w:ascii="Arial" w:cs="Arial" w:eastAsia="Arial" w:hAnsi="Arial"/>
          <w:sz w:val="19"/>
          <w:szCs w:val="19"/>
          <w:u w:val="single" w:color="auto"/>
          <w:color w:val="auto"/>
        </w:rPr>
        <w:t>Privacy Notice</w:t>
      </w:r>
      <w:r>
        <w:rPr>
          <w:rFonts w:ascii="Arial" w:cs="Arial" w:eastAsia="Arial" w:hAnsi="Arial"/>
          <w:sz w:val="19"/>
          <w:szCs w:val="19"/>
          <w:color w:val="auto"/>
        </w:rPr>
        <w:t xml:space="preserve">”) that Participant received in the course of his or her relationship with Company. The Participant understands that he or she may review the </w:t>
      </w:r>
      <w:r>
        <w:rPr>
          <w:rFonts w:ascii="Arial" w:cs="Arial" w:eastAsia="Arial" w:hAnsi="Arial"/>
          <w:sz w:val="19"/>
          <w:szCs w:val="19"/>
          <w:u w:val="single" w:color="auto"/>
          <w:color w:val="0000FF"/>
        </w:rPr>
        <w:t>Privacy Notice</w:t>
      </w:r>
      <w:r>
        <w:rPr>
          <w:rFonts w:ascii="Arial" w:cs="Arial" w:eastAsia="Arial" w:hAnsi="Arial"/>
          <w:sz w:val="19"/>
          <w:szCs w:val="19"/>
          <w:color w:val="auto"/>
        </w:rPr>
        <w:t xml:space="preserve"> or contact his or her local human resources representative to request a copy of the Privacy Notice. Please contact </w:t>
      </w:r>
      <w:r>
        <w:rPr>
          <w:rFonts w:ascii="Arial" w:cs="Arial" w:eastAsia="Arial" w:hAnsi="Arial"/>
          <w:sz w:val="19"/>
          <w:szCs w:val="19"/>
          <w:u w:val="single" w:color="auto"/>
          <w:color w:val="0000FF"/>
        </w:rPr>
        <w:t>ethics@bah.com</w:t>
      </w:r>
      <w:r>
        <w:rPr>
          <w:rFonts w:ascii="Arial" w:cs="Arial" w:eastAsia="Arial" w:hAnsi="Arial"/>
          <w:sz w:val="19"/>
          <w:szCs w:val="19"/>
          <w:color w:val="auto"/>
        </w:rPr>
        <w:t xml:space="preserve"> if you have any questions or concerns about how the Company or its subsidiaries and affiliates process personally identifiable information.</w:t>
      </w:r>
    </w:p>
    <w:p>
      <w:pPr>
        <w:spacing w:after="0" w:line="368" w:lineRule="exact"/>
        <w:rPr>
          <w:rFonts w:ascii="Arial" w:cs="Arial" w:eastAsia="Arial" w:hAnsi="Arial"/>
          <w:sz w:val="19"/>
          <w:szCs w:val="19"/>
          <w:color w:val="auto"/>
        </w:rPr>
      </w:pPr>
    </w:p>
    <w:p>
      <w:pPr>
        <w:ind w:right="300" w:firstLine="656"/>
        <w:spacing w:after="0" w:line="270" w:lineRule="auto"/>
        <w:tabs>
          <w:tab w:leader="none" w:pos="1032" w:val="left"/>
        </w:tabs>
        <w:numPr>
          <w:ilvl w:val="0"/>
          <w:numId w:val="138"/>
        </w:numPr>
        <w:rPr>
          <w:rFonts w:ascii="Arial" w:cs="Arial" w:eastAsia="Arial" w:hAnsi="Arial"/>
          <w:sz w:val="21"/>
          <w:szCs w:val="21"/>
          <w:color w:val="auto"/>
        </w:rPr>
      </w:pPr>
      <w:r>
        <w:rPr>
          <w:rFonts w:ascii="Arial" w:cs="Arial" w:eastAsia="Arial" w:hAnsi="Arial"/>
          <w:sz w:val="21"/>
          <w:szCs w:val="21"/>
          <w:u w:val="single" w:color="auto"/>
          <w:color w:val="auto"/>
        </w:rPr>
        <w:t>Consent to Electronic Delivery</w:t>
      </w:r>
      <w:r>
        <w:rPr>
          <w:rFonts w:ascii="Arial" w:cs="Arial" w:eastAsia="Arial" w:hAnsi="Arial"/>
          <w:sz w:val="21"/>
          <w:szCs w:val="21"/>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the Fidelity NetBenefits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47" w:right="239" w:bottom="1440" w:gutter="0" w:footer="0" w:header="0"/>
        </w:sectPr>
      </w:pPr>
    </w:p>
    <w:bookmarkStart w:id="176" w:name="page177"/>
    <w:bookmarkEnd w:id="176"/>
    <w:p>
      <w:pPr>
        <w:spacing w:after="0"/>
        <w:rPr>
          <w:sz w:val="20"/>
          <w:szCs w:val="20"/>
          <w:color w:val="auto"/>
        </w:rPr>
      </w:pPr>
      <w:r>
        <w:rPr>
          <w:rFonts w:ascii="Arial" w:cs="Arial" w:eastAsia="Arial" w:hAnsi="Arial"/>
          <w:sz w:val="19"/>
          <w:szCs w:val="19"/>
          <w:color w:val="auto"/>
        </w:rPr>
        <w:t>website or any other online access system of the Company’s third party Plan administrator, email or other electronic delivery.</w:t>
      </w:r>
    </w:p>
    <w:p>
      <w:pPr>
        <w:spacing w:after="0" w:line="200" w:lineRule="exact"/>
        <w:rPr>
          <w:sz w:val="20"/>
          <w:szCs w:val="20"/>
          <w:color w:val="auto"/>
        </w:rPr>
      </w:pPr>
    </w:p>
    <w:p>
      <w:pPr>
        <w:spacing w:after="0" w:line="270" w:lineRule="exact"/>
        <w:rPr>
          <w:sz w:val="20"/>
          <w:szCs w:val="20"/>
          <w:color w:val="auto"/>
        </w:rPr>
      </w:pPr>
    </w:p>
    <w:p>
      <w:pPr>
        <w:ind w:left="1140" w:hanging="484"/>
        <w:spacing w:after="0"/>
        <w:tabs>
          <w:tab w:leader="none" w:pos="114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This Agreement is intended to be administered in a manner consistent with the</w:t>
      </w:r>
    </w:p>
    <w:p>
      <w:pPr>
        <w:spacing w:after="0" w:line="21" w:lineRule="exact"/>
        <w:rPr>
          <w:rFonts w:ascii="Arial" w:cs="Arial" w:eastAsia="Arial" w:hAnsi="Arial"/>
          <w:sz w:val="22"/>
          <w:szCs w:val="22"/>
          <w:color w:val="auto"/>
        </w:rPr>
      </w:pPr>
    </w:p>
    <w:p>
      <w:pPr>
        <w:ind w:right="40"/>
        <w:spacing w:after="0" w:line="293" w:lineRule="auto"/>
        <w:rPr>
          <w:rFonts w:ascii="Arial" w:cs="Arial" w:eastAsia="Arial" w:hAnsi="Arial"/>
          <w:sz w:val="22"/>
          <w:szCs w:val="22"/>
          <w:color w:val="auto"/>
        </w:rPr>
      </w:pPr>
      <w:r>
        <w:rPr>
          <w:rFonts w:ascii="Arial" w:cs="Arial" w:eastAsia="Arial" w:hAnsi="Arial"/>
          <w:sz w:val="19"/>
          <w:szCs w:val="19"/>
          <w:color w:val="auto"/>
        </w:rPr>
        <w:t>requirements, where applicable, of Section 409A of the Code and the regulations promulgated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366" w:lineRule="exact"/>
        <w:rPr>
          <w:rFonts w:ascii="Arial" w:cs="Arial" w:eastAsia="Arial" w:hAnsi="Arial"/>
          <w:sz w:val="22"/>
          <w:szCs w:val="22"/>
          <w:color w:val="auto"/>
        </w:rPr>
      </w:pPr>
    </w:p>
    <w:p>
      <w:pPr>
        <w:ind w:firstLine="656"/>
        <w:spacing w:after="0" w:line="260" w:lineRule="auto"/>
        <w:tabs>
          <w:tab w:leader="none" w:pos="1080" w:val="left"/>
        </w:tabs>
        <w:numPr>
          <w:ilvl w:val="0"/>
          <w:numId w:val="139"/>
        </w:numPr>
        <w:rPr>
          <w:rFonts w:ascii="Arial" w:cs="Arial" w:eastAsia="Arial" w:hAnsi="Arial"/>
          <w:sz w:val="21"/>
          <w:szCs w:val="21"/>
          <w:color w:val="auto"/>
        </w:rPr>
      </w:pPr>
      <w:r>
        <w:rPr>
          <w:rFonts w:ascii="Arial" w:cs="Arial" w:eastAsia="Arial" w:hAnsi="Arial"/>
          <w:sz w:val="21"/>
          <w:szCs w:val="21"/>
          <w:u w:val="single" w:color="auto"/>
          <w:color w:val="auto"/>
        </w:rPr>
        <w:t>Specified Employee Delay</w:t>
      </w:r>
      <w:r>
        <w:rPr>
          <w:rFonts w:ascii="Arial" w:cs="Arial" w:eastAsia="Arial" w:hAnsi="Arial"/>
          <w:sz w:val="21"/>
          <w:szCs w:val="21"/>
          <w:color w:val="auto"/>
        </w:rPr>
        <w:t>. If the Participant is deemed a “specified employee” within the meaning of Section 409A, as determined by the Committee, at a time when the Participant becomes eligible for settlement of the Restricted Stock Units upon his or her “separation from service” within the meaning of Section 409A, then to the extent necessary to prevent any accelerated or additional tax under Section 409A, such settlement will be delayed until the earlier of: (</w:t>
      </w:r>
      <w:r>
        <w:rPr>
          <w:rFonts w:ascii="Arial" w:cs="Arial" w:eastAsia="Arial" w:hAnsi="Arial"/>
          <w:sz w:val="21"/>
          <w:szCs w:val="21"/>
          <w:u w:val="single" w:color="auto"/>
          <w:color w:val="auto"/>
        </w:rPr>
        <w:t>a</w:t>
      </w:r>
      <w:r>
        <w:rPr>
          <w:rFonts w:ascii="Arial" w:cs="Arial" w:eastAsia="Arial" w:hAnsi="Arial"/>
          <w:sz w:val="21"/>
          <w:szCs w:val="21"/>
          <w:color w:val="auto"/>
        </w:rPr>
        <w:t>) the date that is six months following the Participant’s termination of service and (</w:t>
      </w:r>
      <w:r>
        <w:rPr>
          <w:rFonts w:ascii="Arial" w:cs="Arial" w:eastAsia="Arial" w:hAnsi="Arial"/>
          <w:sz w:val="21"/>
          <w:szCs w:val="21"/>
          <w:u w:val="single" w:color="auto"/>
          <w:color w:val="auto"/>
        </w:rPr>
        <w:t>b</w:t>
      </w:r>
      <w:r>
        <w:rPr>
          <w:rFonts w:ascii="Arial" w:cs="Arial" w:eastAsia="Arial" w:hAnsi="Arial"/>
          <w:sz w:val="21"/>
          <w:szCs w:val="21"/>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395" w:lineRule="exact"/>
        <w:rPr>
          <w:rFonts w:ascii="Arial" w:cs="Arial" w:eastAsia="Arial" w:hAnsi="Arial"/>
          <w:sz w:val="21"/>
          <w:szCs w:val="21"/>
          <w:color w:val="auto"/>
        </w:rPr>
      </w:pPr>
    </w:p>
    <w:p>
      <w:pPr>
        <w:ind w:right="300" w:firstLine="656"/>
        <w:spacing w:after="0" w:line="276" w:lineRule="auto"/>
        <w:tabs>
          <w:tab w:leader="none" w:pos="108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Headings and Captions</w:t>
      </w:r>
      <w:r>
        <w:rPr>
          <w:rFonts w:ascii="Arial" w:cs="Arial" w:eastAsia="Arial" w:hAnsi="Arial"/>
          <w:sz w:val="22"/>
          <w:szCs w:val="22"/>
          <w:color w:val="auto"/>
        </w:rPr>
        <w:t>. The section and other headings contained in this Agreement are for reference purposes only and shall not affect the meaning or interpretation of this Agreement.</w:t>
      </w:r>
    </w:p>
    <w:p>
      <w:pPr>
        <w:spacing w:after="0" w:line="377" w:lineRule="exact"/>
        <w:rPr>
          <w:rFonts w:ascii="Arial" w:cs="Arial" w:eastAsia="Arial" w:hAnsi="Arial"/>
          <w:sz w:val="22"/>
          <w:szCs w:val="22"/>
          <w:color w:val="auto"/>
        </w:rPr>
      </w:pPr>
    </w:p>
    <w:p>
      <w:pPr>
        <w:ind w:right="80" w:firstLine="656"/>
        <w:spacing w:after="0" w:line="251" w:lineRule="auto"/>
        <w:tabs>
          <w:tab w:leader="none" w:pos="108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under this Agreement shall be (</w:t>
      </w:r>
      <w:r>
        <w:rPr>
          <w:rFonts w:ascii="Arial" w:cs="Arial" w:eastAsia="Arial" w:hAnsi="Arial"/>
          <w:sz w:val="22"/>
          <w:szCs w:val="22"/>
          <w:u w:val="single" w:color="auto"/>
          <w:color w:val="auto"/>
        </w:rPr>
        <w:t>i</w:t>
      </w:r>
      <w:r>
        <w:rPr>
          <w:rFonts w:ascii="Arial" w:cs="Arial" w:eastAsia="Arial" w:hAnsi="Arial"/>
          <w:sz w:val="22"/>
          <w:szCs w:val="22"/>
          <w:color w:val="auto"/>
        </w:rPr>
        <w:t>) delivered by hand, (</w:t>
      </w:r>
      <w:r>
        <w:rPr>
          <w:rFonts w:ascii="Arial" w:cs="Arial" w:eastAsia="Arial" w:hAnsi="Arial"/>
          <w:sz w:val="22"/>
          <w:szCs w:val="22"/>
          <w:u w:val="single" w:color="auto"/>
          <w:color w:val="auto"/>
        </w:rPr>
        <w:t>ii</w:t>
      </w:r>
      <w:r>
        <w:rPr>
          <w:rFonts w:ascii="Arial" w:cs="Arial" w:eastAsia="Arial" w:hAnsi="Arial"/>
          <w:sz w:val="22"/>
          <w:szCs w:val="22"/>
          <w:color w:val="auto"/>
        </w:rPr>
        <w:t>) sent by commercial overnight courier service, (</w:t>
      </w:r>
      <w:r>
        <w:rPr>
          <w:rFonts w:ascii="Arial" w:cs="Arial" w:eastAsia="Arial" w:hAnsi="Arial"/>
          <w:sz w:val="22"/>
          <w:szCs w:val="22"/>
          <w:u w:val="single" w:color="auto"/>
          <w:color w:val="auto"/>
        </w:rPr>
        <w:t>iii</w:t>
      </w:r>
      <w:r>
        <w:rPr>
          <w:rFonts w:ascii="Arial" w:cs="Arial" w:eastAsia="Arial" w:hAnsi="Arial"/>
          <w:sz w:val="22"/>
          <w:szCs w:val="22"/>
          <w:color w:val="auto"/>
        </w:rPr>
        <w:t>) sent by registered or certified mail, return receipt requested, and first-class postage prepaid, (</w:t>
      </w:r>
      <w:r>
        <w:rPr>
          <w:rFonts w:ascii="Arial" w:cs="Arial" w:eastAsia="Arial" w:hAnsi="Arial"/>
          <w:sz w:val="22"/>
          <w:szCs w:val="22"/>
          <w:u w:val="single" w:color="auto"/>
          <w:color w:val="auto"/>
        </w:rPr>
        <w:t>iv</w:t>
      </w:r>
      <w:r>
        <w:rPr>
          <w:rFonts w:ascii="Arial" w:cs="Arial" w:eastAsia="Arial" w:hAnsi="Arial"/>
          <w:sz w:val="22"/>
          <w:szCs w:val="22"/>
          <w:color w:val="auto"/>
        </w:rPr>
        <w:t>) sent by e-mail or any other form of electronic transfer or delivery approved by the Administrator, or (</w:t>
      </w:r>
      <w:r>
        <w:rPr>
          <w:rFonts w:ascii="Arial" w:cs="Arial" w:eastAsia="Arial" w:hAnsi="Arial"/>
          <w:sz w:val="22"/>
          <w:szCs w:val="22"/>
          <w:u w:val="single" w:color="auto"/>
          <w:color w:val="auto"/>
        </w:rPr>
        <w:t>v</w:t>
      </w:r>
      <w:r>
        <w:rPr>
          <w:rFonts w:ascii="Arial" w:cs="Arial" w:eastAsia="Arial" w:hAnsi="Arial"/>
          <w:sz w:val="22"/>
          <w:szCs w:val="22"/>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40" w:firstLine="656"/>
        <w:spacing w:after="0" w:line="276" w:lineRule="auto"/>
        <w:tabs>
          <w:tab w:leader="none" w:pos="108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47"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color w:val="auto"/>
        </w:rPr>
        <w:t>Exhibit 10.59</w:t>
      </w: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SECOND AMENDED AND RESTATED EQUITY INCENTIVE PLAN OF</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BOOZ ALLEN HAMILTON HOLDING CORPORATION</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STOCK OPTION AGREEMENT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NOTICE</w:t>
      </w:r>
    </w:p>
    <w:p>
      <w:pPr>
        <w:spacing w:after="0" w:line="200" w:lineRule="exact"/>
        <w:rPr>
          <w:sz w:val="20"/>
          <w:szCs w:val="20"/>
          <w:color w:val="auto"/>
        </w:rPr>
      </w:pPr>
    </w:p>
    <w:p>
      <w:pPr>
        <w:spacing w:after="0" w:line="242" w:lineRule="exact"/>
        <w:rPr>
          <w:sz w:val="20"/>
          <w:szCs w:val="20"/>
          <w:color w:val="auto"/>
        </w:rPr>
      </w:pPr>
    </w:p>
    <w:p>
      <w:pPr>
        <w:ind w:right="100"/>
        <w:spacing w:after="0" w:line="312" w:lineRule="auto"/>
        <w:rPr>
          <w:sz w:val="20"/>
          <w:szCs w:val="20"/>
          <w:color w:val="auto"/>
        </w:rPr>
      </w:pPr>
      <w:r>
        <w:rPr>
          <w:rFonts w:ascii="Arial" w:cs="Arial" w:eastAsia="Arial" w:hAnsi="Arial"/>
          <w:sz w:val="19"/>
          <w:szCs w:val="19"/>
          <w:color w:val="auto"/>
        </w:rPr>
        <w:t>Unless otherwise defined herein, the terms defined in the Second Amended and Restated Equity Incentive Plan of Booz Allen Hamilton Holding Corporation (the “</w:t>
      </w:r>
      <w:r>
        <w:rPr>
          <w:rFonts w:ascii="Arial" w:cs="Arial" w:eastAsia="Arial" w:hAnsi="Arial"/>
          <w:sz w:val="19"/>
          <w:szCs w:val="19"/>
          <w:u w:val="single" w:color="auto"/>
          <w:color w:val="auto"/>
        </w:rPr>
        <w:t>Plan</w:t>
      </w:r>
      <w:r>
        <w:rPr>
          <w:rFonts w:ascii="Arial" w:cs="Arial" w:eastAsia="Arial" w:hAnsi="Arial"/>
          <w:sz w:val="19"/>
          <w:szCs w:val="19"/>
          <w:color w:val="auto"/>
        </w:rPr>
        <w:t>”) shall have the same defined meanings in this Stock Option Agreement, which includes the terms in this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attached hereto (collectively,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350"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You (the “</w:t>
      </w:r>
      <w:r>
        <w:rPr>
          <w:rFonts w:ascii="Arial" w:cs="Arial" w:eastAsia="Arial" w:hAnsi="Arial"/>
          <w:sz w:val="22"/>
          <w:szCs w:val="22"/>
          <w:u w:val="single" w:color="auto"/>
          <w:color w:val="auto"/>
        </w:rPr>
        <w:t>Optionee</w:t>
      </w:r>
      <w:r>
        <w:rPr>
          <w:rFonts w:ascii="Arial" w:cs="Arial" w:eastAsia="Arial" w:hAnsi="Arial"/>
          <w:sz w:val="22"/>
          <w:szCs w:val="22"/>
          <w:color w:val="auto"/>
        </w:rPr>
        <w:t>”) have been granted an Option to purchase the number of shares (the “</w:t>
      </w:r>
      <w:r>
        <w:rPr>
          <w:rFonts w:ascii="Arial" w:cs="Arial" w:eastAsia="Arial" w:hAnsi="Arial"/>
          <w:sz w:val="22"/>
          <w:szCs w:val="22"/>
          <w:u w:val="single" w:color="auto"/>
          <w:color w:val="auto"/>
        </w:rPr>
        <w:t>Shares</w:t>
      </w:r>
      <w:r>
        <w:rPr>
          <w:rFonts w:ascii="Arial" w:cs="Arial" w:eastAsia="Arial" w:hAnsi="Arial"/>
          <w:sz w:val="22"/>
          <w:szCs w:val="22"/>
          <w:color w:val="auto"/>
        </w:rPr>
        <w:t>”) of Class A Common Stock, par value $0.01 per share (the “</w:t>
      </w:r>
      <w:r>
        <w:rPr>
          <w:rFonts w:ascii="Arial" w:cs="Arial" w:eastAsia="Arial" w:hAnsi="Arial"/>
          <w:sz w:val="22"/>
          <w:szCs w:val="22"/>
          <w:u w:val="single" w:color="auto"/>
          <w:color w:val="auto"/>
        </w:rPr>
        <w:t>Common Stock</w:t>
      </w:r>
      <w:r>
        <w:rPr>
          <w:rFonts w:ascii="Arial" w:cs="Arial" w:eastAsia="Arial" w:hAnsi="Arial"/>
          <w:sz w:val="22"/>
          <w:szCs w:val="22"/>
          <w:color w:val="auto"/>
        </w:rPr>
        <w:t>”), of Booz Allen Hamilton Holding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as set forth on the Fidelity NetBenefits system at </w:t>
      </w:r>
      <w:r>
        <w:rPr>
          <w:rFonts w:ascii="Arial" w:cs="Arial" w:eastAsia="Arial" w:hAnsi="Arial"/>
          <w:sz w:val="22"/>
          <w:szCs w:val="22"/>
          <w:u w:val="single" w:color="auto"/>
          <w:color w:val="0000FF"/>
        </w:rPr>
        <w:t>www.netbenefits.com</w:t>
      </w:r>
      <w:r>
        <w:rPr>
          <w:rFonts w:ascii="Arial" w:cs="Arial" w:eastAsia="Arial" w:hAnsi="Arial"/>
          <w:sz w:val="22"/>
          <w:szCs w:val="22"/>
          <w:color w:val="auto"/>
        </w:rPr>
        <w:t>, subject to the terms and conditions of the Plan and this Agreement, as follows:</w:t>
      </w:r>
    </w:p>
    <w:p>
      <w:pPr>
        <w:sectPr>
          <w:pgSz w:w="11900" w:h="16838" w:orient="portrait"/>
          <w:cols w:equalWidth="0" w:num="1">
            <w:col w:w="11420"/>
          </w:cols>
          <w:pgMar w:left="240" w:top="132"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9"/>
          <w:szCs w:val="19"/>
          <w:color w:val="auto"/>
        </w:rPr>
        <w:t>Type of Option:</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jc w:val="center"/>
        <w:ind w:right="3780"/>
        <w:spacing w:after="0"/>
        <w:rPr>
          <w:sz w:val="20"/>
          <w:szCs w:val="20"/>
          <w:color w:val="auto"/>
        </w:rPr>
      </w:pPr>
      <w:r>
        <w:rPr>
          <w:rFonts w:ascii="Arial" w:cs="Arial" w:eastAsia="Arial" w:hAnsi="Arial"/>
          <w:sz w:val="19"/>
          <w:szCs w:val="19"/>
          <w:color w:val="auto"/>
        </w:rPr>
        <w:t>Non-Qualified Stock Option</w:t>
      </w:r>
    </w:p>
    <w:p>
      <w:pPr>
        <w:spacing w:after="0" w:line="200" w:lineRule="exact"/>
        <w:rPr>
          <w:sz w:val="20"/>
          <w:szCs w:val="20"/>
          <w:color w:val="auto"/>
        </w:rPr>
      </w:pPr>
    </w:p>
    <w:p>
      <w:pPr>
        <w:sectPr>
          <w:pgSz w:w="11900" w:h="16838" w:orient="portrait"/>
          <w:cols w:equalWidth="0" w:num="2">
            <w:col w:w="4460" w:space="720"/>
            <w:col w:w="6240"/>
          </w:cols>
          <w:pgMar w:left="240" w:top="132" w:right="239" w:bottom="1440" w:gutter="0" w:footer="0" w:header="0"/>
          <w:type w:val="continuous"/>
        </w:sect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9"/>
          <w:szCs w:val="19"/>
          <w:color w:val="auto"/>
        </w:rPr>
        <w:t>Final Expiration Date: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3480"/>
        <w:spacing w:after="0"/>
        <w:rPr>
          <w:sz w:val="20"/>
          <w:szCs w:val="20"/>
          <w:color w:val="auto"/>
        </w:rPr>
      </w:pPr>
      <w:r>
        <w:rPr>
          <w:rFonts w:ascii="Arial" w:cs="Arial" w:eastAsia="Arial" w:hAnsi="Arial"/>
          <w:sz w:val="19"/>
          <w:szCs w:val="19"/>
          <w:color w:val="auto"/>
        </w:rPr>
        <w:t>Ten years from the date of grant</w:t>
      </w:r>
    </w:p>
    <w:p>
      <w:pPr>
        <w:spacing w:after="0" w:line="200" w:lineRule="exact"/>
        <w:rPr>
          <w:sz w:val="20"/>
          <w:szCs w:val="20"/>
          <w:color w:val="auto"/>
        </w:rPr>
      </w:pPr>
    </w:p>
    <w:p>
      <w:pPr>
        <w:sectPr>
          <w:pgSz w:w="11900" w:h="16838" w:orient="portrait"/>
          <w:cols w:equalWidth="0" w:num="2">
            <w:col w:w="4460" w:space="720"/>
            <w:col w:w="6240"/>
          </w:cols>
          <w:pgMar w:left="240" w:top="132" w:right="239" w:bottom="1440" w:gutter="0" w:footer="0" w:header="0"/>
          <w:type w:val="continuous"/>
        </w:sectPr>
      </w:pPr>
    </w:p>
    <w:p>
      <w:pPr>
        <w:spacing w:after="0" w:line="81" w:lineRule="exact"/>
        <w:rPr>
          <w:sz w:val="20"/>
          <w:szCs w:val="20"/>
          <w:color w:val="auto"/>
        </w:rPr>
      </w:pPr>
    </w:p>
    <w:p>
      <w:pPr>
        <w:ind w:right="660"/>
        <w:spacing w:after="0" w:line="291" w:lineRule="auto"/>
        <w:rPr>
          <w:sz w:val="20"/>
          <w:szCs w:val="20"/>
          <w:color w:val="auto"/>
        </w:rPr>
      </w:pPr>
      <w:r>
        <w:rPr>
          <w:rFonts w:ascii="Arial" w:cs="Arial" w:eastAsia="Arial" w:hAnsi="Arial"/>
          <w:sz w:val="19"/>
          <w:szCs w:val="19"/>
          <w:color w:val="auto"/>
        </w:rPr>
        <w:t xml:space="preserve">Your acceptance of this Option indicates your agreement and understanding that this Option is subject to all of the terms and conditions contained in the Agreement (including this Grant Notice and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the Agreement) and the Plan.</w:t>
      </w:r>
    </w:p>
    <w:p>
      <w:pPr>
        <w:spacing w:after="0" w:line="1"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b w:val="1"/>
          <w:bCs w:val="1"/>
          <w:color w:val="auto"/>
        </w:rPr>
        <w:t>ACCORDINGLY, PLEASE BE SURE TO READ ALL OF THE PLAN AND APPENDIX A, WHICH CONTAIN THE SPECIFIC TERMS AND CONDITIONS OF THIS OPTION. IN PARTICULAR, BY ACCEPTANCE OF THIS OPTION, YOU AGREE TO THE TERMS AND CONDITIONS CONTAINED IN THE AGREEMENT RELATING TO ELECTRONIC DELIVERY OF ANY DOCUMENTS RELATED TO THE OPTION.</w:t>
      </w:r>
    </w:p>
    <w:p>
      <w:pPr>
        <w:sectPr>
          <w:pgSz w:w="11900" w:h="16838" w:orient="portrait"/>
          <w:cols w:equalWidth="0" w:num="1">
            <w:col w:w="11420"/>
          </w:cols>
          <w:pgMar w:left="240" w:top="132" w:right="239" w:bottom="1440" w:gutter="0" w:footer="0" w:header="0"/>
          <w:type w:val="continuous"/>
        </w:sectPr>
      </w:pPr>
    </w:p>
    <w:bookmarkStart w:id="178" w:name="page179"/>
    <w:bookmarkEnd w:id="178"/>
    <w:p>
      <w:pPr>
        <w:jc w:val="center"/>
        <w:ind w:right="-19"/>
        <w:spacing w:after="0"/>
        <w:rPr>
          <w:sz w:val="20"/>
          <w:szCs w:val="20"/>
          <w:color w:val="auto"/>
        </w:rPr>
      </w:pPr>
      <w:r>
        <w:rPr>
          <w:rFonts w:ascii="Arial" w:cs="Arial" w:eastAsia="Arial" w:hAnsi="Arial"/>
          <w:sz w:val="22"/>
          <w:szCs w:val="22"/>
          <w:b w:val="1"/>
          <w:bCs w:val="1"/>
          <w:color w:val="auto"/>
        </w:rPr>
        <w:t>APPENDIX A TO STOCK OPTION AGREEMENT</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GRANT OF OPTION</w:t>
      </w:r>
    </w:p>
    <w:p>
      <w:pPr>
        <w:spacing w:after="0" w:line="200" w:lineRule="exact"/>
        <w:rPr>
          <w:sz w:val="20"/>
          <w:szCs w:val="20"/>
          <w:color w:val="auto"/>
        </w:rPr>
      </w:pPr>
    </w:p>
    <w:p>
      <w:pPr>
        <w:spacing w:after="0" w:line="231"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u w:val="single" w:color="auto"/>
          <w:color w:val="auto"/>
        </w:rPr>
        <w:t>Section 1.1 Grant of Option</w:t>
      </w:r>
      <w:r>
        <w:rPr>
          <w:rFonts w:ascii="Arial" w:cs="Arial" w:eastAsia="Arial" w:hAnsi="Arial"/>
          <w:sz w:val="22"/>
          <w:szCs w:val="22"/>
          <w:color w:val="auto"/>
        </w:rPr>
        <w:t>. The Company hereby grants to the Optionee the Option to purchase any part or all of the Shares upon the terms and conditions set forth in the Plan and this Agreement (including the Grant Notice and this Appendix). The Optionee hereby agrees that, except as required by law, he or she will not disclose to any Person other than the Optionee’s spouse and/or tax or financial advisor (if any) the grant of the Option or any of the terms or provisions hereof without prior approval from the Administrator.</w:t>
      </w:r>
    </w:p>
    <w:p>
      <w:pPr>
        <w:spacing w:after="0" w:line="200" w:lineRule="exact"/>
        <w:rPr>
          <w:sz w:val="20"/>
          <w:szCs w:val="20"/>
          <w:color w:val="auto"/>
        </w:rPr>
      </w:pPr>
    </w:p>
    <w:p>
      <w:pPr>
        <w:spacing w:after="0" w:line="206" w:lineRule="exact"/>
        <w:rPr>
          <w:sz w:val="20"/>
          <w:szCs w:val="20"/>
          <w:color w:val="auto"/>
        </w:rPr>
      </w:pPr>
    </w:p>
    <w:p>
      <w:pPr>
        <w:spacing w:after="0" w:line="276" w:lineRule="auto"/>
        <w:rPr>
          <w:sz w:val="20"/>
          <w:szCs w:val="20"/>
          <w:color w:val="auto"/>
        </w:rPr>
      </w:pPr>
      <w:r>
        <w:rPr>
          <w:rFonts w:ascii="Arial" w:cs="Arial" w:eastAsia="Arial" w:hAnsi="Arial"/>
          <w:sz w:val="22"/>
          <w:szCs w:val="22"/>
          <w:u w:val="single" w:color="auto"/>
          <w:color w:val="auto"/>
        </w:rPr>
        <w:t>Section 1.2 Option Subject to Plan</w:t>
      </w:r>
      <w:r>
        <w:rPr>
          <w:rFonts w:ascii="Arial" w:cs="Arial" w:eastAsia="Arial" w:hAnsi="Arial"/>
          <w:sz w:val="22"/>
          <w:szCs w:val="22"/>
          <w:color w:val="auto"/>
        </w:rPr>
        <w:t>. The Option granted hereunder is subject to the terms and provisions of the Plan, including, but not limited to, Article V, Article XI, Article XII, Article XIII and Article XIV thereof.</w:t>
      </w:r>
    </w:p>
    <w:p>
      <w:pPr>
        <w:spacing w:after="0" w:line="377" w:lineRule="exact"/>
        <w:rPr>
          <w:sz w:val="20"/>
          <w:szCs w:val="20"/>
          <w:color w:val="auto"/>
        </w:rPr>
      </w:pPr>
    </w:p>
    <w:p>
      <w:pPr>
        <w:ind w:right="260"/>
        <w:spacing w:after="0" w:line="276" w:lineRule="auto"/>
        <w:rPr>
          <w:sz w:val="20"/>
          <w:szCs w:val="20"/>
          <w:color w:val="auto"/>
        </w:rPr>
      </w:pPr>
      <w:r>
        <w:rPr>
          <w:rFonts w:ascii="Arial" w:cs="Arial" w:eastAsia="Arial" w:hAnsi="Arial"/>
          <w:sz w:val="22"/>
          <w:szCs w:val="22"/>
          <w:u w:val="single" w:color="auto"/>
          <w:color w:val="auto"/>
        </w:rPr>
        <w:t>Section 1.3 Exercise Price</w:t>
      </w:r>
      <w:r>
        <w:rPr>
          <w:rFonts w:ascii="Arial" w:cs="Arial" w:eastAsia="Arial" w:hAnsi="Arial"/>
          <w:sz w:val="22"/>
          <w:szCs w:val="22"/>
          <w:color w:val="auto"/>
        </w:rPr>
        <w:t>. The Exercise Price of the Shares covered by the Option has been determined in accordance with the provisions set forth in the Plan and does not include any commission or other charges.</w:t>
      </w:r>
    </w:p>
    <w:p>
      <w:pPr>
        <w:spacing w:after="0" w:line="371"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3600"/>
        <w:spacing w:after="0"/>
        <w:rPr>
          <w:sz w:val="20"/>
          <w:szCs w:val="20"/>
          <w:color w:val="auto"/>
        </w:rPr>
      </w:pPr>
      <w:r>
        <w:rPr>
          <w:rFonts w:ascii="Arial" w:cs="Arial" w:eastAsia="Arial" w:hAnsi="Arial"/>
          <w:sz w:val="22"/>
          <w:szCs w:val="22"/>
          <w:b w:val="1"/>
          <w:bCs w:val="1"/>
          <w:u w:val="single" w:color="auto"/>
          <w:color w:val="auto"/>
        </w:rPr>
        <w:t>VESTING SCHEDULE; EXERCISABILITY</w:t>
      </w:r>
    </w:p>
    <w:p>
      <w:pPr>
        <w:spacing w:after="0" w:line="200" w:lineRule="exact"/>
        <w:rPr>
          <w:sz w:val="20"/>
          <w:szCs w:val="20"/>
          <w:color w:val="auto"/>
        </w:rPr>
      </w:pPr>
    </w:p>
    <w:p>
      <w:pPr>
        <w:spacing w:after="0" w:line="231"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u w:val="single" w:color="auto"/>
          <w:color w:val="auto"/>
        </w:rPr>
        <w:t>Section 2.1</w:t>
      </w:r>
      <w:r>
        <w:rPr>
          <w:sz w:val="20"/>
          <w:szCs w:val="20"/>
          <w:color w:val="auto"/>
        </w:rPr>
        <w:tab/>
      </w:r>
      <w:r>
        <w:rPr>
          <w:rFonts w:ascii="Arial" w:cs="Arial" w:eastAsia="Arial" w:hAnsi="Arial"/>
          <w:sz w:val="19"/>
          <w:szCs w:val="19"/>
          <w:u w:val="single" w:color="auto"/>
          <w:color w:val="auto"/>
        </w:rPr>
        <w:t>Vesting and Exercisability of the Option</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firstLine="656"/>
        <w:spacing w:after="0" w:line="260" w:lineRule="auto"/>
        <w:tabs>
          <w:tab w:leader="none" w:pos="1068"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Vesting</w:t>
      </w:r>
      <w:r>
        <w:rPr>
          <w:rFonts w:ascii="Arial" w:cs="Arial" w:eastAsia="Arial" w:hAnsi="Arial"/>
          <w:sz w:val="22"/>
          <w:szCs w:val="22"/>
          <w:color w:val="auto"/>
        </w:rPr>
        <w:t>. Except as provided in this Section 2, the Option shall become vested and exercisable in the amount(s) and on</w:t>
      </w:r>
      <w:r>
        <w:rPr>
          <w:rFonts w:ascii="Arial" w:cs="Arial" w:eastAsia="Arial" w:hAnsi="Arial"/>
          <w:sz w:val="22"/>
          <w:szCs w:val="22"/>
          <w:i w:val="1"/>
          <w:iCs w:val="1"/>
          <w:color w:val="auto"/>
        </w:rPr>
        <w:t xml:space="preserve"> </w:t>
      </w:r>
      <w:r>
        <w:rPr>
          <w:rFonts w:ascii="Arial" w:cs="Arial" w:eastAsia="Arial" w:hAnsi="Arial"/>
          <w:sz w:val="22"/>
          <w:szCs w:val="22"/>
          <w:color w:val="auto"/>
        </w:rPr>
        <w:t>the vesting date(s) set forth in the Grant Notice (each, a “</w:t>
      </w:r>
      <w:r>
        <w:rPr>
          <w:rFonts w:ascii="Arial" w:cs="Arial" w:eastAsia="Arial" w:hAnsi="Arial"/>
          <w:sz w:val="22"/>
          <w:szCs w:val="22"/>
          <w:u w:val="single" w:color="auto"/>
          <w:color w:val="auto"/>
        </w:rPr>
        <w:t>Vesting Date</w:t>
      </w:r>
      <w:r>
        <w:rPr>
          <w:rFonts w:ascii="Arial" w:cs="Arial" w:eastAsia="Arial" w:hAnsi="Arial"/>
          <w:sz w:val="22"/>
          <w:szCs w:val="22"/>
          <w:color w:val="auto"/>
        </w:rPr>
        <w:t>”), so long as the Optionee remains continuously in service as a Service Provider through such Vesting Date.</w:t>
      </w:r>
    </w:p>
    <w:p>
      <w:pPr>
        <w:spacing w:after="0" w:line="393" w:lineRule="exact"/>
        <w:rPr>
          <w:rFonts w:ascii="Arial" w:cs="Arial" w:eastAsia="Arial" w:hAnsi="Arial"/>
          <w:sz w:val="22"/>
          <w:szCs w:val="22"/>
          <w:color w:val="auto"/>
        </w:rPr>
      </w:pPr>
    </w:p>
    <w:p>
      <w:pPr>
        <w:ind w:left="1080" w:hanging="424"/>
        <w:spacing w:after="0"/>
        <w:tabs>
          <w:tab w:leader="none" w:pos="1080" w:val="left"/>
        </w:tabs>
        <w:numPr>
          <w:ilvl w:val="0"/>
          <w:numId w:val="140"/>
        </w:numPr>
        <w:rPr>
          <w:rFonts w:ascii="Arial" w:cs="Arial" w:eastAsia="Arial" w:hAnsi="Arial"/>
          <w:sz w:val="21"/>
          <w:szCs w:val="21"/>
          <w:color w:val="auto"/>
        </w:rPr>
      </w:pPr>
      <w:r>
        <w:rPr>
          <w:rFonts w:ascii="Arial" w:cs="Arial" w:eastAsia="Arial" w:hAnsi="Arial"/>
          <w:sz w:val="21"/>
          <w:szCs w:val="21"/>
          <w:i w:val="1"/>
          <w:iCs w:val="1"/>
          <w:color w:val="auto"/>
        </w:rPr>
        <w:t>Change in Control Vesting</w:t>
      </w:r>
      <w:r>
        <w:rPr>
          <w:rFonts w:ascii="Arial" w:cs="Arial" w:eastAsia="Arial" w:hAnsi="Arial"/>
          <w:sz w:val="21"/>
          <w:szCs w:val="21"/>
          <w:color w:val="auto"/>
        </w:rPr>
        <w:t>. Upon the occurrence of a Change in Control, any Option shall vest as set forth in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Section 2.9.</w:t>
      </w:r>
    </w:p>
    <w:p>
      <w:pPr>
        <w:spacing w:after="0" w:line="200" w:lineRule="exact"/>
        <w:rPr>
          <w:sz w:val="20"/>
          <w:szCs w:val="20"/>
          <w:color w:val="auto"/>
        </w:rPr>
      </w:pPr>
    </w:p>
    <w:p>
      <w:pPr>
        <w:spacing w:after="0" w:line="231" w:lineRule="exact"/>
        <w:rPr>
          <w:sz w:val="20"/>
          <w:szCs w:val="20"/>
          <w:color w:val="auto"/>
        </w:rPr>
      </w:pPr>
    </w:p>
    <w:p>
      <w:pPr>
        <w:ind w:right="120" w:firstLine="656"/>
        <w:spacing w:after="0" w:line="276" w:lineRule="auto"/>
        <w:tabs>
          <w:tab w:leader="none" w:pos="1068" w:val="left"/>
        </w:tabs>
        <w:numPr>
          <w:ilvl w:val="0"/>
          <w:numId w:val="141"/>
        </w:numPr>
        <w:rPr>
          <w:rFonts w:ascii="Arial" w:cs="Arial" w:eastAsia="Arial" w:hAnsi="Arial"/>
          <w:sz w:val="22"/>
          <w:szCs w:val="22"/>
          <w:color w:val="auto"/>
        </w:rPr>
      </w:pPr>
      <w:r>
        <w:rPr>
          <w:rFonts w:ascii="Arial" w:cs="Arial" w:eastAsia="Arial" w:hAnsi="Arial"/>
          <w:sz w:val="22"/>
          <w:szCs w:val="22"/>
          <w:i w:val="1"/>
          <w:iCs w:val="1"/>
          <w:color w:val="auto"/>
        </w:rPr>
        <w:t>Discretionary Vesting</w:t>
      </w:r>
      <w:r>
        <w:rPr>
          <w:rFonts w:ascii="Arial" w:cs="Arial" w:eastAsia="Arial" w:hAnsi="Arial"/>
          <w:sz w:val="22"/>
          <w:szCs w:val="22"/>
          <w:color w:val="auto"/>
        </w:rPr>
        <w:t>. The Administrator in its sole discretion may accelerate the vesting of any portion of the Option</w:t>
      </w:r>
      <w:r>
        <w:rPr>
          <w:rFonts w:ascii="Arial" w:cs="Arial" w:eastAsia="Arial" w:hAnsi="Arial"/>
          <w:sz w:val="22"/>
          <w:szCs w:val="22"/>
          <w:i w:val="1"/>
          <w:iCs w:val="1"/>
          <w:color w:val="auto"/>
        </w:rPr>
        <w:t xml:space="preserve"> </w:t>
      </w:r>
      <w:r>
        <w:rPr>
          <w:rFonts w:ascii="Arial" w:cs="Arial" w:eastAsia="Arial" w:hAnsi="Arial"/>
          <w:sz w:val="22"/>
          <w:szCs w:val="22"/>
          <w:color w:val="auto"/>
        </w:rPr>
        <w:t>that does not otherwise vest pursuant to this Section 2.1.</w:t>
      </w:r>
    </w:p>
    <w:p>
      <w:pPr>
        <w:spacing w:after="0" w:line="37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u w:val="single" w:color="auto"/>
          <w:color w:val="auto"/>
        </w:rPr>
        <w:t>Section 2.2</w:t>
      </w:r>
      <w:r>
        <w:rPr>
          <w:sz w:val="20"/>
          <w:szCs w:val="20"/>
          <w:color w:val="auto"/>
        </w:rPr>
        <w:tab/>
      </w:r>
      <w:r>
        <w:rPr>
          <w:rFonts w:ascii="Arial" w:cs="Arial" w:eastAsia="Arial" w:hAnsi="Arial"/>
          <w:sz w:val="19"/>
          <w:szCs w:val="19"/>
          <w:u w:val="single" w:color="auto"/>
          <w:color w:val="auto"/>
        </w:rPr>
        <w:t>Termination of Employment or Service</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right="80" w:firstLine="656"/>
        <w:spacing w:after="0" w:line="320" w:lineRule="auto"/>
        <w:tabs>
          <w:tab w:leader="none" w:pos="1068" w:val="left"/>
        </w:tabs>
        <w:numPr>
          <w:ilvl w:val="0"/>
          <w:numId w:val="142"/>
        </w:numPr>
        <w:rPr>
          <w:rFonts w:ascii="Arial" w:cs="Arial" w:eastAsia="Arial" w:hAnsi="Arial"/>
          <w:sz w:val="19"/>
          <w:szCs w:val="19"/>
          <w:color w:val="auto"/>
        </w:rPr>
      </w:pPr>
      <w:r>
        <w:rPr>
          <w:rFonts w:ascii="Arial" w:cs="Arial" w:eastAsia="Arial" w:hAnsi="Arial"/>
          <w:sz w:val="19"/>
          <w:szCs w:val="19"/>
          <w:i w:val="1"/>
          <w:iCs w:val="1"/>
          <w:color w:val="auto"/>
        </w:rPr>
        <w:t>Termination Due to Death</w:t>
      </w:r>
      <w:r>
        <w:rPr>
          <w:rFonts w:ascii="Arial" w:cs="Arial" w:eastAsia="Arial" w:hAnsi="Arial"/>
          <w:sz w:val="19"/>
          <w:szCs w:val="19"/>
          <w:color w:val="auto"/>
        </w:rPr>
        <w:t>. If an Optionee’s employment or service terminates due to the Optionee’s death, all Options</w:t>
      </w:r>
      <w:r>
        <w:rPr>
          <w:rFonts w:ascii="Arial" w:cs="Arial" w:eastAsia="Arial" w:hAnsi="Arial"/>
          <w:sz w:val="19"/>
          <w:szCs w:val="19"/>
          <w:i w:val="1"/>
          <w:iCs w:val="1"/>
          <w:color w:val="auto"/>
        </w:rPr>
        <w:t xml:space="preserve"> </w:t>
      </w:r>
      <w:r>
        <w:rPr>
          <w:rFonts w:ascii="Arial" w:cs="Arial" w:eastAsia="Arial" w:hAnsi="Arial"/>
          <w:sz w:val="19"/>
          <w:szCs w:val="19"/>
          <w:color w:val="auto"/>
        </w:rPr>
        <w:t>shall immediately vest and shall remain outstanding until (</w:t>
      </w:r>
      <w:r>
        <w:rPr>
          <w:rFonts w:ascii="Arial" w:cs="Arial" w:eastAsia="Arial" w:hAnsi="Arial"/>
          <w:sz w:val="19"/>
          <w:szCs w:val="19"/>
          <w:u w:val="single" w:color="auto"/>
          <w:color w:val="auto"/>
        </w:rPr>
        <w:t>i</w:t>
      </w:r>
      <w:r>
        <w:rPr>
          <w:rFonts w:ascii="Arial" w:cs="Arial" w:eastAsia="Arial" w:hAnsi="Arial"/>
          <w:sz w:val="19"/>
          <w:szCs w:val="19"/>
          <w:color w:val="auto"/>
        </w:rPr>
        <w:t>) the first anniversary of the date of the Optionee’s death or (</w:t>
      </w:r>
      <w:r>
        <w:rPr>
          <w:rFonts w:ascii="Arial" w:cs="Arial" w:eastAsia="Arial" w:hAnsi="Arial"/>
          <w:sz w:val="19"/>
          <w:szCs w:val="19"/>
          <w:u w:val="single" w:color="auto"/>
          <w:color w:val="auto"/>
        </w:rPr>
        <w:t>ii</w:t>
      </w:r>
      <w:r>
        <w:rPr>
          <w:rFonts w:ascii="Arial" w:cs="Arial" w:eastAsia="Arial" w:hAnsi="Arial"/>
          <w:sz w:val="19"/>
          <w:szCs w:val="19"/>
          <w:color w:val="auto"/>
        </w:rPr>
        <w:t>) the Option’s Final Expiration Date, whichever is earlier, after which any unexercised Options shall immediately terminate.</w:t>
      </w:r>
    </w:p>
    <w:p>
      <w:pPr>
        <w:spacing w:after="0" w:line="341" w:lineRule="exact"/>
        <w:rPr>
          <w:rFonts w:ascii="Arial" w:cs="Arial" w:eastAsia="Arial" w:hAnsi="Arial"/>
          <w:sz w:val="19"/>
          <w:szCs w:val="19"/>
          <w:color w:val="auto"/>
        </w:rPr>
      </w:pPr>
    </w:p>
    <w:p>
      <w:pPr>
        <w:jc w:val="both"/>
        <w:ind w:right="380" w:firstLine="656"/>
        <w:spacing w:after="0" w:line="320" w:lineRule="auto"/>
        <w:tabs>
          <w:tab w:leader="none" w:pos="1080" w:val="left"/>
        </w:tabs>
        <w:numPr>
          <w:ilvl w:val="0"/>
          <w:numId w:val="142"/>
        </w:numPr>
        <w:rPr>
          <w:rFonts w:ascii="Arial" w:cs="Arial" w:eastAsia="Arial" w:hAnsi="Arial"/>
          <w:sz w:val="19"/>
          <w:szCs w:val="19"/>
          <w:color w:val="auto"/>
        </w:rPr>
      </w:pPr>
      <w:r>
        <w:rPr>
          <w:rFonts w:ascii="Arial" w:cs="Arial" w:eastAsia="Arial" w:hAnsi="Arial"/>
          <w:sz w:val="19"/>
          <w:szCs w:val="19"/>
          <w:i w:val="1"/>
          <w:iCs w:val="1"/>
          <w:color w:val="auto"/>
        </w:rPr>
        <w:t>Termination Due to Disability</w:t>
      </w:r>
      <w:r>
        <w:rPr>
          <w:rFonts w:ascii="Arial" w:cs="Arial" w:eastAsia="Arial" w:hAnsi="Arial"/>
          <w:sz w:val="19"/>
          <w:szCs w:val="19"/>
          <w:color w:val="auto"/>
        </w:rPr>
        <w:t>. If an Optionee’s employment or service terminates due to the Optionee’s Disability,</w:t>
      </w:r>
      <w:r>
        <w:rPr>
          <w:rFonts w:ascii="Arial" w:cs="Arial" w:eastAsia="Arial" w:hAnsi="Arial"/>
          <w:sz w:val="19"/>
          <w:szCs w:val="19"/>
          <w:i w:val="1"/>
          <w:iCs w:val="1"/>
          <w:color w:val="auto"/>
        </w:rPr>
        <w:t xml:space="preserve"> </w:t>
      </w:r>
      <w:r>
        <w:rPr>
          <w:rFonts w:ascii="Arial" w:cs="Arial" w:eastAsia="Arial" w:hAnsi="Arial"/>
          <w:sz w:val="19"/>
          <w:szCs w:val="19"/>
          <w:color w:val="auto"/>
        </w:rPr>
        <w:t>unvested Options shall not be forfeited and shall continue to vest in accordance with the schedule set forth in this Stock Option Agreement. All vested Options shall remain outstanding until (</w:t>
      </w:r>
      <w:r>
        <w:rPr>
          <w:rFonts w:ascii="Arial" w:cs="Arial" w:eastAsia="Arial" w:hAnsi="Arial"/>
          <w:sz w:val="19"/>
          <w:szCs w:val="19"/>
          <w:u w:val="single" w:color="auto"/>
          <w:color w:val="auto"/>
        </w:rPr>
        <w:t>i</w:t>
      </w:r>
      <w:r>
        <w:rPr>
          <w:rFonts w:ascii="Arial" w:cs="Arial" w:eastAsia="Arial" w:hAnsi="Arial"/>
          <w:sz w:val="19"/>
          <w:szCs w:val="19"/>
          <w:color w:val="auto"/>
        </w:rPr>
        <w:t>) the later of the first anniversary of either (</w:t>
      </w:r>
      <w:r>
        <w:rPr>
          <w:rFonts w:ascii="Arial" w:cs="Arial" w:eastAsia="Arial" w:hAnsi="Arial"/>
          <w:sz w:val="19"/>
          <w:szCs w:val="19"/>
          <w:u w:val="single" w:color="auto"/>
          <w:color w:val="auto"/>
        </w:rPr>
        <w:t>x</w:t>
      </w:r>
      <w:r>
        <w:rPr>
          <w:rFonts w:ascii="Arial" w:cs="Arial" w:eastAsia="Arial" w:hAnsi="Arial"/>
          <w:sz w:val="19"/>
          <w:szCs w:val="19"/>
          <w:color w:val="auto"/>
        </w:rPr>
        <w:t>) the</w:t>
      </w:r>
    </w:p>
    <w:p>
      <w:pPr>
        <w:sectPr>
          <w:pgSz w:w="11900" w:h="16838" w:orient="portrait"/>
          <w:cols w:equalWidth="0" w:num="1">
            <w:col w:w="11400"/>
          </w:cols>
          <w:pgMar w:left="240" w:top="585" w:right="25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5" w:right="259" w:bottom="1440" w:gutter="0" w:footer="0" w:header="0"/>
          <w:type w:val="continuous"/>
        </w:sectPr>
      </w:pPr>
    </w:p>
    <w:bookmarkStart w:id="179" w:name="page180"/>
    <w:bookmarkEnd w:id="179"/>
    <w:p>
      <w:pPr>
        <w:ind w:right="180"/>
        <w:spacing w:after="0" w:line="263" w:lineRule="auto"/>
        <w:rPr>
          <w:sz w:val="20"/>
          <w:szCs w:val="20"/>
          <w:color w:val="auto"/>
        </w:rPr>
      </w:pPr>
      <w:r>
        <w:rPr>
          <w:rFonts w:ascii="Arial" w:cs="Arial" w:eastAsia="Arial" w:hAnsi="Arial"/>
          <w:sz w:val="22"/>
          <w:szCs w:val="22"/>
          <w:color w:val="auto"/>
        </w:rPr>
        <w:t>date of termination due to Disability or (</w:t>
      </w:r>
      <w:r>
        <w:rPr>
          <w:rFonts w:ascii="Arial" w:cs="Arial" w:eastAsia="Arial" w:hAnsi="Arial"/>
          <w:sz w:val="22"/>
          <w:szCs w:val="22"/>
          <w:u w:val="single" w:color="auto"/>
          <w:color w:val="auto"/>
        </w:rPr>
        <w:t>y</w:t>
      </w:r>
      <w:r>
        <w:rPr>
          <w:rFonts w:ascii="Arial" w:cs="Arial" w:eastAsia="Arial" w:hAnsi="Arial"/>
          <w:sz w:val="22"/>
          <w:szCs w:val="22"/>
          <w:color w:val="auto"/>
        </w:rPr>
        <w:t>) the date of vesting or (</w:t>
      </w:r>
      <w:r>
        <w:rPr>
          <w:rFonts w:ascii="Arial" w:cs="Arial" w:eastAsia="Arial" w:hAnsi="Arial"/>
          <w:sz w:val="22"/>
          <w:szCs w:val="22"/>
          <w:u w:val="single" w:color="auto"/>
          <w:color w:val="auto"/>
        </w:rPr>
        <w:t>ii</w:t>
      </w:r>
      <w:r>
        <w:rPr>
          <w:rFonts w:ascii="Arial" w:cs="Arial" w:eastAsia="Arial" w:hAnsi="Arial"/>
          <w:sz w:val="22"/>
          <w:szCs w:val="22"/>
          <w:color w:val="auto"/>
        </w:rPr>
        <w:t>) the Option’s Final Expiration Date, whichever is earlier, after which any unexercised Options shall immediately terminate.</w:t>
      </w:r>
    </w:p>
    <w:p>
      <w:pPr>
        <w:spacing w:after="0" w:line="391" w:lineRule="exact"/>
        <w:rPr>
          <w:sz w:val="20"/>
          <w:szCs w:val="20"/>
          <w:color w:val="auto"/>
        </w:rPr>
      </w:pPr>
    </w:p>
    <w:p>
      <w:pPr>
        <w:ind w:right="100" w:firstLine="656"/>
        <w:spacing w:after="0" w:line="237" w:lineRule="auto"/>
        <w:tabs>
          <w:tab w:leader="none" w:pos="1068" w:val="left"/>
        </w:tabs>
        <w:numPr>
          <w:ilvl w:val="0"/>
          <w:numId w:val="143"/>
        </w:numPr>
        <w:rPr>
          <w:rFonts w:ascii="Arial" w:cs="Arial" w:eastAsia="Arial" w:hAnsi="Arial"/>
          <w:sz w:val="22"/>
          <w:szCs w:val="22"/>
          <w:color w:val="auto"/>
        </w:rPr>
      </w:pPr>
      <w:r>
        <w:rPr>
          <w:rFonts w:ascii="Arial" w:cs="Arial" w:eastAsia="Arial" w:hAnsi="Arial"/>
          <w:sz w:val="22"/>
          <w:szCs w:val="22"/>
          <w:i w:val="1"/>
          <w:iCs w:val="1"/>
          <w:color w:val="auto"/>
        </w:rPr>
        <w:t>Termination by Reason of a Company Approved Departure</w:t>
      </w:r>
      <w:r>
        <w:rPr>
          <w:rFonts w:ascii="Arial" w:cs="Arial" w:eastAsia="Arial" w:hAnsi="Arial"/>
          <w:sz w:val="22"/>
          <w:szCs w:val="22"/>
          <w:color w:val="auto"/>
        </w:rPr>
        <w:t>. Unless otherwise determined by the Administrator, if an</w:t>
      </w:r>
      <w:r>
        <w:rPr>
          <w:rFonts w:ascii="Arial" w:cs="Arial" w:eastAsia="Arial" w:hAnsi="Arial"/>
          <w:sz w:val="22"/>
          <w:szCs w:val="22"/>
          <w:i w:val="1"/>
          <w:iCs w:val="1"/>
          <w:color w:val="auto"/>
        </w:rPr>
        <w:t xml:space="preserve"> </w:t>
      </w:r>
      <w:r>
        <w:rPr>
          <w:rFonts w:ascii="Arial" w:cs="Arial" w:eastAsia="Arial" w:hAnsi="Arial"/>
          <w:sz w:val="22"/>
          <w:szCs w:val="22"/>
          <w:color w:val="auto"/>
        </w:rPr>
        <w:t>Optionee’s employment or service terminates in a Company Approved Departure, unvested Options shall not be forfeited and shall continue to vest in accordance with the schedule set forth in this Stock Option Agreement. All vested Options shall remain outstanding until (</w:t>
      </w:r>
      <w:r>
        <w:rPr>
          <w:rFonts w:ascii="Arial" w:cs="Arial" w:eastAsia="Arial" w:hAnsi="Arial"/>
          <w:sz w:val="22"/>
          <w:szCs w:val="22"/>
          <w:u w:val="single" w:color="auto"/>
          <w:color w:val="auto"/>
        </w:rPr>
        <w:t>i</w:t>
      </w:r>
      <w:r>
        <w:rPr>
          <w:rFonts w:ascii="Arial" w:cs="Arial" w:eastAsia="Arial" w:hAnsi="Arial"/>
          <w:sz w:val="22"/>
          <w:szCs w:val="22"/>
          <w:color w:val="auto"/>
        </w:rPr>
        <w:t>) the later of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after either (</w:t>
      </w:r>
      <w:r>
        <w:rPr>
          <w:rFonts w:ascii="Arial" w:cs="Arial" w:eastAsia="Arial" w:hAnsi="Arial"/>
          <w:sz w:val="22"/>
          <w:szCs w:val="22"/>
          <w:u w:val="single" w:color="auto"/>
          <w:color w:val="auto"/>
        </w:rPr>
        <w:t>x</w:t>
      </w:r>
      <w:r>
        <w:rPr>
          <w:rFonts w:ascii="Arial" w:cs="Arial" w:eastAsia="Arial" w:hAnsi="Arial"/>
          <w:sz w:val="22"/>
          <w:szCs w:val="22"/>
          <w:color w:val="auto"/>
        </w:rPr>
        <w:t>) the date of termination of Optionee’s employment or service or (</w:t>
      </w:r>
      <w:r>
        <w:rPr>
          <w:rFonts w:ascii="Arial" w:cs="Arial" w:eastAsia="Arial" w:hAnsi="Arial"/>
          <w:sz w:val="22"/>
          <w:szCs w:val="22"/>
          <w:u w:val="single" w:color="auto"/>
          <w:color w:val="auto"/>
        </w:rPr>
        <w:t>y</w:t>
      </w:r>
      <w:r>
        <w:rPr>
          <w:rFonts w:ascii="Arial" w:cs="Arial" w:eastAsia="Arial" w:hAnsi="Arial"/>
          <w:sz w:val="22"/>
          <w:szCs w:val="22"/>
          <w:color w:val="auto"/>
        </w:rPr>
        <w:t>) the date of vesting or (</w:t>
      </w:r>
      <w:r>
        <w:rPr>
          <w:rFonts w:ascii="Arial" w:cs="Arial" w:eastAsia="Arial" w:hAnsi="Arial"/>
          <w:sz w:val="22"/>
          <w:szCs w:val="22"/>
          <w:u w:val="single" w:color="auto"/>
          <w:color w:val="auto"/>
        </w:rPr>
        <w:t>ii</w:t>
      </w:r>
      <w:r>
        <w:rPr>
          <w:rFonts w:ascii="Arial" w:cs="Arial" w:eastAsia="Arial" w:hAnsi="Arial"/>
          <w:sz w:val="22"/>
          <w:szCs w:val="22"/>
          <w:color w:val="auto"/>
        </w:rPr>
        <w:t>) the Option’s Final Expiration Date, whichever is earlier, after which any unexercised Options shall immediately terminate.</w:t>
      </w:r>
    </w:p>
    <w:p>
      <w:pPr>
        <w:spacing w:after="0" w:line="200" w:lineRule="exact"/>
        <w:rPr>
          <w:rFonts w:ascii="Arial" w:cs="Arial" w:eastAsia="Arial" w:hAnsi="Arial"/>
          <w:sz w:val="22"/>
          <w:szCs w:val="22"/>
          <w:color w:val="auto"/>
        </w:rPr>
      </w:pPr>
    </w:p>
    <w:p>
      <w:pPr>
        <w:spacing w:after="0" w:line="218" w:lineRule="exact"/>
        <w:rPr>
          <w:rFonts w:ascii="Arial" w:cs="Arial" w:eastAsia="Arial" w:hAnsi="Arial"/>
          <w:sz w:val="22"/>
          <w:szCs w:val="22"/>
          <w:color w:val="auto"/>
        </w:rPr>
      </w:pPr>
    </w:p>
    <w:p>
      <w:pPr>
        <w:ind w:right="100" w:firstLine="656"/>
        <w:spacing w:after="0" w:line="262" w:lineRule="auto"/>
        <w:tabs>
          <w:tab w:leader="none" w:pos="1080" w:val="left"/>
        </w:tabs>
        <w:numPr>
          <w:ilvl w:val="0"/>
          <w:numId w:val="143"/>
        </w:numPr>
        <w:rPr>
          <w:rFonts w:ascii="Arial" w:cs="Arial" w:eastAsia="Arial" w:hAnsi="Arial"/>
          <w:sz w:val="21"/>
          <w:szCs w:val="21"/>
          <w:color w:val="auto"/>
        </w:rPr>
      </w:pPr>
      <w:r>
        <w:rPr>
          <w:rFonts w:ascii="Arial" w:cs="Arial" w:eastAsia="Arial" w:hAnsi="Arial"/>
          <w:sz w:val="21"/>
          <w:szCs w:val="21"/>
          <w:i w:val="1"/>
          <w:iCs w:val="1"/>
          <w:color w:val="auto"/>
        </w:rPr>
        <w:t>Termination for Cause</w:t>
      </w:r>
      <w:r>
        <w:rPr>
          <w:rFonts w:ascii="Arial" w:cs="Arial" w:eastAsia="Arial" w:hAnsi="Arial"/>
          <w:sz w:val="21"/>
          <w:szCs w:val="21"/>
          <w:color w:val="auto"/>
        </w:rPr>
        <w:t>. Unless otherwise determined by the Administrator, if the Optionee’s employment or service</w:t>
      </w:r>
      <w:r>
        <w:rPr>
          <w:rFonts w:ascii="Arial" w:cs="Arial" w:eastAsia="Arial" w:hAnsi="Arial"/>
          <w:sz w:val="21"/>
          <w:szCs w:val="21"/>
          <w:i w:val="1"/>
          <w:iCs w:val="1"/>
          <w:color w:val="auto"/>
        </w:rPr>
        <w:t xml:space="preserve"> </w:t>
      </w:r>
      <w:r>
        <w:rPr>
          <w:rFonts w:ascii="Arial" w:cs="Arial" w:eastAsia="Arial" w:hAnsi="Arial"/>
          <w:sz w:val="21"/>
          <w:szCs w:val="21"/>
          <w:color w:val="auto"/>
        </w:rPr>
        <w:t>terminates for Cause, all Options, whether vested or unvested, shall be immediately forfeited and canceled, effective as of the date of the Optionee’s termination of employment or service. Notwithstanding the foregoing, unless otherwise determined by the Administrator and set forth in writing, any Option that vested during the twelve months prior to or any time after the Optionee engaged in the conduct that gave rise to the termination for Cause shall upon demand by the Administrator be immediately forfeited and disgorged or paid to the Company together with all gains earned or accrued due to the exercise of such Option or sale of Company Common Stock issued pursuant to such Option.</w:t>
      </w:r>
    </w:p>
    <w:p>
      <w:pPr>
        <w:spacing w:after="0" w:line="396" w:lineRule="exact"/>
        <w:rPr>
          <w:rFonts w:ascii="Arial" w:cs="Arial" w:eastAsia="Arial" w:hAnsi="Arial"/>
          <w:sz w:val="21"/>
          <w:szCs w:val="21"/>
          <w:color w:val="auto"/>
        </w:rPr>
      </w:pPr>
    </w:p>
    <w:p>
      <w:pPr>
        <w:ind w:right="20" w:firstLine="656"/>
        <w:spacing w:after="0" w:line="249" w:lineRule="auto"/>
        <w:tabs>
          <w:tab w:leader="none" w:pos="1068" w:val="left"/>
        </w:tabs>
        <w:numPr>
          <w:ilvl w:val="0"/>
          <w:numId w:val="143"/>
        </w:numPr>
        <w:rPr>
          <w:rFonts w:ascii="Arial" w:cs="Arial" w:eastAsia="Arial" w:hAnsi="Arial"/>
          <w:sz w:val="21"/>
          <w:szCs w:val="21"/>
          <w:color w:val="auto"/>
        </w:rPr>
      </w:pPr>
      <w:r>
        <w:rPr>
          <w:rFonts w:ascii="Arial" w:cs="Arial" w:eastAsia="Arial" w:hAnsi="Arial"/>
          <w:sz w:val="21"/>
          <w:szCs w:val="21"/>
          <w:i w:val="1"/>
          <w:iCs w:val="1"/>
          <w:color w:val="auto"/>
        </w:rPr>
        <w:t>Termination for Any Other Reason</w:t>
      </w:r>
      <w:r>
        <w:rPr>
          <w:rFonts w:ascii="Arial" w:cs="Arial" w:eastAsia="Arial" w:hAnsi="Arial"/>
          <w:sz w:val="21"/>
          <w:szCs w:val="21"/>
          <w:color w:val="auto"/>
        </w:rPr>
        <w:t>. Unless otherwise determined by the Administrator and set forth in writing, if an</w:t>
      </w:r>
      <w:r>
        <w:rPr>
          <w:rFonts w:ascii="Arial" w:cs="Arial" w:eastAsia="Arial" w:hAnsi="Arial"/>
          <w:sz w:val="21"/>
          <w:szCs w:val="21"/>
          <w:i w:val="1"/>
          <w:iCs w:val="1"/>
          <w:color w:val="auto"/>
        </w:rPr>
        <w:t xml:space="preserve"> </w:t>
      </w:r>
      <w:r>
        <w:rPr>
          <w:rFonts w:ascii="Arial" w:cs="Arial" w:eastAsia="Arial" w:hAnsi="Arial"/>
          <w:sz w:val="21"/>
          <w:szCs w:val="21"/>
          <w:color w:val="auto"/>
        </w:rPr>
        <w:t>Optionee’s employment or service terminates for any reason other than death, Disability, a Company Approved Departure, or Cause, all Options that are unvested shall be immediately forfeited and canceled, and all Options that are vested shall remain outstanding until (</w:t>
      </w:r>
      <w:r>
        <w:rPr>
          <w:rFonts w:ascii="Arial" w:cs="Arial" w:eastAsia="Arial" w:hAnsi="Arial"/>
          <w:sz w:val="21"/>
          <w:szCs w:val="21"/>
          <w:u w:val="single" w:color="auto"/>
          <w:color w:val="auto"/>
        </w:rPr>
        <w:t>x</w:t>
      </w:r>
      <w:r>
        <w:rPr>
          <w:rFonts w:ascii="Arial" w:cs="Arial" w:eastAsia="Arial" w:hAnsi="Arial"/>
          <w:sz w:val="21"/>
          <w:szCs w:val="21"/>
          <w:color w:val="auto"/>
        </w:rPr>
        <w:t>)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after the date of termination of Optionee’s employment or service or (</w:t>
      </w:r>
      <w:r>
        <w:rPr>
          <w:rFonts w:ascii="Arial" w:cs="Arial" w:eastAsia="Arial" w:hAnsi="Arial"/>
          <w:sz w:val="21"/>
          <w:szCs w:val="21"/>
          <w:u w:val="single" w:color="auto"/>
          <w:color w:val="auto"/>
        </w:rPr>
        <w:t>y</w:t>
      </w:r>
      <w:r>
        <w:rPr>
          <w:rFonts w:ascii="Arial" w:cs="Arial" w:eastAsia="Arial" w:hAnsi="Arial"/>
          <w:sz w:val="21"/>
          <w:szCs w:val="21"/>
          <w:color w:val="auto"/>
        </w:rPr>
        <w:t>) the Final Expiration Date, whichever is earlier, after which any unexercised Options shall immediately terminate.</w:t>
      </w:r>
    </w:p>
    <w:p>
      <w:pPr>
        <w:spacing w:after="0" w:line="200" w:lineRule="exact"/>
        <w:rPr>
          <w:sz w:val="20"/>
          <w:szCs w:val="20"/>
          <w:color w:val="auto"/>
        </w:rPr>
      </w:pP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22"/>
          <w:szCs w:val="22"/>
          <w:u w:val="single" w:color="auto"/>
          <w:color w:val="auto"/>
        </w:rPr>
        <w:t>Section 2.3 Additional Forfeiture Provisions</w:t>
      </w:r>
      <w:r>
        <w:rPr>
          <w:rFonts w:ascii="Arial" w:cs="Arial" w:eastAsia="Arial" w:hAnsi="Arial"/>
          <w:sz w:val="22"/>
          <w:szCs w:val="22"/>
          <w:color w:val="auto"/>
        </w:rPr>
        <w:t>. The Optionee acknowledges and agrees that the Option shall be immediately forfeited and cease to be exercisable, and the Optionee shall be required to disgorge to the Company all gains earned or accrued due to the exercise of Options or sale of any Shares issued pursuant to such Options upon certain accounting restatements, if the Optionee engages in Competitive Activity (excluding, only if the Optionee is located in California, clause (a) of the definition of Competitive Activity contained in the Plan), as required by applicable law or if the Optionee engages in certain other misconduct as provided in Section 11.4 of the Plan.</w:t>
      </w:r>
    </w:p>
    <w:p>
      <w:pPr>
        <w:spacing w:after="0" w:line="200" w:lineRule="exact"/>
        <w:rPr>
          <w:sz w:val="20"/>
          <w:szCs w:val="20"/>
          <w:color w:val="auto"/>
        </w:rPr>
      </w:pPr>
    </w:p>
    <w:p>
      <w:pPr>
        <w:spacing w:after="0" w:line="204" w:lineRule="exact"/>
        <w:rPr>
          <w:sz w:val="20"/>
          <w:szCs w:val="20"/>
          <w:color w:val="auto"/>
        </w:rPr>
      </w:pPr>
    </w:p>
    <w:p>
      <w:pPr>
        <w:ind w:right="40"/>
        <w:spacing w:after="0" w:line="307" w:lineRule="auto"/>
        <w:rPr>
          <w:sz w:val="20"/>
          <w:szCs w:val="20"/>
          <w:color w:val="auto"/>
        </w:rPr>
      </w:pPr>
      <w:r>
        <w:rPr>
          <w:rFonts w:ascii="Arial" w:cs="Arial" w:eastAsia="Arial" w:hAnsi="Arial"/>
          <w:sz w:val="19"/>
          <w:szCs w:val="19"/>
          <w:u w:val="single" w:color="auto"/>
          <w:color w:val="auto"/>
        </w:rPr>
        <w:t>Section 2.4 Exercisability of the Option</w:t>
      </w:r>
      <w:r>
        <w:rPr>
          <w:rFonts w:ascii="Arial" w:cs="Arial" w:eastAsia="Arial" w:hAnsi="Arial"/>
          <w:sz w:val="19"/>
          <w:szCs w:val="19"/>
          <w:color w:val="auto"/>
        </w:rPr>
        <w:t>. The Optionee shall not have the right to exercise the Option until the date the applicable portion of the Option becomes vested pursuant to Section 2.1 or Section 2.2. The date that the applicable portion of the Option becomes exercisable is referred to herein as the “Exercise Commencement Date.” Subject to Section 14.1 of the Plan, following the Exercise Commencement Date, the applicable portion of the Option shall remain exercisable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180" w:name="page181"/>
    <w:bookmarkEnd w:id="180"/>
    <w:p>
      <w:pPr>
        <w:spacing w:after="0"/>
        <w:rPr>
          <w:sz w:val="20"/>
          <w:szCs w:val="20"/>
          <w:color w:val="auto"/>
        </w:rPr>
      </w:pPr>
      <w:r>
        <w:rPr>
          <w:rFonts w:ascii="Arial" w:cs="Arial" w:eastAsia="Arial" w:hAnsi="Arial"/>
          <w:sz w:val="19"/>
          <w:szCs w:val="19"/>
          <w:color w:val="auto"/>
        </w:rPr>
        <w:t>until it becomes unexercisable under Section 2.5. Once the Option becomes unexercisable, it shall be forfeited immediately.</w:t>
      </w:r>
    </w:p>
    <w:p>
      <w:pPr>
        <w:spacing w:after="0" w:line="200" w:lineRule="exact"/>
        <w:rPr>
          <w:sz w:val="20"/>
          <w:szCs w:val="20"/>
          <w:color w:val="auto"/>
        </w:rPr>
      </w:pP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u w:val="single" w:color="auto"/>
          <w:color w:val="auto"/>
        </w:rPr>
        <w:t>Section 2.5</w:t>
      </w:r>
      <w:r>
        <w:rPr>
          <w:sz w:val="20"/>
          <w:szCs w:val="20"/>
          <w:color w:val="auto"/>
        </w:rPr>
        <w:tab/>
      </w:r>
      <w:r>
        <w:rPr>
          <w:rFonts w:ascii="Arial" w:cs="Arial" w:eastAsia="Arial" w:hAnsi="Arial"/>
          <w:sz w:val="19"/>
          <w:szCs w:val="19"/>
          <w:u w:val="single" w:color="auto"/>
          <w:color w:val="auto"/>
        </w:rPr>
        <w:t>Expiration of Option</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Option may not be exercised to any extent by anyone after the first to occur of the following events:</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1680" w:hanging="375"/>
        <w:spacing w:after="0"/>
        <w:tabs>
          <w:tab w:leader="none" w:pos="168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Final Expiration Date;</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60" w:right="680" w:firstLine="645"/>
        <w:spacing w:after="0" w:line="251" w:lineRule="auto"/>
        <w:tabs>
          <w:tab w:leader="none" w:pos="1752" w:val="left"/>
        </w:tabs>
        <w:numPr>
          <w:ilvl w:val="1"/>
          <w:numId w:val="144"/>
        </w:numPr>
        <w:rPr>
          <w:rFonts w:ascii="Arial" w:cs="Arial" w:eastAsia="Arial" w:hAnsi="Arial"/>
          <w:sz w:val="22"/>
          <w:szCs w:val="22"/>
          <w:color w:val="auto"/>
        </w:rPr>
      </w:pPr>
      <w:r>
        <w:rPr>
          <w:rFonts w:ascii="Arial" w:cs="Arial" w:eastAsia="Arial" w:hAnsi="Arial"/>
          <w:sz w:val="22"/>
          <w:szCs w:val="22"/>
          <w:color w:val="auto"/>
        </w:rPr>
        <w:t>Except for such longer period of time as the Administrator may otherwise approve, in the event of a termination of the Optionee’s employment or service as a Service Provider for any reason other than Cause, death or Disability or in a Company Approved Departure, sixty (60) days following the date of the Optionee’s termination of employment or service as a Service Provider for any reason other than Cause, death, or Disability or in a Company Approved Departure;</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660" w:right="460" w:firstLine="645"/>
        <w:spacing w:after="0" w:line="276" w:lineRule="auto"/>
        <w:tabs>
          <w:tab w:leader="none" w:pos="1812" w:val="left"/>
        </w:tabs>
        <w:numPr>
          <w:ilvl w:val="1"/>
          <w:numId w:val="144"/>
        </w:numPr>
        <w:rPr>
          <w:rFonts w:ascii="Arial" w:cs="Arial" w:eastAsia="Arial" w:hAnsi="Arial"/>
          <w:sz w:val="22"/>
          <w:szCs w:val="22"/>
          <w:color w:val="auto"/>
        </w:rPr>
      </w:pPr>
      <w:r>
        <w:rPr>
          <w:rFonts w:ascii="Arial" w:cs="Arial" w:eastAsia="Arial" w:hAnsi="Arial"/>
          <w:sz w:val="22"/>
          <w:szCs w:val="22"/>
          <w:color w:val="auto"/>
        </w:rPr>
        <w:t>Except as the Administrator may otherwise approve, the date that the Company terminates the Optionee’s employment or service as a Service Provider for Cause;</w:t>
      </w:r>
    </w:p>
    <w:p>
      <w:pPr>
        <w:spacing w:after="0" w:line="377" w:lineRule="exact"/>
        <w:rPr>
          <w:rFonts w:ascii="Arial" w:cs="Arial" w:eastAsia="Arial" w:hAnsi="Arial"/>
          <w:sz w:val="22"/>
          <w:szCs w:val="22"/>
          <w:color w:val="auto"/>
        </w:rPr>
      </w:pPr>
    </w:p>
    <w:p>
      <w:pPr>
        <w:ind w:left="660" w:right="80" w:firstLine="645"/>
        <w:spacing w:after="0" w:line="358" w:lineRule="auto"/>
        <w:tabs>
          <w:tab w:leader="none" w:pos="180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Except for such longer period of time as the Administrator may otherwise approve, the first anniversary of the Optionee’s termination of employment or service as a Service Provider by reason of the Optionee’s death;</w:t>
      </w:r>
    </w:p>
    <w:p>
      <w:pPr>
        <w:spacing w:after="0" w:line="307" w:lineRule="exact"/>
        <w:rPr>
          <w:rFonts w:ascii="Arial" w:cs="Arial" w:eastAsia="Arial" w:hAnsi="Arial"/>
          <w:sz w:val="19"/>
          <w:szCs w:val="19"/>
          <w:color w:val="auto"/>
        </w:rPr>
      </w:pPr>
    </w:p>
    <w:p>
      <w:pPr>
        <w:ind w:left="660" w:right="500" w:firstLine="645"/>
        <w:spacing w:after="0" w:line="254" w:lineRule="auto"/>
        <w:tabs>
          <w:tab w:leader="none" w:pos="174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Except for such longer period of time as the Administrator may otherwise approve, in the event of the Optionee’s termination of employment or service as a Service Provider by reason of the Optionee’s Disability, the first anniversary of the later of (</w:t>
      </w:r>
      <w:r>
        <w:rPr>
          <w:rFonts w:ascii="Arial" w:cs="Arial" w:eastAsia="Arial" w:hAnsi="Arial"/>
          <w:sz w:val="22"/>
          <w:szCs w:val="22"/>
          <w:u w:val="single" w:color="auto"/>
          <w:color w:val="auto"/>
        </w:rPr>
        <w:t>A</w:t>
      </w:r>
      <w:r>
        <w:rPr>
          <w:rFonts w:ascii="Arial" w:cs="Arial" w:eastAsia="Arial" w:hAnsi="Arial"/>
          <w:sz w:val="22"/>
          <w:szCs w:val="22"/>
          <w:color w:val="auto"/>
        </w:rPr>
        <w:t>) the Optionee’s termination of employment or service or (</w:t>
      </w:r>
      <w:r>
        <w:rPr>
          <w:rFonts w:ascii="Arial" w:cs="Arial" w:eastAsia="Arial" w:hAnsi="Arial"/>
          <w:sz w:val="22"/>
          <w:szCs w:val="22"/>
          <w:u w:val="single" w:color="auto"/>
          <w:color w:val="auto"/>
        </w:rPr>
        <w:t>B</w:t>
      </w:r>
      <w:r>
        <w:rPr>
          <w:rFonts w:ascii="Arial" w:cs="Arial" w:eastAsia="Arial" w:hAnsi="Arial"/>
          <w:sz w:val="22"/>
          <w:szCs w:val="22"/>
          <w:color w:val="auto"/>
        </w:rPr>
        <w:t>) the date of vesting of the applicable Option;</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660" w:right="220" w:firstLine="645"/>
        <w:spacing w:after="0" w:line="234" w:lineRule="auto"/>
        <w:tabs>
          <w:tab w:leader="none" w:pos="180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Except for such longer period of time as the Administrator may otherwise approve, in the event of the Optionee’s termination of employment or service as a Service Provider by reason of a Company Approved Departure,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after the later of (</w:t>
      </w:r>
      <w:r>
        <w:rPr>
          <w:rFonts w:ascii="Arial" w:cs="Arial" w:eastAsia="Arial" w:hAnsi="Arial"/>
          <w:sz w:val="22"/>
          <w:szCs w:val="22"/>
          <w:u w:val="single" w:color="auto"/>
          <w:color w:val="auto"/>
        </w:rPr>
        <w:t>A</w:t>
      </w:r>
      <w:r>
        <w:rPr>
          <w:rFonts w:ascii="Arial" w:cs="Arial" w:eastAsia="Arial" w:hAnsi="Arial"/>
          <w:sz w:val="22"/>
          <w:szCs w:val="22"/>
          <w:color w:val="auto"/>
        </w:rPr>
        <w:t>) the Optionee’s termination of employment or service or (</w:t>
      </w:r>
      <w:r>
        <w:rPr>
          <w:rFonts w:ascii="Arial" w:cs="Arial" w:eastAsia="Arial" w:hAnsi="Arial"/>
          <w:sz w:val="22"/>
          <w:szCs w:val="22"/>
          <w:u w:val="single" w:color="auto"/>
          <w:color w:val="auto"/>
        </w:rPr>
        <w:t>B</w:t>
      </w:r>
      <w:r>
        <w:rPr>
          <w:rFonts w:ascii="Arial" w:cs="Arial" w:eastAsia="Arial" w:hAnsi="Arial"/>
          <w:sz w:val="22"/>
          <w:szCs w:val="22"/>
          <w:color w:val="auto"/>
        </w:rPr>
        <w:t>) the date of vesting of the applicable Option; or</w:t>
      </w:r>
    </w:p>
    <w:p>
      <w:pPr>
        <w:spacing w:after="0" w:line="200" w:lineRule="exact"/>
        <w:rPr>
          <w:rFonts w:ascii="Arial" w:cs="Arial" w:eastAsia="Arial" w:hAnsi="Arial"/>
          <w:sz w:val="22"/>
          <w:szCs w:val="22"/>
          <w:color w:val="auto"/>
        </w:rPr>
      </w:pPr>
    </w:p>
    <w:p>
      <w:pPr>
        <w:spacing w:after="0" w:line="218" w:lineRule="exact"/>
        <w:rPr>
          <w:rFonts w:ascii="Arial" w:cs="Arial" w:eastAsia="Arial" w:hAnsi="Arial"/>
          <w:sz w:val="22"/>
          <w:szCs w:val="22"/>
          <w:color w:val="auto"/>
        </w:rPr>
      </w:pPr>
    </w:p>
    <w:p>
      <w:pPr>
        <w:ind w:left="1860" w:hanging="555"/>
        <w:spacing w:after="0"/>
        <w:tabs>
          <w:tab w:leader="none" w:pos="186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Upon forfeiture of an Option as provided in Section 11.4 of the Plan.</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firstLine="656"/>
        <w:spacing w:after="0" w:line="250" w:lineRule="auto"/>
        <w:tabs>
          <w:tab w:leader="none" w:pos="108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For the purposes of the Plan and this Agreement, the date of the Optionee’s termination of service as a Service Provider shall be the last day that the Optionee provided service as a Service Provider, as determined by the Administrator, whether such day is selected by agreement with the Optionee or unilaterally by the Company or its Subsidiaries and whether with or without advance notice. For the avoidance of doubt, except as expressly provided in Section 2.2, no period of notice that is given or that ought to have been given to the Optionee under applicable law in respect of such termination of service as a Service Provider will be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591" w:right="259" w:bottom="1440" w:gutter="0" w:footer="0" w:header="0"/>
        </w:sectPr>
      </w:pPr>
    </w:p>
    <w:bookmarkStart w:id="181" w:name="page182"/>
    <w:bookmarkEnd w:id="181"/>
    <w:p>
      <w:pPr>
        <w:ind w:right="20"/>
        <w:spacing w:after="0" w:line="297" w:lineRule="auto"/>
        <w:rPr>
          <w:sz w:val="20"/>
          <w:szCs w:val="20"/>
          <w:color w:val="auto"/>
        </w:rPr>
      </w:pPr>
      <w:r>
        <w:rPr>
          <w:rFonts w:ascii="Arial" w:cs="Arial" w:eastAsia="Arial" w:hAnsi="Arial"/>
          <w:sz w:val="19"/>
          <w:szCs w:val="19"/>
          <w:color w:val="auto"/>
        </w:rPr>
        <w:t>utilized in determining entitlement under the Plan or this Agreement. Any action by the Company or its Subsidiaries taken in accordance with the terms of the Plan and this Agreement as set out aforesaid shall be deemed to fully and completely satisfy any liability or obligation of the Company or its Subsidiaries to the Optionee in respect of the Plan or this Agreement arising from or in connection with the Optionee’s termination of service as a Service Provider, including in respect of any period of notice given or that ought to have been given under applicable law in respect of such termination of service as a Service Provider.</w:t>
      </w:r>
    </w:p>
    <w:p>
      <w:pPr>
        <w:spacing w:after="0" w:line="363" w:lineRule="exact"/>
        <w:rPr>
          <w:sz w:val="20"/>
          <w:szCs w:val="20"/>
          <w:color w:val="auto"/>
        </w:rPr>
      </w:pPr>
    </w:p>
    <w:p>
      <w:pPr>
        <w:ind w:right="600"/>
        <w:spacing w:after="0" w:line="358" w:lineRule="auto"/>
        <w:rPr>
          <w:sz w:val="20"/>
          <w:szCs w:val="20"/>
          <w:color w:val="auto"/>
        </w:rPr>
      </w:pPr>
      <w:r>
        <w:rPr>
          <w:rFonts w:ascii="Arial" w:cs="Arial" w:eastAsia="Arial" w:hAnsi="Arial"/>
          <w:sz w:val="19"/>
          <w:szCs w:val="19"/>
          <w:u w:val="single" w:color="auto"/>
          <w:color w:val="auto"/>
        </w:rPr>
        <w:t>Section 2.6 Partial Exercise</w:t>
      </w:r>
      <w:r>
        <w:rPr>
          <w:rFonts w:ascii="Arial" w:cs="Arial" w:eastAsia="Arial" w:hAnsi="Arial"/>
          <w:sz w:val="19"/>
          <w:szCs w:val="19"/>
          <w:color w:val="auto"/>
        </w:rPr>
        <w:t>. Any exercisable portion of the Option or the entire Option, if then wholly exercisable, may be exercised in whole or in part at any time prior to the time when the Option or portion thereof becomes unexercisable.</w:t>
      </w:r>
    </w:p>
    <w:p>
      <w:pPr>
        <w:spacing w:after="0" w:line="307" w:lineRule="exact"/>
        <w:rPr>
          <w:sz w:val="20"/>
          <w:szCs w:val="20"/>
          <w:color w:val="auto"/>
        </w:rPr>
      </w:pPr>
    </w:p>
    <w:p>
      <w:pPr>
        <w:ind w:right="60"/>
        <w:spacing w:after="0" w:line="276" w:lineRule="auto"/>
        <w:rPr>
          <w:sz w:val="20"/>
          <w:szCs w:val="20"/>
          <w:color w:val="auto"/>
        </w:rPr>
      </w:pPr>
      <w:r>
        <w:rPr>
          <w:rFonts w:ascii="Arial" w:cs="Arial" w:eastAsia="Arial" w:hAnsi="Arial"/>
          <w:sz w:val="22"/>
          <w:szCs w:val="22"/>
          <w:u w:val="single" w:color="auto"/>
          <w:color w:val="auto"/>
        </w:rPr>
        <w:t>Section 2.7 Exercise of Option</w:t>
      </w:r>
      <w:r>
        <w:rPr>
          <w:rFonts w:ascii="Arial" w:cs="Arial" w:eastAsia="Arial" w:hAnsi="Arial"/>
          <w:sz w:val="22"/>
          <w:szCs w:val="22"/>
          <w:color w:val="auto"/>
        </w:rPr>
        <w:t>. The exercise of the Option shall be governed by the terms of this Agreement and the terms of the Plan, including, without limitation, the provisions of Article V of the Plan.</w:t>
      </w:r>
    </w:p>
    <w:p>
      <w:pPr>
        <w:spacing w:after="0" w:line="37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u w:val="single" w:color="auto"/>
          <w:color w:val="auto"/>
        </w:rPr>
        <w:t>Section 2.8</w:t>
      </w:r>
      <w:r>
        <w:rPr>
          <w:sz w:val="20"/>
          <w:szCs w:val="20"/>
          <w:color w:val="auto"/>
        </w:rPr>
        <w:tab/>
      </w:r>
      <w:r>
        <w:rPr>
          <w:rFonts w:ascii="Arial" w:cs="Arial" w:eastAsia="Arial" w:hAnsi="Arial"/>
          <w:sz w:val="19"/>
          <w:szCs w:val="19"/>
          <w:u w:val="single" w:color="auto"/>
          <w:color w:val="auto"/>
        </w:rPr>
        <w:t>Manner of Exercise; Tax Withholding</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jc w:val="both"/>
        <w:ind w:right="200" w:firstLine="656"/>
        <w:spacing w:after="0" w:line="307" w:lineRule="auto"/>
        <w:tabs>
          <w:tab w:leader="none" w:pos="106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As a condition to the exercise of the Option, the Optionee shall (</w:t>
      </w:r>
      <w:r>
        <w:rPr>
          <w:rFonts w:ascii="Arial" w:cs="Arial" w:eastAsia="Arial" w:hAnsi="Arial"/>
          <w:sz w:val="19"/>
          <w:szCs w:val="19"/>
          <w:u w:val="single" w:color="auto"/>
          <w:color w:val="auto"/>
        </w:rPr>
        <w:t>i</w:t>
      </w:r>
      <w:r>
        <w:rPr>
          <w:rFonts w:ascii="Arial" w:cs="Arial" w:eastAsia="Arial" w:hAnsi="Arial"/>
          <w:sz w:val="19"/>
          <w:szCs w:val="19"/>
          <w:color w:val="auto"/>
        </w:rPr>
        <w:t>) notify the Company at least three (3) days prior to exercise and no earlier than ninety (90) days prior to exercise that the Optionee intends to exercise and (</w:t>
      </w:r>
      <w:r>
        <w:rPr>
          <w:rFonts w:ascii="Arial" w:cs="Arial" w:eastAsia="Arial" w:hAnsi="Arial"/>
          <w:sz w:val="19"/>
          <w:szCs w:val="19"/>
          <w:u w:val="single" w:color="auto"/>
          <w:color w:val="auto"/>
        </w:rPr>
        <w:t>ii</w:t>
      </w:r>
      <w:r>
        <w:rPr>
          <w:rFonts w:ascii="Arial" w:cs="Arial" w:eastAsia="Arial" w:hAnsi="Arial"/>
          <w:sz w:val="19"/>
          <w:szCs w:val="19"/>
          <w:color w:val="auto"/>
        </w:rPr>
        <w:t>) provide the Company with payment of the Exercise Price of the Option, together with any Withholding Tax payment required by Section 3.8 below, which shall be payable to the Company in full as set forth in Section 2.8(b) or Section 2.8(c) below, as applicable.</w:t>
      </w:r>
    </w:p>
    <w:p>
      <w:pPr>
        <w:spacing w:after="0" w:line="354" w:lineRule="exact"/>
        <w:rPr>
          <w:rFonts w:ascii="Arial" w:cs="Arial" w:eastAsia="Arial" w:hAnsi="Arial"/>
          <w:sz w:val="19"/>
          <w:szCs w:val="19"/>
          <w:color w:val="auto"/>
        </w:rPr>
      </w:pPr>
    </w:p>
    <w:p>
      <w:pPr>
        <w:ind w:firstLine="656"/>
        <w:spacing w:after="0" w:line="259" w:lineRule="auto"/>
        <w:tabs>
          <w:tab w:leader="none" w:pos="108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To the extent permitted by law or the applicable listing rules, if any, the Optionee may pay for the Shares with respect to which such Option or portion of such Option is exercised through (</w:t>
      </w:r>
      <w:r>
        <w:rPr>
          <w:rFonts w:ascii="Arial" w:cs="Arial" w:eastAsia="Arial" w:hAnsi="Arial"/>
          <w:sz w:val="21"/>
          <w:szCs w:val="21"/>
          <w:u w:val="single" w:color="auto"/>
          <w:color w:val="auto"/>
        </w:rPr>
        <w:t>i</w:t>
      </w:r>
      <w:r>
        <w:rPr>
          <w:rFonts w:ascii="Arial" w:cs="Arial" w:eastAsia="Arial" w:hAnsi="Arial"/>
          <w:sz w:val="21"/>
          <w:szCs w:val="21"/>
          <w:color w:val="auto"/>
        </w:rPr>
        <w:t>) payment in cash; (</w:t>
      </w:r>
      <w:r>
        <w:rPr>
          <w:rFonts w:ascii="Arial" w:cs="Arial" w:eastAsia="Arial" w:hAnsi="Arial"/>
          <w:sz w:val="21"/>
          <w:szCs w:val="21"/>
          <w:u w:val="single" w:color="auto"/>
          <w:color w:val="auto"/>
        </w:rPr>
        <w:t>ii</w:t>
      </w:r>
      <w:r>
        <w:rPr>
          <w:rFonts w:ascii="Arial" w:cs="Arial" w:eastAsia="Arial" w:hAnsi="Arial"/>
          <w:sz w:val="21"/>
          <w:szCs w:val="21"/>
          <w:color w:val="auto"/>
        </w:rPr>
        <w:t>) with the consent of the Administrator, the delivery of Shares which are owned by the Optionee, duly endorsed for transfer to the Company with a Fair Market Value on the date of delivery equal to the aggregate Exercise Price of the exercised portion of the Option; (</w:t>
      </w:r>
      <w:r>
        <w:rPr>
          <w:rFonts w:ascii="Arial" w:cs="Arial" w:eastAsia="Arial" w:hAnsi="Arial"/>
          <w:sz w:val="21"/>
          <w:szCs w:val="21"/>
          <w:u w:val="single" w:color="auto"/>
          <w:color w:val="auto"/>
        </w:rPr>
        <w:t>iii</w:t>
      </w:r>
      <w:r>
        <w:rPr>
          <w:rFonts w:ascii="Arial" w:cs="Arial" w:eastAsia="Arial" w:hAnsi="Arial"/>
          <w:sz w:val="21"/>
          <w:szCs w:val="21"/>
          <w:color w:val="auto"/>
        </w:rPr>
        <w:t>) with the consent of the Administrator, through the surrender of Shares then issuable upon exercise of the Option having a Fair Market Value on the date of the exercise of the Option equal to the aggregate Exercise Price of the exercised portion of the Option; or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with the consent of the Administrator, delivery of a notice that the Optionee has placed a market sell order with a broker with respect to Shares then-issuable upon exercise of the Option, and that the broker has been directed to pay a sufficient portion of the net proceeds of the sale to the Company in satisfaction of the aggregate Exercise Price; </w:t>
      </w:r>
      <w:r>
        <w:rPr>
          <w:rFonts w:ascii="Arial" w:cs="Arial" w:eastAsia="Arial" w:hAnsi="Arial"/>
          <w:sz w:val="21"/>
          <w:szCs w:val="21"/>
          <w:i w:val="1"/>
          <w:iCs w:val="1"/>
          <w:color w:val="auto"/>
        </w:rPr>
        <w:t>provided</w:t>
      </w:r>
      <w:r>
        <w:rPr>
          <w:rFonts w:ascii="Arial" w:cs="Arial" w:eastAsia="Arial" w:hAnsi="Arial"/>
          <w:sz w:val="21"/>
          <w:szCs w:val="21"/>
          <w:color w:val="auto"/>
        </w:rPr>
        <w:t>, that payment of such proceeds is then made to the Company upon settlement of such sale. Notwithstanding the foregoing, the consent of the Administrator shall not be required with respect to clauses (iii) and (iv) of this Section 2.8(b) if the Optionee exercises such Option on or after the date of the Optionee’s Retirement.</w:t>
      </w:r>
    </w:p>
    <w:p>
      <w:pPr>
        <w:spacing w:after="0" w:line="397" w:lineRule="exact"/>
        <w:rPr>
          <w:rFonts w:ascii="Arial" w:cs="Arial" w:eastAsia="Arial" w:hAnsi="Arial"/>
          <w:sz w:val="21"/>
          <w:szCs w:val="21"/>
          <w:color w:val="auto"/>
        </w:rPr>
      </w:pPr>
    </w:p>
    <w:p>
      <w:pPr>
        <w:jc w:val="both"/>
        <w:ind w:right="140" w:firstLine="656"/>
        <w:spacing w:after="0" w:line="320" w:lineRule="auto"/>
        <w:tabs>
          <w:tab w:leader="none" w:pos="106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As a condition to exercise, the Optionee must make appropriate arrangements for the payment to the Company (or its Subsidiary, as applicable) in cash or by delivery of a certified or bank cashier check, or by any other means of payment approved by the Administrator, of the amount which the Company (or its Subsidiary, as applicable) is required to withhold under</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60"/>
          </w:cols>
          <w:pgMar w:left="240" w:top="591" w:right="299" w:bottom="1440" w:gutter="0" w:footer="0" w:header="0"/>
        </w:sectPr>
      </w:pPr>
    </w:p>
    <w:bookmarkStart w:id="182" w:name="page183"/>
    <w:bookmarkEnd w:id="182"/>
    <w:p>
      <w:pPr>
        <w:spacing w:after="0" w:line="294" w:lineRule="auto"/>
        <w:rPr>
          <w:sz w:val="20"/>
          <w:szCs w:val="20"/>
          <w:color w:val="auto"/>
        </w:rPr>
      </w:pPr>
      <w:r>
        <w:rPr>
          <w:rFonts w:ascii="Arial" w:cs="Arial" w:eastAsia="Arial" w:hAnsi="Arial"/>
          <w:sz w:val="19"/>
          <w:szCs w:val="19"/>
          <w:color w:val="auto"/>
        </w:rPr>
        <w:t>applicable law in connection with the exercise of the Option. With the consent of the Administrator and subject to any applicable legal conditions or restrictions, the Company shall, upon the Optionee’s request, withhold from the Shares issuable to the Optionee upon the exercise of the Option (or any portion thereof) a number of whole Shares having a Fair Market Value, determined as of the date of exercise, not in excess of the minimum of tax required to be withheld by law (or such lower amount as may be necessary to avoid liability award accounting). Any adverse consequences to the Optionee arising in connection with the Share withholding procedure set forth in the preceding sentence shall be the sole responsibility of the Optionee.</w:t>
      </w:r>
    </w:p>
    <w:p>
      <w:pPr>
        <w:spacing w:after="0" w:line="366" w:lineRule="exact"/>
        <w:rPr>
          <w:sz w:val="20"/>
          <w:szCs w:val="20"/>
          <w:color w:val="auto"/>
        </w:rPr>
      </w:pPr>
    </w:p>
    <w:p>
      <w:pPr>
        <w:ind w:right="40"/>
        <w:spacing w:after="0" w:line="289" w:lineRule="auto"/>
        <w:rPr>
          <w:sz w:val="20"/>
          <w:szCs w:val="20"/>
          <w:color w:val="auto"/>
        </w:rPr>
      </w:pPr>
      <w:r>
        <w:rPr>
          <w:rFonts w:ascii="Arial" w:cs="Arial" w:eastAsia="Arial" w:hAnsi="Arial"/>
          <w:sz w:val="19"/>
          <w:szCs w:val="19"/>
          <w:u w:val="single" w:color="auto"/>
          <w:color w:val="auto"/>
        </w:rPr>
        <w:t>Section 2.9 Change in Control</w:t>
      </w:r>
      <w:r>
        <w:rPr>
          <w:rFonts w:ascii="Arial" w:cs="Arial" w:eastAsia="Arial" w:hAnsi="Arial"/>
          <w:sz w:val="19"/>
          <w:szCs w:val="19"/>
          <w:color w:val="auto"/>
        </w:rPr>
        <w:t>. Upon the occurrence of a Change in Control, the Options shall vest, forfeit or continue as set forth in Article XIII of the Plan. At the discretion of the Administrator (as constituted immediately prior to the Change in Control), any or all vested Options may be canceled in exchange for an amount equal to the product of (</w:t>
      </w:r>
      <w:r>
        <w:rPr>
          <w:rFonts w:ascii="Arial" w:cs="Arial" w:eastAsia="Arial" w:hAnsi="Arial"/>
          <w:sz w:val="19"/>
          <w:szCs w:val="19"/>
          <w:u w:val="single" w:color="auto"/>
          <w:color w:val="auto"/>
        </w:rPr>
        <w:t>A</w:t>
      </w:r>
      <w:r>
        <w:rPr>
          <w:rFonts w:ascii="Arial" w:cs="Arial" w:eastAsia="Arial" w:hAnsi="Arial"/>
          <w:sz w:val="19"/>
          <w:szCs w:val="19"/>
          <w:color w:val="auto"/>
        </w:rPr>
        <w:t>) the excess, if any, of the Fair Market Value of the Shares upon the Change in Control over the exercise price for such vested Options, multiplied by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aggregate number of shares of Company Common Stock covered by such vested Options. Payment of any amounts calculated in accordance with this Section 2.9 shall be made in cash or, if determined by the Administrator (as constituted immediately prior to the Change in Control), in shares of common stock of the new employer having an aggregate fair market value equal to such amount or in such securities or other property as are paid to the stockholders of the Company in connection with the Change of Control and shall be payable in full, as soon as reasonably practicable, but in no event later than 30 days, following the Change in Control or such later date as such consideration is paid to the stockholders of the Company generally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such payments shall in all events be payable to the stockholders generally within five years after the Change in Control.</w:t>
      </w:r>
    </w:p>
    <w:p>
      <w:pPr>
        <w:spacing w:after="0" w:line="368"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4620"/>
        <w:spacing w:after="0"/>
        <w:rPr>
          <w:sz w:val="20"/>
          <w:szCs w:val="20"/>
          <w:color w:val="auto"/>
        </w:rPr>
      </w:pPr>
      <w:r>
        <w:rPr>
          <w:rFonts w:ascii="Arial" w:cs="Arial" w:eastAsia="Arial" w:hAnsi="Arial"/>
          <w:sz w:val="22"/>
          <w:szCs w:val="22"/>
          <w:b w:val="1"/>
          <w:bCs w:val="1"/>
          <w:u w:val="single" w:color="auto"/>
          <w:color w:val="auto"/>
        </w:rPr>
        <w:t>OTHER PROVISIONS</w:t>
      </w:r>
    </w:p>
    <w:p>
      <w:pPr>
        <w:spacing w:after="0" w:line="200" w:lineRule="exact"/>
        <w:rPr>
          <w:sz w:val="20"/>
          <w:szCs w:val="20"/>
          <w:color w:val="auto"/>
        </w:rPr>
      </w:pP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u w:val="single" w:color="auto"/>
          <w:color w:val="auto"/>
        </w:rPr>
        <w:t>Section 3.1 Optionee Representation; Not a Contract of Employment or Service</w:t>
      </w:r>
      <w:r>
        <w:rPr>
          <w:rFonts w:ascii="Arial" w:cs="Arial" w:eastAsia="Arial" w:hAnsi="Arial"/>
          <w:sz w:val="19"/>
          <w:szCs w:val="19"/>
          <w:color w:val="auto"/>
        </w:rPr>
        <w:t>. The Optionee hereby represents that the Optionee’s execution of this Agreement and participation in the Plan is voluntary and that the Optionee has in no way been induced to enter into this Agreement in exchange for or as a requirement of the expectation of employment or service with the Company or any of its Subsidiaries. Nothing in this Agreement or in the Plan shall confer upon the Optionee any right to continue as a Service Provider, or shall interfere with or restrict in any way the rights of the Company or its Subsidiaries, which are hereby expressly reserved, to discharge the Optionee at any time for any reason whatsoever, with or without Cause, except to the extent expressly provided otherwise in a written employment or other agreement between the Optionee and the Company or any of its Subsidiaries.</w:t>
      </w:r>
    </w:p>
    <w:p>
      <w:pPr>
        <w:spacing w:after="0" w:line="368" w:lineRule="exact"/>
        <w:rPr>
          <w:sz w:val="20"/>
          <w:szCs w:val="20"/>
          <w:color w:val="auto"/>
        </w:rPr>
      </w:pPr>
    </w:p>
    <w:p>
      <w:pPr>
        <w:ind w:right="120"/>
        <w:spacing w:after="0" w:line="260" w:lineRule="auto"/>
        <w:rPr>
          <w:sz w:val="20"/>
          <w:szCs w:val="20"/>
          <w:color w:val="auto"/>
        </w:rPr>
      </w:pPr>
      <w:r>
        <w:rPr>
          <w:rFonts w:ascii="Arial" w:cs="Arial" w:eastAsia="Arial" w:hAnsi="Arial"/>
          <w:sz w:val="22"/>
          <w:szCs w:val="22"/>
          <w:u w:val="single" w:color="auto"/>
          <w:color w:val="auto"/>
        </w:rPr>
        <w:t>Section 3.2 Shares Subject to Plan; Restrictions on the Transfer of Option and Company Common Stock</w:t>
      </w:r>
      <w:r>
        <w:rPr>
          <w:rFonts w:ascii="Arial" w:cs="Arial" w:eastAsia="Arial" w:hAnsi="Arial"/>
          <w:sz w:val="22"/>
          <w:szCs w:val="22"/>
          <w:color w:val="auto"/>
        </w:rPr>
        <w:t>. The Optionee acknowledges that this Option and any Shares acquired upon exercise of the Option are subject to the terms of the Plan, including, without limitation, the restrictions set forth in Sections 5.7 and 5.8 of the Plan.</w:t>
      </w:r>
    </w:p>
    <w:p>
      <w:pPr>
        <w:spacing w:after="0" w:line="393" w:lineRule="exact"/>
        <w:rPr>
          <w:sz w:val="20"/>
          <w:szCs w:val="20"/>
          <w:color w:val="auto"/>
        </w:rPr>
      </w:pPr>
    </w:p>
    <w:p>
      <w:pPr>
        <w:ind w:right="160"/>
        <w:spacing w:after="0" w:line="276" w:lineRule="auto"/>
        <w:rPr>
          <w:sz w:val="20"/>
          <w:szCs w:val="20"/>
          <w:color w:val="auto"/>
        </w:rPr>
      </w:pPr>
      <w:r>
        <w:rPr>
          <w:rFonts w:ascii="Arial" w:cs="Arial" w:eastAsia="Arial" w:hAnsi="Arial"/>
          <w:sz w:val="22"/>
          <w:szCs w:val="22"/>
          <w:u w:val="single" w:color="auto"/>
          <w:color w:val="auto"/>
        </w:rPr>
        <w:t>Section 3.3 Registration of Shares</w:t>
      </w:r>
      <w:r>
        <w:rPr>
          <w:rFonts w:ascii="Arial" w:cs="Arial" w:eastAsia="Arial" w:hAnsi="Arial"/>
          <w:sz w:val="22"/>
          <w:szCs w:val="22"/>
          <w:color w:val="auto"/>
        </w:rPr>
        <w:t>. The Company may postpone the issuance and delivery of Company Common Stock upon the exercise of the Option until such Shares may be issued 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591" w:right="259" w:bottom="1440" w:gutter="0" w:footer="0" w:header="0"/>
        </w:sectPr>
      </w:pPr>
    </w:p>
    <w:bookmarkStart w:id="183" w:name="page184"/>
    <w:bookmarkEnd w:id="183"/>
    <w:p>
      <w:pPr>
        <w:ind w:right="40"/>
        <w:spacing w:after="0" w:line="261" w:lineRule="auto"/>
        <w:rPr>
          <w:sz w:val="20"/>
          <w:szCs w:val="20"/>
          <w:color w:val="auto"/>
        </w:rPr>
      </w:pPr>
      <w:r>
        <w:rPr>
          <w:rFonts w:ascii="Arial" w:cs="Arial" w:eastAsia="Arial" w:hAnsi="Arial"/>
          <w:sz w:val="21"/>
          <w:szCs w:val="21"/>
          <w:color w:val="auto"/>
        </w:rPr>
        <w:t>compliance with any applicable state or federal law, rule or regulation. Notwithstanding any other provision in this Agreement, the Optionee may not sell the Shares acquired upon exercise of the Option unless such Shares are registered under the Securities Act of 1933, as amended from time to time (the “</w:t>
      </w:r>
      <w:r>
        <w:rPr>
          <w:rFonts w:ascii="Arial" w:cs="Arial" w:eastAsia="Arial" w:hAnsi="Arial"/>
          <w:sz w:val="21"/>
          <w:szCs w:val="21"/>
          <w:u w:val="single" w:color="auto"/>
          <w:color w:val="auto"/>
        </w:rPr>
        <w:t>Securities Act</w:t>
      </w:r>
      <w:r>
        <w:rPr>
          <w:rFonts w:ascii="Arial" w:cs="Arial" w:eastAsia="Arial" w:hAnsi="Arial"/>
          <w:sz w:val="21"/>
          <w:szCs w:val="21"/>
          <w:color w:val="auto"/>
        </w:rPr>
        <w:t>”), or, if such Shares are not then so registered, such sale would be exempt from the registration requirements of the Securities Act. The sale must also comply with other applicable laws and regulations governing the Shares, and the Optionee shall not sell the Shares if the Administrator determines that such sale would not be in compliance with such laws and regulations.</w:t>
      </w:r>
    </w:p>
    <w:p>
      <w:pPr>
        <w:spacing w:after="0" w:line="39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u w:val="single" w:color="auto"/>
          <w:color w:val="auto"/>
        </w:rPr>
        <w:t>Section 3.4</w:t>
      </w:r>
      <w:r>
        <w:rPr>
          <w:sz w:val="20"/>
          <w:szCs w:val="20"/>
          <w:color w:val="auto"/>
        </w:rPr>
        <w:tab/>
      </w: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shall be administered, interpreted and enforced under the laws of the State of Delaware.</w:t>
      </w:r>
    </w:p>
    <w:p>
      <w:pPr>
        <w:spacing w:after="0" w:line="200" w:lineRule="exact"/>
        <w:rPr>
          <w:sz w:val="20"/>
          <w:szCs w:val="20"/>
          <w:color w:val="auto"/>
        </w:rPr>
      </w:pPr>
    </w:p>
    <w:p>
      <w:pPr>
        <w:spacing w:after="0" w:line="249"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u w:val="single" w:color="auto"/>
          <w:color w:val="auto"/>
        </w:rPr>
        <w:t>Section 3.5 Conformity to Securities Laws</w:t>
      </w:r>
      <w:r>
        <w:rPr>
          <w:rFonts w:ascii="Arial" w:cs="Arial" w:eastAsia="Arial" w:hAnsi="Arial"/>
          <w:sz w:val="19"/>
          <w:szCs w:val="19"/>
          <w:color w:val="auto"/>
        </w:rPr>
        <w:t>. The Optionee acknowledges that the Plan is intended to conform to the extent necessary with all provisions of the Securities Act and the Exchange Act and any and all regulations and rules promulgated thereunder by the Securities and Exchange Commission, including without limitation Rule 16b-3. Notwithstanding anything herein to the contrary, the Plan and this Agreement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363" w:lineRule="exact"/>
        <w:rPr>
          <w:sz w:val="20"/>
          <w:szCs w:val="20"/>
          <w:color w:val="auto"/>
        </w:rPr>
      </w:pPr>
    </w:p>
    <w:p>
      <w:pPr>
        <w:jc w:val="both"/>
        <w:ind w:right="180"/>
        <w:spacing w:after="0" w:line="307" w:lineRule="auto"/>
        <w:rPr>
          <w:sz w:val="20"/>
          <w:szCs w:val="20"/>
          <w:color w:val="auto"/>
        </w:rPr>
      </w:pPr>
      <w:r>
        <w:rPr>
          <w:rFonts w:ascii="Arial" w:cs="Arial" w:eastAsia="Arial" w:hAnsi="Arial"/>
          <w:sz w:val="19"/>
          <w:szCs w:val="19"/>
          <w:u w:val="single" w:color="auto"/>
          <w:color w:val="auto"/>
        </w:rPr>
        <w:t>Section 3.6 Amendment, Suspension and Termination</w:t>
      </w:r>
      <w:r>
        <w:rPr>
          <w:rFonts w:ascii="Arial" w:cs="Arial" w:eastAsia="Arial" w:hAnsi="Arial"/>
          <w:sz w:val="19"/>
          <w:szCs w:val="19"/>
          <w:color w:val="auto"/>
        </w:rPr>
        <w:t xml:space="preserve">. The Option may be wholly or partially amended or otherwise modified, suspended or terminated at any time or from time to time by the Administrator or the Board, </w:t>
      </w:r>
      <w:r>
        <w:rPr>
          <w:rFonts w:ascii="Arial" w:cs="Arial" w:eastAsia="Arial" w:hAnsi="Arial"/>
          <w:sz w:val="19"/>
          <w:szCs w:val="19"/>
          <w:i w:val="1"/>
          <w:iCs w:val="1"/>
          <w:color w:val="auto"/>
        </w:rPr>
        <w:t>provided that</w:t>
      </w:r>
      <w:r>
        <w:rPr>
          <w:rFonts w:ascii="Arial" w:cs="Arial" w:eastAsia="Arial" w:hAnsi="Arial"/>
          <w:sz w:val="19"/>
          <w:szCs w:val="19"/>
          <w:color w:val="auto"/>
        </w:rPr>
        <w:t>, except as provided by Section 14.1 of the Plan, neither the amendment, modification, suspension nor termination of this Agreement (including the Grant Notice) shall, without the consent of the Optionee, materially alter or impair any rights or obligations under the Option.</w:t>
      </w:r>
    </w:p>
    <w:p>
      <w:pPr>
        <w:spacing w:after="0" w:line="354" w:lineRule="exact"/>
        <w:rPr>
          <w:sz w:val="20"/>
          <w:szCs w:val="20"/>
          <w:color w:val="auto"/>
        </w:rPr>
      </w:pPr>
    </w:p>
    <w:p>
      <w:pPr>
        <w:ind w:right="220"/>
        <w:spacing w:after="0" w:line="262" w:lineRule="auto"/>
        <w:rPr>
          <w:sz w:val="20"/>
          <w:szCs w:val="20"/>
          <w:color w:val="auto"/>
        </w:rPr>
      </w:pPr>
      <w:r>
        <w:rPr>
          <w:rFonts w:ascii="Arial" w:cs="Arial" w:eastAsia="Arial" w:hAnsi="Arial"/>
          <w:sz w:val="21"/>
          <w:szCs w:val="21"/>
          <w:u w:val="single" w:color="auto"/>
          <w:color w:val="auto"/>
        </w:rPr>
        <w:t>Section 3.7 Data Privacy</w:t>
      </w:r>
      <w:r>
        <w:rPr>
          <w:rFonts w:ascii="Arial" w:cs="Arial" w:eastAsia="Arial" w:hAnsi="Arial"/>
          <w:sz w:val="21"/>
          <w:szCs w:val="21"/>
          <w:color w:val="auto"/>
        </w:rPr>
        <w:t>. The collection, use, disclosure and transfer, in electronic or other form, of personally identifiable information by and among, as applicable, the Company and its Subsidiaries and Affiliates for the purpose of implementing, administering and managing the Optionee’s participation in the Plan is governed by the Employee Privacy Notice (the “</w:t>
      </w:r>
      <w:r>
        <w:rPr>
          <w:rFonts w:ascii="Arial" w:cs="Arial" w:eastAsia="Arial" w:hAnsi="Arial"/>
          <w:sz w:val="21"/>
          <w:szCs w:val="21"/>
          <w:u w:val="single" w:color="auto"/>
          <w:color w:val="auto"/>
        </w:rPr>
        <w:t>Privacy</w:t>
      </w:r>
      <w:r>
        <w:rPr>
          <w:rFonts w:ascii="Arial" w:cs="Arial" w:eastAsia="Arial" w:hAnsi="Arial"/>
          <w:sz w:val="21"/>
          <w:szCs w:val="21"/>
          <w:color w:val="auto"/>
        </w:rPr>
        <w:t xml:space="preserve"> </w:t>
      </w:r>
      <w:r>
        <w:rPr>
          <w:rFonts w:ascii="Arial" w:cs="Arial" w:eastAsia="Arial" w:hAnsi="Arial"/>
          <w:sz w:val="21"/>
          <w:szCs w:val="21"/>
          <w:u w:val="single" w:color="auto"/>
          <w:color w:val="auto"/>
        </w:rPr>
        <w:t>Notice</w:t>
      </w:r>
      <w:r>
        <w:rPr>
          <w:rFonts w:ascii="Arial" w:cs="Arial" w:eastAsia="Arial" w:hAnsi="Arial"/>
          <w:sz w:val="21"/>
          <w:szCs w:val="21"/>
          <w:color w:val="auto"/>
        </w:rPr>
        <w:t xml:space="preserve">”) that Optionee received in the course of his or her relationship with Company. The Optionee understands that he or she may review the </w:t>
      </w:r>
      <w:r>
        <w:rPr>
          <w:rFonts w:ascii="Arial" w:cs="Arial" w:eastAsia="Arial" w:hAnsi="Arial"/>
          <w:sz w:val="21"/>
          <w:szCs w:val="21"/>
          <w:u w:val="single" w:color="auto"/>
          <w:color w:val="0000FF"/>
        </w:rPr>
        <w:t>Privacy Notice</w:t>
      </w:r>
      <w:r>
        <w:rPr>
          <w:rFonts w:ascii="Arial" w:cs="Arial" w:eastAsia="Arial" w:hAnsi="Arial"/>
          <w:sz w:val="21"/>
          <w:szCs w:val="21"/>
          <w:color w:val="auto"/>
        </w:rPr>
        <w:t xml:space="preserve"> or contact his or her local human resources representative to request a copy of the Privacy Notice. Please contact </w:t>
      </w:r>
      <w:r>
        <w:rPr>
          <w:rFonts w:ascii="Arial" w:cs="Arial" w:eastAsia="Arial" w:hAnsi="Arial"/>
          <w:sz w:val="21"/>
          <w:szCs w:val="21"/>
          <w:u w:val="single" w:color="auto"/>
          <w:color w:val="0000FF"/>
        </w:rPr>
        <w:t>ethics@bah.com</w:t>
      </w:r>
      <w:r>
        <w:rPr>
          <w:rFonts w:ascii="Arial" w:cs="Arial" w:eastAsia="Arial" w:hAnsi="Arial"/>
          <w:sz w:val="21"/>
          <w:szCs w:val="21"/>
          <w:color w:val="auto"/>
        </w:rPr>
        <w:t xml:space="preserve"> if you have any questions or concerns about how the Company or its Subsidiaries and Affiliates process personally identifiable information.</w:t>
      </w:r>
    </w:p>
    <w:p>
      <w:pPr>
        <w:spacing w:after="0" w:line="397" w:lineRule="exact"/>
        <w:rPr>
          <w:sz w:val="20"/>
          <w:szCs w:val="20"/>
          <w:color w:val="auto"/>
        </w:rPr>
      </w:pPr>
    </w:p>
    <w:p>
      <w:pPr>
        <w:spacing w:after="0" w:line="297" w:lineRule="auto"/>
        <w:rPr>
          <w:sz w:val="20"/>
          <w:szCs w:val="20"/>
          <w:color w:val="auto"/>
        </w:rPr>
      </w:pPr>
      <w:r>
        <w:rPr>
          <w:rFonts w:ascii="Arial" w:cs="Arial" w:eastAsia="Arial" w:hAnsi="Arial"/>
          <w:sz w:val="19"/>
          <w:szCs w:val="19"/>
          <w:u w:val="single" w:color="auto"/>
          <w:color w:val="auto"/>
        </w:rPr>
        <w:t>Section 3.8 Withholding Taxes</w:t>
      </w:r>
      <w:r>
        <w:rPr>
          <w:rFonts w:ascii="Arial" w:cs="Arial" w:eastAsia="Arial" w:hAnsi="Arial"/>
          <w:sz w:val="19"/>
          <w:szCs w:val="19"/>
          <w:color w:val="auto"/>
        </w:rPr>
        <w:t>. In addition to any rights or obligations with respect to Withholding Taxes under this Agreement or the Plan, the Company shall have the right to withhold from the Optionee, or otherwise require the Optionee or an assignee to pay, any Withholding Taxes arising as a result of exercise of the Option, or any other taxable event occurring pursuant to the Plan or this Agreement, including, but not limited to, to the extent permitted by law, have the right to deduct any such Withholding Taxes from any payment of any kind otherwise due to the Optionee or to take such other action (including, but not limited to, withholding Shares or cash deliverable pursuant to the Plan or any Option) as may be necessary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184" w:name="page185"/>
    <w:bookmarkEnd w:id="184"/>
    <w:p>
      <w:pPr>
        <w:ind w:right="120"/>
        <w:spacing w:after="0" w:line="263" w:lineRule="auto"/>
        <w:rPr>
          <w:sz w:val="20"/>
          <w:szCs w:val="20"/>
          <w:color w:val="auto"/>
        </w:rPr>
      </w:pPr>
      <w:r>
        <w:rPr>
          <w:rFonts w:ascii="Arial" w:cs="Arial" w:eastAsia="Arial" w:hAnsi="Arial"/>
          <w:sz w:val="22"/>
          <w:szCs w:val="22"/>
          <w:color w:val="auto"/>
        </w:rPr>
        <w:t>to satisfy such Withholding Taxes. The Optionee shall be responsible for all Withholding Taxes and other tax consequences of this Award.</w:t>
      </w:r>
    </w:p>
    <w:p>
      <w:pPr>
        <w:spacing w:after="0" w:line="391" w:lineRule="exact"/>
        <w:rPr>
          <w:sz w:val="20"/>
          <w:szCs w:val="20"/>
          <w:color w:val="auto"/>
        </w:rPr>
      </w:pPr>
    </w:p>
    <w:p>
      <w:pPr>
        <w:ind w:right="60"/>
        <w:spacing w:after="0" w:line="289" w:lineRule="auto"/>
        <w:rPr>
          <w:sz w:val="20"/>
          <w:szCs w:val="20"/>
          <w:color w:val="auto"/>
        </w:rPr>
      </w:pPr>
      <w:r>
        <w:rPr>
          <w:rFonts w:ascii="Arial" w:cs="Arial" w:eastAsia="Arial" w:hAnsi="Arial"/>
          <w:sz w:val="19"/>
          <w:szCs w:val="19"/>
          <w:u w:val="single" w:color="auto"/>
          <w:color w:val="auto"/>
        </w:rPr>
        <w:t>Section 3.9 Electronic Delivery</w:t>
      </w:r>
      <w:r>
        <w:rPr>
          <w:rFonts w:ascii="Arial" w:cs="Arial" w:eastAsia="Arial" w:hAnsi="Arial"/>
          <w:sz w:val="19"/>
          <w:szCs w:val="19"/>
          <w:color w:val="auto"/>
        </w:rPr>
        <w:t>. The Company may, in its sole discretion, decide to deliver any documents related to any Option granted under the Plan by electronic means or request the Optionee’s consent to participate in the Plan by electronic means. The Optionee hereby explicitly and unambiguously consents to receive such documents (including, without limitation, information required to be delivered to the Optionee pursuant to applicable securities laws) by electronic delivery and, if requested, agrees to participate in the Plan through an on-line or electronic system established and maintained by the Company or another third party designated by the Company, and such consent shall remain in effect throughout the Optionee’s term of employment or service with the Company and thereafter until withdrawn in writing by the Optionee. The Optionee acknowledges that he or she may receive from the Company a paper copy of any documents delivered electronically at no cost to the Optionee by contacting the Company by telephone or in writing. The Optionee further acknowledges that the Optionee will be provided with a paper copy of any documents if the attempted electronic delivery of such documents fails. Similarly, the Optionee understands that the Optionee must provide the Company or any designated third party administrator with a paper copy of any documents if the attempted electronic delivery of such documents fails.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u w:val="single" w:color="auto"/>
          <w:color w:val="auto"/>
        </w:rPr>
        <w:t>Section 3.10</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0" w:lineRule="exact"/>
        <w:rPr>
          <w:sz w:val="20"/>
          <w:szCs w:val="20"/>
          <w:color w:val="auto"/>
        </w:rPr>
      </w:pPr>
    </w:p>
    <w:p>
      <w:pPr>
        <w:spacing w:after="0" w:line="249" w:lineRule="exact"/>
        <w:rPr>
          <w:sz w:val="20"/>
          <w:szCs w:val="20"/>
          <w:color w:val="auto"/>
        </w:rPr>
      </w:pPr>
    </w:p>
    <w:p>
      <w:pPr>
        <w:ind w:firstLine="656"/>
        <w:spacing w:after="0" w:line="320" w:lineRule="auto"/>
        <w:tabs>
          <w:tab w:leader="none" w:pos="106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Optionee shall have no rights as a stockholder of the Company with respect to the shares of Company Common Stock subject to this Agreement until such time as the purchase price has been paid and the other requirements of Section 2.8 above have been satisfied, and the shares of Company Common Stock have been issued and delivered to the Optionee.</w:t>
      </w:r>
    </w:p>
    <w:p>
      <w:pPr>
        <w:spacing w:after="0" w:line="341" w:lineRule="exact"/>
        <w:rPr>
          <w:rFonts w:ascii="Arial" w:cs="Arial" w:eastAsia="Arial" w:hAnsi="Arial"/>
          <w:sz w:val="19"/>
          <w:szCs w:val="19"/>
          <w:color w:val="auto"/>
        </w:rPr>
      </w:pPr>
    </w:p>
    <w:p>
      <w:pPr>
        <w:ind w:right="1060" w:firstLine="656"/>
        <w:spacing w:after="0" w:line="301" w:lineRule="auto"/>
        <w:tabs>
          <w:tab w:leader="none" w:pos="108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This Agreement shall be subject to all applicable laws, rules, and regulations, and to such approvals by any governmental agencies or United States or foreign securities exchanges as may be required.</w:t>
      </w:r>
    </w:p>
    <w:p>
      <w:pPr>
        <w:spacing w:after="0" w:line="353" w:lineRule="exact"/>
        <w:rPr>
          <w:rFonts w:ascii="Arial" w:cs="Arial" w:eastAsia="Arial" w:hAnsi="Arial"/>
          <w:sz w:val="21"/>
          <w:szCs w:val="21"/>
          <w:color w:val="auto"/>
        </w:rPr>
      </w:pPr>
    </w:p>
    <w:p>
      <w:pPr>
        <w:ind w:right="140" w:firstLine="656"/>
        <w:spacing w:after="0" w:line="320" w:lineRule="auto"/>
        <w:tabs>
          <w:tab w:leader="none" w:pos="1068"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Optionee acknowledges that the Company is organized under the laws of the State of Delaware, U.S.A. The Optionee and the Company agree that this Agreement shall be construed in accordance with and governed by the laws of the State of Delaware, U.S.A., without reference to principles of conflict of laws that would apply the laws of any other jurisdiction.</w:t>
      </w:r>
    </w:p>
    <w:p>
      <w:pPr>
        <w:spacing w:after="0" w:line="341" w:lineRule="exact"/>
        <w:rPr>
          <w:rFonts w:ascii="Arial" w:cs="Arial" w:eastAsia="Arial" w:hAnsi="Arial"/>
          <w:sz w:val="19"/>
          <w:szCs w:val="19"/>
          <w:color w:val="auto"/>
        </w:rPr>
      </w:pPr>
    </w:p>
    <w:p>
      <w:pPr>
        <w:ind w:right="40" w:firstLine="656"/>
        <w:spacing w:after="0" w:line="262" w:lineRule="auto"/>
        <w:tabs>
          <w:tab w:leader="none" w:pos="108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Optionee acknowledges that the Company’s principal place of business is in, and a substantial portion of the Company’s business is based out of, the Commonwealth of Virginia, U.S.A. The Optionee also acknowledges that, as such, during the course of the Optionee’s service with the Company and its Subsidiaries, the Optionee shall have substantial contacts with the Commonwealth of Virginia, U.S.A. Accordingly, the Optionee and the Company agree that the exclusive forum for any action, demand, claim or counterclaim relating to the terms and provisions of this Agreement, or to their breach, shall be in the appropriate state or federal court located in the Commonwealth of Virginia, U.S.A. The Optionee and the Company hereby consent to the personal jurisdiction of such courts over the parties to this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591" w:right="259" w:bottom="1440" w:gutter="0" w:footer="0" w:header="0"/>
        </w:sectPr>
      </w:pPr>
    </w:p>
    <w:bookmarkStart w:id="185" w:name="page186"/>
    <w:bookmarkEnd w:id="185"/>
    <w:p>
      <w:pPr>
        <w:ind w:right="60"/>
        <w:spacing w:after="0" w:line="253" w:lineRule="auto"/>
        <w:rPr>
          <w:sz w:val="20"/>
          <w:szCs w:val="20"/>
          <w:color w:val="auto"/>
        </w:rPr>
      </w:pPr>
      <w:r>
        <w:rPr>
          <w:rFonts w:ascii="Arial" w:cs="Arial" w:eastAsia="Arial" w:hAnsi="Arial"/>
          <w:sz w:val="22"/>
          <w:szCs w:val="22"/>
          <w:color w:val="auto"/>
        </w:rPr>
        <w:t>Agreement. The Optionee expressly waives any defense that such courts lack personal jurisdiction or are inconvenient. The Optionee and the Company further agree that in any such action for breach or enforcement of this Agreement, no party will seek to challenge the validity or enforceability of any part of this Agreement.</w:t>
      </w:r>
    </w:p>
    <w:p>
      <w:pPr>
        <w:spacing w:after="0" w:line="200" w:lineRule="exact"/>
        <w:rPr>
          <w:sz w:val="20"/>
          <w:szCs w:val="20"/>
          <w:color w:val="auto"/>
        </w:rPr>
      </w:pPr>
    </w:p>
    <w:p>
      <w:pPr>
        <w:spacing w:after="0" w:line="202" w:lineRule="exact"/>
        <w:rPr>
          <w:sz w:val="20"/>
          <w:szCs w:val="20"/>
          <w:color w:val="auto"/>
        </w:rPr>
      </w:pPr>
    </w:p>
    <w:p>
      <w:pPr>
        <w:ind w:right="60" w:firstLine="656"/>
        <w:spacing w:after="0" w:line="278" w:lineRule="auto"/>
        <w:tabs>
          <w:tab w:leader="none" w:pos="1068" w:val="left"/>
        </w:tabs>
        <w:numPr>
          <w:ilvl w:val="0"/>
          <w:numId w:val="147"/>
        </w:numPr>
        <w:rPr>
          <w:rFonts w:ascii="Arial" w:cs="Arial" w:eastAsia="Arial" w:hAnsi="Arial"/>
          <w:sz w:val="21"/>
          <w:szCs w:val="21"/>
          <w:color w:val="auto"/>
        </w:rPr>
      </w:pPr>
      <w:r>
        <w:rPr>
          <w:rFonts w:ascii="Arial" w:cs="Arial" w:eastAsia="Arial" w:hAnsi="Arial"/>
          <w:sz w:val="21"/>
          <w:szCs w:val="21"/>
          <w:color w:val="auto"/>
        </w:rPr>
        <w:t>All obligations of the Company under this Agreement and the Plan, with respect to the Option,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376" w:lineRule="exact"/>
        <w:rPr>
          <w:rFonts w:ascii="Arial" w:cs="Arial" w:eastAsia="Arial" w:hAnsi="Arial"/>
          <w:sz w:val="21"/>
          <w:szCs w:val="21"/>
          <w:color w:val="auto"/>
        </w:rPr>
      </w:pPr>
    </w:p>
    <w:p>
      <w:pPr>
        <w:ind w:right="240" w:firstLine="656"/>
        <w:spacing w:after="0" w:line="260" w:lineRule="auto"/>
        <w:tabs>
          <w:tab w:leader="none" w:pos="104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In the event any provision of this Agreement shall be held illegal or invalid for any reason, the illegality or invalidity shall not affect the remaining parts of this Agreement, and this Agreement shall be construed and enforced as if the illegal or invalid provision had not been included.</w:t>
      </w:r>
    </w:p>
    <w:p>
      <w:pPr>
        <w:spacing w:after="0" w:line="387"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31"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Whenever the following terms are used in this Agreement (including the Grant Notice),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spacing w:after="0" w:line="35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u w:val="single" w:color="auto"/>
          <w:color w:val="auto"/>
        </w:rPr>
        <w:t>Section 4.1</w:t>
      </w:r>
      <w:r>
        <w:rPr>
          <w:sz w:val="20"/>
          <w:szCs w:val="20"/>
          <w:color w:val="auto"/>
        </w:rPr>
        <w:tab/>
      </w:r>
      <w:r>
        <w:rPr>
          <w:rFonts w:ascii="Arial" w:cs="Arial" w:eastAsia="Arial" w:hAnsi="Arial"/>
          <w:sz w:val="19"/>
          <w:szCs w:val="19"/>
          <w:color w:val="auto"/>
        </w:rPr>
        <w:t>“Company” shall mean Booz Allen Hamilton Holding Corporation, a Delaware corporation.</w:t>
      </w:r>
    </w:p>
    <w:p>
      <w:pPr>
        <w:spacing w:after="0" w:line="200" w:lineRule="exact"/>
        <w:rPr>
          <w:sz w:val="20"/>
          <w:szCs w:val="20"/>
          <w:color w:val="auto"/>
        </w:rPr>
      </w:pPr>
    </w:p>
    <w:p>
      <w:pPr>
        <w:spacing w:after="0" w:line="249" w:lineRule="exact"/>
        <w:rPr>
          <w:sz w:val="20"/>
          <w:szCs w:val="20"/>
          <w:color w:val="auto"/>
        </w:rPr>
      </w:pPr>
    </w:p>
    <w:p>
      <w:pPr>
        <w:ind w:right="40"/>
        <w:spacing w:after="0" w:line="320" w:lineRule="auto"/>
        <w:rPr>
          <w:sz w:val="20"/>
          <w:szCs w:val="20"/>
          <w:color w:val="auto"/>
        </w:rPr>
      </w:pP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“Company Approved Departure” shall mean a termination of employment that the Company (through the members of its senior management), in its sole discretion, determines to be in the best interest of the Company and the Company’s approval of such termination as a Company Approved Departure is approved or ratified by the Board or the Administrator.</w:t>
      </w:r>
    </w:p>
    <w:p>
      <w:pPr>
        <w:spacing w:after="0" w:line="34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u w:val="single" w:color="auto"/>
          <w:color w:val="auto"/>
        </w:rPr>
        <w:t>Section 4.3</w:t>
      </w:r>
      <w:r>
        <w:rPr>
          <w:sz w:val="20"/>
          <w:szCs w:val="20"/>
          <w:color w:val="auto"/>
        </w:rPr>
        <w:tab/>
      </w:r>
      <w:r>
        <w:rPr>
          <w:rFonts w:ascii="Arial" w:cs="Arial" w:eastAsia="Arial" w:hAnsi="Arial"/>
          <w:sz w:val="19"/>
          <w:szCs w:val="19"/>
          <w:color w:val="auto"/>
        </w:rPr>
        <w:t>“Exchange Act” shall mean the Securities and Exchange Act of 1934, as amended.</w:t>
      </w:r>
    </w:p>
    <w:p>
      <w:pPr>
        <w:spacing w:after="0" w:line="200" w:lineRule="exact"/>
        <w:rPr>
          <w:sz w:val="20"/>
          <w:szCs w:val="20"/>
          <w:color w:val="auto"/>
        </w:rPr>
      </w:pPr>
    </w:p>
    <w:p>
      <w:pPr>
        <w:spacing w:after="0" w:line="249" w:lineRule="exact"/>
        <w:rPr>
          <w:sz w:val="20"/>
          <w:szCs w:val="20"/>
          <w:color w:val="auto"/>
        </w:rPr>
      </w:pPr>
    </w:p>
    <w:p>
      <w:pPr>
        <w:jc w:val="both"/>
        <w:ind w:right="580"/>
        <w:spacing w:after="0" w:line="260" w:lineRule="auto"/>
        <w:rPr>
          <w:sz w:val="20"/>
          <w:szCs w:val="20"/>
          <w:color w:val="auto"/>
        </w:rPr>
      </w:pP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“Exercise Price” shall mean the Fair Market Value of a share of Common Stock on the grant date of the Option, determined in accordance with the provisions of the Plan, which Exercise Price has been communicated to the Optionee in a communication accompanying the Grant Notice.</w:t>
      </w:r>
    </w:p>
    <w:p>
      <w:pPr>
        <w:spacing w:after="0" w:line="393"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u w:val="single" w:color="auto"/>
          <w:color w:val="auto"/>
        </w:rPr>
        <w:t>Section 4.5</w:t>
      </w:r>
      <w:r>
        <w:rPr>
          <w:sz w:val="20"/>
          <w:szCs w:val="20"/>
          <w:color w:val="auto"/>
        </w:rPr>
        <w:tab/>
      </w:r>
      <w:r>
        <w:rPr>
          <w:rFonts w:ascii="Arial" w:cs="Arial" w:eastAsia="Arial" w:hAnsi="Arial"/>
          <w:sz w:val="19"/>
          <w:szCs w:val="19"/>
          <w:color w:val="auto"/>
        </w:rPr>
        <w:t>“Final Expiration Date” shall mean the date set forth in the Grant Notice.</w:t>
      </w:r>
    </w:p>
    <w:p>
      <w:pPr>
        <w:spacing w:after="0" w:line="200" w:lineRule="exact"/>
        <w:rPr>
          <w:sz w:val="20"/>
          <w:szCs w:val="20"/>
          <w:color w:val="auto"/>
        </w:rPr>
      </w:pPr>
    </w:p>
    <w:p>
      <w:pPr>
        <w:spacing w:after="0" w:line="249" w:lineRule="exact"/>
        <w:rPr>
          <w:sz w:val="20"/>
          <w:szCs w:val="20"/>
          <w:color w:val="auto"/>
        </w:rPr>
      </w:pPr>
    </w:p>
    <w:p>
      <w:pPr>
        <w:ind w:right="40"/>
        <w:spacing w:after="0" w:line="276" w:lineRule="auto"/>
        <w:rPr>
          <w:sz w:val="20"/>
          <w:szCs w:val="20"/>
          <w:color w:val="auto"/>
        </w:rPr>
      </w:pP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“Grant Notice” shall mean the Grant Notice referred to in Section 1.1 of this Agreement, which Grant Notice is for all purposes a part of the Agreement.</w:t>
      </w:r>
    </w:p>
    <w:p>
      <w:pPr>
        <w:spacing w:after="0" w:line="37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u w:val="single" w:color="auto"/>
          <w:color w:val="auto"/>
        </w:rPr>
        <w:t>Section 4.7</w:t>
      </w:r>
      <w:r>
        <w:rPr>
          <w:sz w:val="20"/>
          <w:szCs w:val="20"/>
          <w:color w:val="auto"/>
        </w:rPr>
        <w:tab/>
      </w:r>
      <w:r>
        <w:rPr>
          <w:rFonts w:ascii="Arial" w:cs="Arial" w:eastAsia="Arial" w:hAnsi="Arial"/>
          <w:sz w:val="19"/>
          <w:szCs w:val="19"/>
          <w:color w:val="auto"/>
        </w:rPr>
        <w:t>“Option” shall mean the option to purchase Company Common Stock granted under this Agreement.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591" w:right="259" w:bottom="1440" w:gutter="0" w:footer="0" w:header="0"/>
        </w:sectPr>
      </w:pPr>
    </w:p>
    <w:bookmarkStart w:id="186" w:name="page187"/>
    <w:bookmarkEnd w:id="186"/>
    <w:p>
      <w:pPr>
        <w:spacing w:after="0"/>
        <w:tabs>
          <w:tab w:leader="none" w:pos="1140" w:val="left"/>
        </w:tabs>
        <w:rPr>
          <w:sz w:val="20"/>
          <w:szCs w:val="20"/>
          <w:color w:val="auto"/>
        </w:rPr>
      </w:pPr>
      <w:r>
        <w:rPr>
          <w:rFonts w:ascii="Arial" w:cs="Arial" w:eastAsia="Arial" w:hAnsi="Arial"/>
          <w:sz w:val="22"/>
          <w:szCs w:val="22"/>
          <w:u w:val="single" w:color="auto"/>
          <w:color w:val="auto"/>
        </w:rPr>
        <w:t>Section 4.8</w:t>
      </w:r>
      <w:r>
        <w:rPr>
          <w:sz w:val="20"/>
          <w:szCs w:val="20"/>
          <w:color w:val="auto"/>
        </w:rPr>
        <w:tab/>
      </w:r>
      <w:r>
        <w:rPr>
          <w:rFonts w:ascii="Arial" w:cs="Arial" w:eastAsia="Arial" w:hAnsi="Arial"/>
          <w:sz w:val="19"/>
          <w:szCs w:val="19"/>
          <w:color w:val="auto"/>
        </w:rPr>
        <w:t>“Optionee” shall mean the Person designated as such in the Grant Notice.</w:t>
      </w:r>
    </w:p>
    <w:p>
      <w:pPr>
        <w:spacing w:after="0" w:line="200" w:lineRule="exact"/>
        <w:rPr>
          <w:sz w:val="20"/>
          <w:szCs w:val="20"/>
          <w:color w:val="auto"/>
        </w:rPr>
      </w:pPr>
    </w:p>
    <w:p>
      <w:pPr>
        <w:spacing w:after="0" w:line="249" w:lineRule="exact"/>
        <w:rPr>
          <w:sz w:val="20"/>
          <w:szCs w:val="20"/>
          <w:color w:val="auto"/>
        </w:rPr>
      </w:pPr>
    </w:p>
    <w:p>
      <w:pPr>
        <w:ind w:right="360"/>
        <w:spacing w:after="0" w:line="276" w:lineRule="auto"/>
        <w:rPr>
          <w:sz w:val="20"/>
          <w:szCs w:val="20"/>
          <w:color w:val="auto"/>
        </w:rPr>
      </w:pPr>
      <w:r>
        <w:rPr>
          <w:rFonts w:ascii="Arial" w:cs="Arial" w:eastAsia="Arial" w:hAnsi="Arial"/>
          <w:sz w:val="22"/>
          <w:szCs w:val="22"/>
          <w:u w:val="single" w:color="auto"/>
          <w:color w:val="auto"/>
        </w:rPr>
        <w:t>Section 4.9</w:t>
      </w:r>
      <w:r>
        <w:rPr>
          <w:rFonts w:ascii="Arial" w:cs="Arial" w:eastAsia="Arial" w:hAnsi="Arial"/>
          <w:sz w:val="22"/>
          <w:szCs w:val="22"/>
          <w:color w:val="auto"/>
        </w:rPr>
        <w:t xml:space="preserve"> “Plan” shall mean the Second Amended and Restated Equity Incentive Plan of Booz Allen Hamilton Holding Corporation, as amended from time to time.</w:t>
      </w:r>
    </w:p>
    <w:p>
      <w:pPr>
        <w:spacing w:after="0" w:line="377"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u w:val="single" w:color="auto"/>
          <w:color w:val="auto"/>
        </w:rPr>
        <w:t>Section 4.10</w:t>
      </w:r>
      <w:r>
        <w:rPr>
          <w:sz w:val="20"/>
          <w:szCs w:val="20"/>
          <w:color w:val="auto"/>
        </w:rPr>
        <w:tab/>
      </w:r>
      <w:r>
        <w:rPr>
          <w:rFonts w:ascii="Arial" w:cs="Arial" w:eastAsia="Arial" w:hAnsi="Arial"/>
          <w:sz w:val="19"/>
          <w:szCs w:val="19"/>
          <w:color w:val="auto"/>
        </w:rPr>
        <w:t>“Retirement” shall have the meaning set forth in the Company’s Retirement Policy.</w:t>
      </w:r>
    </w:p>
    <w:p>
      <w:pPr>
        <w:spacing w:after="0" w:line="200" w:lineRule="exact"/>
        <w:rPr>
          <w:sz w:val="20"/>
          <w:szCs w:val="20"/>
          <w:color w:val="auto"/>
        </w:rPr>
      </w:pPr>
    </w:p>
    <w:p>
      <w:pPr>
        <w:spacing w:after="0" w:line="249" w:lineRule="exact"/>
        <w:rPr>
          <w:sz w:val="20"/>
          <w:szCs w:val="20"/>
          <w:color w:val="auto"/>
        </w:rPr>
      </w:pPr>
    </w:p>
    <w:p>
      <w:pPr>
        <w:spacing w:after="0"/>
        <w:tabs>
          <w:tab w:leader="none" w:pos="1240" w:val="left"/>
        </w:tabs>
        <w:rPr>
          <w:sz w:val="20"/>
          <w:szCs w:val="20"/>
          <w:color w:val="auto"/>
        </w:rPr>
      </w:pPr>
      <w:r>
        <w:rPr>
          <w:rFonts w:ascii="Arial" w:cs="Arial" w:eastAsia="Arial" w:hAnsi="Arial"/>
          <w:sz w:val="22"/>
          <w:szCs w:val="22"/>
          <w:u w:val="single" w:color="auto"/>
          <w:color w:val="auto"/>
        </w:rPr>
        <w:t>Section 4.11</w:t>
      </w:r>
      <w:r>
        <w:rPr>
          <w:sz w:val="20"/>
          <w:szCs w:val="20"/>
          <w:color w:val="auto"/>
        </w:rPr>
        <w:tab/>
      </w:r>
      <w:r>
        <w:rPr>
          <w:rFonts w:ascii="Arial" w:cs="Arial" w:eastAsia="Arial" w:hAnsi="Arial"/>
          <w:sz w:val="19"/>
          <w:szCs w:val="19"/>
          <w:color w:val="auto"/>
        </w:rPr>
        <w:t>“Shares” shall have the meaning set forth in the Grant Notice.</w:t>
      </w:r>
    </w:p>
    <w:p>
      <w:pPr>
        <w:spacing w:after="0" w:line="200" w:lineRule="exact"/>
        <w:rPr>
          <w:sz w:val="20"/>
          <w:szCs w:val="20"/>
          <w:color w:val="auto"/>
        </w:rPr>
      </w:pPr>
    </w:p>
    <w:p>
      <w:pPr>
        <w:spacing w:after="0" w:line="249" w:lineRule="exact"/>
        <w:rPr>
          <w:sz w:val="20"/>
          <w:szCs w:val="20"/>
          <w:color w:val="auto"/>
        </w:rPr>
      </w:pPr>
    </w:p>
    <w:p>
      <w:pPr>
        <w:spacing w:after="0" w:line="276" w:lineRule="auto"/>
        <w:rPr>
          <w:sz w:val="20"/>
          <w:szCs w:val="20"/>
          <w:color w:val="auto"/>
        </w:rPr>
      </w:pPr>
      <w:r>
        <w:rPr>
          <w:rFonts w:ascii="Arial" w:cs="Arial" w:eastAsia="Arial" w:hAnsi="Arial"/>
          <w:sz w:val="22"/>
          <w:szCs w:val="22"/>
          <w:u w:val="single" w:color="auto"/>
          <w:color w:val="auto"/>
        </w:rPr>
        <w:t>Section 4.12</w:t>
      </w:r>
      <w:r>
        <w:rPr>
          <w:rFonts w:ascii="Arial" w:cs="Arial" w:eastAsia="Arial" w:hAnsi="Arial"/>
          <w:sz w:val="22"/>
          <w:szCs w:val="22"/>
          <w:color w:val="auto"/>
        </w:rPr>
        <w:t xml:space="preserve"> “Withholding Taxes” means any federal, state, local, or foreign income taxes, withholding taxes, or employment taxes required to be withheld under Applicable Law.</w:t>
      </w:r>
    </w:p>
    <w:p>
      <w:pPr>
        <w:spacing w:after="0" w:line="377"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980"/>
          </w:cols>
          <w:pgMar w:left="240" w:top="591" w:right="67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color w:val="auto"/>
        </w:rPr>
        <w:t>Exhibit 10.60</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Restricted Stock Unit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EQUITY INCENTIVE PLAN 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BOOZ ALLEN HAMILTON HOLDING CORPORATION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RESTRICTED STOCK UNIT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NOTICE</w:t>
      </w:r>
    </w:p>
    <w:p>
      <w:pPr>
        <w:spacing w:after="0" w:line="200" w:lineRule="exact"/>
        <w:rPr>
          <w:sz w:val="20"/>
          <w:szCs w:val="20"/>
          <w:color w:val="auto"/>
        </w:rPr>
      </w:pPr>
    </w:p>
    <w:p>
      <w:pPr>
        <w:spacing w:after="0" w:line="242"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Unless otherwise defined herein, the terms defined in the Second Amended and Restated Equity Incentive Plan of Booz Allen Holding Corporation (the “</w:t>
      </w:r>
      <w:r>
        <w:rPr>
          <w:rFonts w:ascii="Arial" w:cs="Arial" w:eastAsia="Arial" w:hAnsi="Arial"/>
          <w:sz w:val="22"/>
          <w:szCs w:val="22"/>
          <w:u w:val="single" w:color="auto"/>
          <w:color w:val="auto"/>
        </w:rPr>
        <w:t>Plan</w:t>
      </w:r>
      <w:r>
        <w:rPr>
          <w:rFonts w:ascii="Arial" w:cs="Arial" w:eastAsia="Arial" w:hAnsi="Arial"/>
          <w:sz w:val="22"/>
          <w:szCs w:val="22"/>
          <w:color w:val="auto"/>
        </w:rPr>
        <w:t>”) shall have the same defined meanings in this Performance Restricted Stock Unit Agreement, which includes the terms in this Grant Notice (the “</w:t>
      </w:r>
      <w:r>
        <w:rPr>
          <w:rFonts w:ascii="Arial" w:cs="Arial" w:eastAsia="Arial" w:hAnsi="Arial"/>
          <w:sz w:val="22"/>
          <w:szCs w:val="22"/>
          <w:u w:val="single" w:color="auto"/>
          <w:color w:val="auto"/>
        </w:rPr>
        <w:t>Grant Notice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attached hereto (collectively, the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You have been granted performance-based restricted stock units, subject to the terms and conditions of the Plan and this Agreement in an amount, vesting schedule and subject to satisfaction of the performance goals for the applicable performance period, as delivered and made available to you by the Company, which shall be deemed part of and incorporated by reference into this Grant Notice.</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291" w:lineRule="auto"/>
        <w:rPr>
          <w:sz w:val="20"/>
          <w:szCs w:val="20"/>
          <w:color w:val="auto"/>
        </w:rPr>
      </w:pPr>
      <w:r>
        <w:rPr>
          <w:rFonts w:ascii="Arial" w:cs="Arial" w:eastAsia="Arial" w:hAnsi="Arial"/>
          <w:sz w:val="19"/>
          <w:szCs w:val="19"/>
          <w:color w:val="auto"/>
        </w:rPr>
        <w:t xml:space="preserve">Your acceptance of this grant indicates your agreement and understanding that the Performance Restricted Stock Units granted herein are subject to all of the terms and conditions contained in the Agreement and the Plan. </w:t>
      </w:r>
      <w:r>
        <w:rPr>
          <w:rFonts w:ascii="Arial" w:cs="Arial" w:eastAsia="Arial" w:hAnsi="Arial"/>
          <w:sz w:val="19"/>
          <w:szCs w:val="19"/>
          <w:b w:val="1"/>
          <w:bCs w:val="1"/>
          <w:color w:val="auto"/>
        </w:rPr>
        <w:t>ACCORDINGLY, PLEASE</w:t>
      </w:r>
    </w:p>
    <w:p>
      <w:pPr>
        <w:spacing w:after="0" w:line="1" w:lineRule="exact"/>
        <w:rPr>
          <w:sz w:val="20"/>
          <w:szCs w:val="20"/>
          <w:color w:val="auto"/>
        </w:rPr>
      </w:pPr>
    </w:p>
    <w:p>
      <w:pPr>
        <w:ind w:right="680"/>
        <w:spacing w:after="0" w:line="246" w:lineRule="auto"/>
        <w:rPr>
          <w:sz w:val="20"/>
          <w:szCs w:val="20"/>
          <w:color w:val="auto"/>
        </w:rPr>
      </w:pPr>
      <w:r>
        <w:rPr>
          <w:rFonts w:ascii="Arial" w:cs="Arial" w:eastAsia="Arial" w:hAnsi="Arial"/>
          <w:sz w:val="22"/>
          <w:szCs w:val="22"/>
          <w:b w:val="1"/>
          <w:bCs w:val="1"/>
          <w:color w:val="auto"/>
        </w:rPr>
        <w:t>BE SURE TO READ ALL OF THE PLAN AND APPENDIX A, WHICH CONTAIN THE SPECIFIC TERMS AND CONDITIONS OF THE PERFORMANCE RESTRICTED STOCK UNITS.</w:t>
      </w:r>
    </w:p>
    <w:p>
      <w:pPr>
        <w:spacing w:after="0" w:line="200" w:lineRule="exact"/>
        <w:rPr>
          <w:sz w:val="20"/>
          <w:szCs w:val="20"/>
          <w:color w:val="auto"/>
        </w:rPr>
      </w:pPr>
    </w:p>
    <w:p>
      <w:pPr>
        <w:spacing w:after="0" w:line="209"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In order to accept this grant, please go to Fidelity NetBenefits at www.netbenefits.com and follow the instructions regarding this grant.</w:t>
      </w:r>
    </w:p>
    <w:p>
      <w:pPr>
        <w:sectPr>
          <w:pgSz w:w="11900" w:h="16838" w:orient="portrait"/>
          <w:cols w:equalWidth="0" w:num="1">
            <w:col w:w="11420"/>
          </w:cols>
          <w:pgMar w:left="240" w:top="132"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2"/>
          <w:szCs w:val="22"/>
          <w:b w:val="1"/>
          <w:bCs w:val="1"/>
          <w:color w:val="auto"/>
        </w:rPr>
        <w:t>APPENDIX A TO PERFORMANCE RESTRICTED STOCK UNIT AGREEMENT</w:t>
      </w:r>
    </w:p>
    <w:p>
      <w:pPr>
        <w:spacing w:after="0" w:line="200" w:lineRule="exact"/>
        <w:rPr>
          <w:sz w:val="20"/>
          <w:szCs w:val="20"/>
          <w:color w:val="auto"/>
        </w:rPr>
      </w:pPr>
    </w:p>
    <w:p>
      <w:pPr>
        <w:spacing w:after="0" w:line="242" w:lineRule="exact"/>
        <w:rPr>
          <w:sz w:val="20"/>
          <w:szCs w:val="20"/>
          <w:color w:val="auto"/>
        </w:rPr>
      </w:pPr>
    </w:p>
    <w:p>
      <w:pPr>
        <w:ind w:left="-20" w:firstLine="656"/>
        <w:spacing w:after="0" w:line="289" w:lineRule="auto"/>
        <w:tabs>
          <w:tab w:leader="none" w:pos="970"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Subject to the terms, conditions, and restrictions set forth in this Agreement (including the Grant Notice made available to you by the Company) and in the Plan, the Company hereby evidences and confirms its grant to the Participant, effective as of the Grant Date, of the target number of performance restricted stock units (the “</w:t>
      </w:r>
      <w:r>
        <w:rPr>
          <w:rFonts w:ascii="Arial" w:cs="Arial" w:eastAsia="Arial" w:hAnsi="Arial"/>
          <w:sz w:val="19"/>
          <w:szCs w:val="19"/>
          <w:u w:val="single" w:color="auto"/>
          <w:color w:val="auto"/>
        </w:rPr>
        <w:t>Target Award</w:t>
      </w:r>
      <w:r>
        <w:rPr>
          <w:rFonts w:ascii="Arial" w:cs="Arial" w:eastAsia="Arial" w:hAnsi="Arial"/>
          <w:sz w:val="19"/>
          <w:szCs w:val="19"/>
          <w:color w:val="auto"/>
        </w:rPr>
        <w:t>”) specified in the Grant Notice. Each performance restricted stock unit (a “</w:t>
      </w:r>
      <w:r>
        <w:rPr>
          <w:rFonts w:ascii="Arial" w:cs="Arial" w:eastAsia="Arial" w:hAnsi="Arial"/>
          <w:sz w:val="19"/>
          <w:szCs w:val="19"/>
          <w:u w:val="single" w:color="auto"/>
          <w:color w:val="auto"/>
        </w:rPr>
        <w:t>Restricted Stock Unit</w:t>
      </w:r>
      <w:r>
        <w:rPr>
          <w:rFonts w:ascii="Arial" w:cs="Arial" w:eastAsia="Arial" w:hAnsi="Arial"/>
          <w:sz w:val="19"/>
          <w:szCs w:val="19"/>
          <w:color w:val="auto"/>
        </w:rPr>
        <w:t>”) represents the right to receive between zero and two shares of Company Common Stock, subject to the terms and conditions set forth in this Agreement (including the Grant Notice) and in the Plan. Except as otherwise provided in Section 2, the number of Restricted Stock Units that the Participant shall actually earn for the Performance Period (up to the maximum specified in the Grant Notice) will be determined by the Administrator based on the level of achievement of the performance goals specified in the Grant Notice (the “</w:t>
      </w:r>
      <w:r>
        <w:rPr>
          <w:rFonts w:ascii="Arial" w:cs="Arial" w:eastAsia="Arial" w:hAnsi="Arial"/>
          <w:sz w:val="19"/>
          <w:szCs w:val="19"/>
          <w:u w:val="single" w:color="auto"/>
          <w:color w:val="auto"/>
        </w:rPr>
        <w:t>Performance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Goals</w:t>
      </w:r>
      <w:r>
        <w:rPr>
          <w:rFonts w:ascii="Arial" w:cs="Arial" w:eastAsia="Arial" w:hAnsi="Arial"/>
          <w:sz w:val="19"/>
          <w:szCs w:val="19"/>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Any capitalized terms used herein without definition shall have the meanings set forth in the Plan.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980" w:hanging="344"/>
        <w:spacing w:after="0"/>
        <w:tabs>
          <w:tab w:leader="none" w:pos="98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20" w:right="60" w:firstLine="656"/>
        <w:spacing w:after="0" w:line="297" w:lineRule="auto"/>
        <w:tabs>
          <w:tab w:leader="none" w:pos="1048"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For purposes of this Agreement, the term “</w:t>
      </w:r>
      <w:r>
        <w:rPr>
          <w:rFonts w:ascii="Arial" w:cs="Arial" w:eastAsia="Arial" w:hAnsi="Arial"/>
          <w:sz w:val="19"/>
          <w:szCs w:val="19"/>
          <w:u w:val="single" w:color="auto"/>
          <w:color w:val="auto"/>
        </w:rPr>
        <w:t>Performance Period</w:t>
      </w:r>
      <w:r>
        <w:rPr>
          <w:rFonts w:ascii="Arial" w:cs="Arial" w:eastAsia="Arial" w:hAnsi="Arial"/>
          <w:sz w:val="19"/>
          <w:szCs w:val="19"/>
          <w:color w:val="auto"/>
        </w:rPr>
        <w:t>” shall mean the period set forth in the Grant Notice. The Restricted Stock Units are subject to forfeiture until they vest. Except as otherwise provided in this Section 2, the Restricted Stock Units shall become vested as of the vesting date specified in the Grant Notice (the “</w:t>
      </w:r>
      <w:r>
        <w:rPr>
          <w:rFonts w:ascii="Arial" w:cs="Arial" w:eastAsia="Arial" w:hAnsi="Arial"/>
          <w:sz w:val="19"/>
          <w:szCs w:val="19"/>
          <w:u w:val="single" w:color="auto"/>
          <w:color w:val="auto"/>
        </w:rPr>
        <w:t>Vesting Date</w:t>
      </w:r>
      <w:r>
        <w:rPr>
          <w:rFonts w:ascii="Arial" w:cs="Arial" w:eastAsia="Arial" w:hAnsi="Arial"/>
          <w:sz w:val="19"/>
          <w:szCs w:val="19"/>
          <w:color w:val="auto"/>
        </w:rPr>
        <w:t>”), subject to the continued employment or service of the Participant by the Company or any Subsidiary thereof through the Vesting Date, and to the achievement of the Performance Goals set forth in the Grant Notice for the Performance Period as determined by the Administrator pursuant to Section 3(a). Restricted Stock Units that do not vest in accordance with this Section 2 shall be forfeited.</w:t>
      </w:r>
    </w:p>
    <w:p>
      <w:pPr>
        <w:spacing w:after="0" w:line="363" w:lineRule="exact"/>
        <w:rPr>
          <w:rFonts w:ascii="Arial" w:cs="Arial" w:eastAsia="Arial" w:hAnsi="Arial"/>
          <w:sz w:val="19"/>
          <w:szCs w:val="19"/>
          <w:color w:val="auto"/>
        </w:rPr>
      </w:pPr>
    </w:p>
    <w:p>
      <w:pPr>
        <w:ind w:left="1060" w:hanging="424"/>
        <w:spacing w:after="0"/>
        <w:tabs>
          <w:tab w:leader="none" w:pos="1060"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20" w:right="140" w:firstLine="1305"/>
        <w:spacing w:after="0" w:line="278" w:lineRule="auto"/>
        <w:tabs>
          <w:tab w:leader="none" w:pos="1660" w:val="left"/>
        </w:tabs>
        <w:numPr>
          <w:ilvl w:val="1"/>
          <w:numId w:val="149"/>
        </w:numPr>
        <w:rPr>
          <w:rFonts w:ascii="Arial" w:cs="Arial" w:eastAsia="Arial" w:hAnsi="Arial"/>
          <w:sz w:val="21"/>
          <w:szCs w:val="21"/>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a Participant’s employment or service terminates due to the Participant’s death prior to the Vesting Date, all unvested Restricted Stock Units shall vest on the effective date of such termination of employment or service at Target Award levels. Vested Restricted Stock Units shall be settled as set forth in Section 3.</w:t>
      </w:r>
    </w:p>
    <w:p>
      <w:pPr>
        <w:spacing w:after="0" w:line="376" w:lineRule="exact"/>
        <w:rPr>
          <w:rFonts w:ascii="Arial" w:cs="Arial" w:eastAsia="Arial" w:hAnsi="Arial"/>
          <w:sz w:val="21"/>
          <w:szCs w:val="21"/>
          <w:color w:val="auto"/>
        </w:rPr>
      </w:pPr>
    </w:p>
    <w:p>
      <w:pPr>
        <w:ind w:left="-20" w:right="100" w:firstLine="1305"/>
        <w:spacing w:after="0" w:line="251" w:lineRule="auto"/>
        <w:tabs>
          <w:tab w:leader="none" w:pos="1721"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Termination by Reason of a Company Approved Departure; Termination by Reason of Disability</w:t>
      </w:r>
      <w:r>
        <w:rPr>
          <w:rFonts w:ascii="Arial" w:cs="Arial" w:eastAsia="Arial" w:hAnsi="Arial"/>
          <w:sz w:val="22"/>
          <w:szCs w:val="22"/>
          <w:color w:val="auto"/>
        </w:rPr>
        <w:t>. If a Participant’s employment or service terminates prior to the Vesting Date (</w:t>
      </w:r>
      <w:r>
        <w:rPr>
          <w:rFonts w:ascii="Arial" w:cs="Arial" w:eastAsia="Arial" w:hAnsi="Arial"/>
          <w:sz w:val="22"/>
          <w:szCs w:val="22"/>
          <w:u w:val="single" w:color="auto"/>
          <w:color w:val="auto"/>
        </w:rPr>
        <w:t>A</w:t>
      </w:r>
      <w:r>
        <w:rPr>
          <w:rFonts w:ascii="Arial" w:cs="Arial" w:eastAsia="Arial" w:hAnsi="Arial"/>
          <w:sz w:val="22"/>
          <w:szCs w:val="22"/>
          <w:color w:val="auto"/>
        </w:rPr>
        <w:t>) by reason of a Company Approved Departure (as defined below)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by reason of the Participant’s Disability, then, in each case, the Participant’s unvested Restricted Stock Units shall vest as of the Vesting Date in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amount of the Restricted Stock Units that would have been earned and vested in accordance with Section 2(a) based on actual achievement of the</w:t>
      </w:r>
    </w:p>
    <w:p>
      <w:pPr>
        <w:sectPr>
          <w:pgSz w:w="11900" w:h="16838" w:orient="portrait"/>
          <w:cols w:equalWidth="0" w:num="1">
            <w:col w:w="11400"/>
          </w:cols>
          <w:pgMar w:left="260" w:top="842" w:right="239" w:bottom="1440" w:gutter="0" w:footer="0" w:header="0"/>
        </w:sectPr>
      </w:pPr>
    </w:p>
    <w:bookmarkStart w:id="189" w:name="page190"/>
    <w:bookmarkEnd w:id="189"/>
    <w:p>
      <w:pPr>
        <w:ind w:right="80"/>
        <w:spacing w:after="0" w:line="292" w:lineRule="auto"/>
        <w:rPr>
          <w:sz w:val="20"/>
          <w:szCs w:val="20"/>
          <w:color w:val="auto"/>
        </w:rPr>
      </w:pPr>
      <w:r>
        <w:rPr>
          <w:rFonts w:ascii="Arial" w:cs="Arial" w:eastAsia="Arial" w:hAnsi="Arial"/>
          <w:sz w:val="19"/>
          <w:szCs w:val="19"/>
          <w:color w:val="auto"/>
        </w:rPr>
        <w:t xml:space="preserve">Performance Goals as if the Participant’s employment or service had not terminated, with such amount prorated for the portion of the Performance Period that lapsed prior to the Participant’s termination of employment or service;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any transition period (within the meaning of the Company’s Transition Policy, as may be amended from time to time) shall not be considered a period of employment or service for purposes of calculating the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amount. Vested Restricted Stock Units shall be settled as set forth in Section 3. “</w:t>
      </w:r>
      <w:r>
        <w:rPr>
          <w:rFonts w:ascii="Arial" w:cs="Arial" w:eastAsia="Arial" w:hAnsi="Arial"/>
          <w:sz w:val="19"/>
          <w:szCs w:val="19"/>
          <w:u w:val="single" w:color="auto"/>
          <w:color w:val="auto"/>
        </w:rPr>
        <w:t>Company Approved Departure</w:t>
      </w:r>
      <w:r>
        <w:rPr>
          <w:rFonts w:ascii="Arial" w:cs="Arial" w:eastAsia="Arial" w:hAnsi="Arial"/>
          <w:sz w:val="19"/>
          <w:szCs w:val="19"/>
          <w:color w:val="auto"/>
        </w:rPr>
        <w:t>” shall mean a termination of employment that the Company (through the members of its senior management), in its sole discretion, determines to be in the best interest of the Company and the Company’s approval of such termination as a Company Approved Departure is approved or ratified by the Board or the Administrator.</w:t>
      </w:r>
    </w:p>
    <w:p>
      <w:pPr>
        <w:spacing w:after="0" w:line="368" w:lineRule="exact"/>
        <w:rPr>
          <w:sz w:val="20"/>
          <w:szCs w:val="20"/>
          <w:color w:val="auto"/>
        </w:rPr>
      </w:pPr>
    </w:p>
    <w:p>
      <w:pPr>
        <w:ind w:firstLine="1305"/>
        <w:spacing w:after="0" w:line="286" w:lineRule="auto"/>
        <w:tabs>
          <w:tab w:leader="none" w:pos="1800"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Retirement</w:t>
      </w:r>
      <w:r>
        <w:rPr>
          <w:rFonts w:ascii="Arial" w:cs="Arial" w:eastAsia="Arial" w:hAnsi="Arial"/>
          <w:sz w:val="19"/>
          <w:szCs w:val="19"/>
          <w:color w:val="auto"/>
        </w:rPr>
        <w:t>. (</w:t>
      </w:r>
      <w:r>
        <w:rPr>
          <w:rFonts w:ascii="Arial" w:cs="Arial" w:eastAsia="Arial" w:hAnsi="Arial"/>
          <w:sz w:val="19"/>
          <w:szCs w:val="19"/>
          <w:u w:val="single" w:color="auto"/>
          <w:color w:val="auto"/>
        </w:rPr>
        <w:t>A</w:t>
      </w:r>
      <w:r>
        <w:rPr>
          <w:rFonts w:ascii="Arial" w:cs="Arial" w:eastAsia="Arial" w:hAnsi="Arial"/>
          <w:sz w:val="19"/>
          <w:szCs w:val="19"/>
          <w:color w:val="auto"/>
        </w:rPr>
        <w:t>) If a Participant’s employment or service terminates prior to the Vesting Date by reason of a Participant’s Qualifying Permanent Retirement (as defined below), provided that such termination occurs on or after March 31 (or if March 31 is not a business day, the last business day prior to March 31) of the first fiscal year of the Performance Period, the unvested Restricted Stock Units shall vest in accordance with Section 2(a) based on actual achievement of the Performance Goals as if the Participant’s employment or service had not terminated; (</w:t>
      </w:r>
      <w:r>
        <w:rPr>
          <w:rFonts w:ascii="Arial" w:cs="Arial" w:eastAsia="Arial" w:hAnsi="Arial"/>
          <w:sz w:val="19"/>
          <w:szCs w:val="19"/>
          <w:u w:val="single" w:color="auto"/>
          <w:color w:val="auto"/>
        </w:rPr>
        <w:t>B</w:t>
      </w:r>
      <w:r>
        <w:rPr>
          <w:rFonts w:ascii="Arial" w:cs="Arial" w:eastAsia="Arial" w:hAnsi="Arial"/>
          <w:sz w:val="19"/>
          <w:szCs w:val="19"/>
          <w:color w:val="auto"/>
        </w:rPr>
        <w:t>) if a Participant’s employment or service terminates prior to March 31 (or if March 31 is not a business day, the last business day prior to March 31) of the first fiscal year of the Performance Period by reason of a Participant’s retirement (notwithstanding that such retirement may otherwise qualify as a Qualifying Permanent Retirement), all unvested Restricted Stock Units shall immediately be forfeited as of the termination date; and (</w:t>
      </w:r>
      <w:r>
        <w:rPr>
          <w:rFonts w:ascii="Arial" w:cs="Arial" w:eastAsia="Arial" w:hAnsi="Arial"/>
          <w:sz w:val="19"/>
          <w:szCs w:val="19"/>
          <w:u w:val="single" w:color="auto"/>
          <w:color w:val="auto"/>
        </w:rPr>
        <w:t>C</w:t>
      </w:r>
      <w:r>
        <w:rPr>
          <w:rFonts w:ascii="Arial" w:cs="Arial" w:eastAsia="Arial" w:hAnsi="Arial"/>
          <w:sz w:val="19"/>
          <w:szCs w:val="19"/>
          <w:color w:val="auto"/>
        </w:rPr>
        <w:t>) if a Participant’s employment or service terminates at any point prior to the Vesting Date by reason of a Participant’s retirement that at any point during the Performance Period does not constitute a Qualifying Permanent Retirement, all unvested Restricted Stock Units shall immediately be forfeited as of the termination date or, if later, the date such retirement does not constitute a Qualifying Permanent Retirement. Vested Restricted Stock Units shall be settled as set forth in Section 3. “</w:t>
      </w:r>
      <w:r>
        <w:rPr>
          <w:rFonts w:ascii="Arial" w:cs="Arial" w:eastAsia="Arial" w:hAnsi="Arial"/>
          <w:sz w:val="19"/>
          <w:szCs w:val="19"/>
          <w:u w:val="single" w:color="auto"/>
          <w:color w:val="auto"/>
        </w:rPr>
        <w:t>Qualifying Permanent Retirement</w:t>
      </w:r>
      <w:r>
        <w:rPr>
          <w:rFonts w:ascii="Arial" w:cs="Arial" w:eastAsia="Arial" w:hAnsi="Arial"/>
          <w:sz w:val="19"/>
          <w:szCs w:val="19"/>
          <w:color w:val="auto"/>
        </w:rPr>
        <w:t>” means a termination of the Participant’s employment or service by reason of a retirement (</w:t>
      </w:r>
      <w:r>
        <w:rPr>
          <w:rFonts w:ascii="Arial" w:cs="Arial" w:eastAsia="Arial" w:hAnsi="Arial"/>
          <w:sz w:val="19"/>
          <w:szCs w:val="19"/>
          <w:u w:val="single" w:color="auto"/>
          <w:color w:val="auto"/>
        </w:rPr>
        <w:t>I</w:t>
      </w:r>
      <w:r>
        <w:rPr>
          <w:rFonts w:ascii="Arial" w:cs="Arial" w:eastAsia="Arial" w:hAnsi="Arial"/>
          <w:sz w:val="19"/>
          <w:szCs w:val="19"/>
          <w:color w:val="auto"/>
        </w:rPr>
        <w:t>) in accordance with the applicable Company retirement policy (as may be amended from time to time) and (</w:t>
      </w:r>
      <w:r>
        <w:rPr>
          <w:rFonts w:ascii="Arial" w:cs="Arial" w:eastAsia="Arial" w:hAnsi="Arial"/>
          <w:sz w:val="19"/>
          <w:szCs w:val="19"/>
          <w:u w:val="single" w:color="auto"/>
          <w:color w:val="auto"/>
        </w:rPr>
        <w:t>II</w:t>
      </w:r>
      <w:r>
        <w:rPr>
          <w:rFonts w:ascii="Arial" w:cs="Arial" w:eastAsia="Arial" w:hAnsi="Arial"/>
          <w:sz w:val="19"/>
          <w:szCs w:val="19"/>
          <w:color w:val="auto"/>
        </w:rPr>
        <w:t>) that is a permanent retirement from all current and future employment, including but not limited to self-employment, unless such employment is approved by the Company in writing in advance of the Participant commencing such employment.</w:t>
      </w:r>
    </w:p>
    <w:p>
      <w:pPr>
        <w:spacing w:after="0" w:line="385" w:lineRule="exact"/>
        <w:rPr>
          <w:rFonts w:ascii="Arial" w:cs="Arial" w:eastAsia="Arial" w:hAnsi="Arial"/>
          <w:sz w:val="19"/>
          <w:szCs w:val="19"/>
          <w:color w:val="auto"/>
        </w:rPr>
      </w:pPr>
    </w:p>
    <w:p>
      <w:pPr>
        <w:ind w:right="80" w:firstLine="1305"/>
        <w:spacing w:after="0" w:line="297" w:lineRule="auto"/>
        <w:tabs>
          <w:tab w:leader="none" w:pos="1788"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twelve (12)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Stock issued in settlement of any Restricted Stock Units.</w:t>
      </w:r>
    </w:p>
    <w:p>
      <w:pPr>
        <w:spacing w:after="0" w:line="363" w:lineRule="exact"/>
        <w:rPr>
          <w:rFonts w:ascii="Arial" w:cs="Arial" w:eastAsia="Arial" w:hAnsi="Arial"/>
          <w:sz w:val="19"/>
          <w:szCs w:val="19"/>
          <w:color w:val="auto"/>
        </w:rPr>
      </w:pPr>
    </w:p>
    <w:p>
      <w:pPr>
        <w:ind w:right="180" w:firstLine="1305"/>
        <w:spacing w:after="0" w:line="276" w:lineRule="auto"/>
        <w:tabs>
          <w:tab w:leader="none" w:pos="1728"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w:t>
      </w:r>
      <w:r>
        <w:rPr>
          <w:rFonts w:ascii="Arial" w:cs="Arial" w:eastAsia="Arial" w:hAnsi="Arial"/>
          <w:sz w:val="22"/>
          <w:szCs w:val="22"/>
          <w:color w:val="auto"/>
        </w:rPr>
        <w:t>. If a Participant’s employment terminates for any reason other than death, Disability, in a Company Approved Departure, in a</w:t>
      </w:r>
    </w:p>
    <w:p>
      <w:pPr>
        <w:sectPr>
          <w:pgSz w:w="11900" w:h="16838" w:orient="portrait"/>
          <w:cols w:equalWidth="0" w:num="1">
            <w:col w:w="11360"/>
          </w:cols>
          <w:pgMar w:left="240" w:top="591" w:right="299" w:bottom="1440" w:gutter="0" w:footer="0" w:header="0"/>
        </w:sectPr>
      </w:pPr>
    </w:p>
    <w:bookmarkStart w:id="190" w:name="page191"/>
    <w:bookmarkEnd w:id="190"/>
    <w:p>
      <w:pPr>
        <w:spacing w:after="0"/>
        <w:rPr>
          <w:sz w:val="20"/>
          <w:szCs w:val="20"/>
          <w:color w:val="auto"/>
        </w:rPr>
      </w:pPr>
      <w:r>
        <w:rPr>
          <w:rFonts w:ascii="Arial" w:cs="Arial" w:eastAsia="Arial" w:hAnsi="Arial"/>
          <w:sz w:val="19"/>
          <w:szCs w:val="19"/>
          <w:color w:val="auto"/>
        </w:rPr>
        <w:t>Qualifying Permanent Retirement or by the Company for Cause, all unvested Restricted Stock Units shall immediately be forfeited.</w:t>
      </w:r>
    </w:p>
    <w:p>
      <w:pPr>
        <w:spacing w:after="0" w:line="200" w:lineRule="exact"/>
        <w:rPr>
          <w:sz w:val="20"/>
          <w:szCs w:val="20"/>
          <w:color w:val="auto"/>
        </w:rPr>
      </w:pPr>
    </w:p>
    <w:p>
      <w:pPr>
        <w:spacing w:after="0" w:line="270" w:lineRule="exact"/>
        <w:rPr>
          <w:sz w:val="20"/>
          <w:szCs w:val="20"/>
          <w:color w:val="auto"/>
        </w:rPr>
      </w:pPr>
    </w:p>
    <w:p>
      <w:pPr>
        <w:ind w:firstLine="656"/>
        <w:spacing w:after="0" w:line="287" w:lineRule="auto"/>
        <w:tabs>
          <w:tab w:leader="none" w:pos="1068"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In the event of a Change in Control prior to the Vesting Date, notwithstanding anything in Article XIII of the Plan to the contrary, an amount of Restricted Stock Units equal to the Target Award shall remain outstanding and shall vest on the Vesting Date, subject to the continued employment or service of the Participant by the Company or any Subsidiary thereof through such date, but without regard to achievement of any Performance Goals; </w:t>
      </w:r>
      <w:r>
        <w:rPr>
          <w:rFonts w:ascii="Arial" w:cs="Arial" w:eastAsia="Arial" w:hAnsi="Arial"/>
          <w:sz w:val="19"/>
          <w:szCs w:val="19"/>
          <w:u w:val="single" w:color="auto"/>
          <w:color w:val="auto"/>
        </w:rPr>
        <w:t>provided, that</w:t>
      </w:r>
      <w:r>
        <w:rPr>
          <w:rFonts w:ascii="Arial" w:cs="Arial" w:eastAsia="Arial" w:hAnsi="Arial"/>
          <w:sz w:val="19"/>
          <w:szCs w:val="19"/>
          <w:color w:val="auto"/>
        </w:rPr>
        <w:t>, if the Participant’s employment or service is terminated by the Company without Cause or for Good Reason (each, a “</w:t>
      </w:r>
      <w:r>
        <w:rPr>
          <w:rFonts w:ascii="Arial" w:cs="Arial" w:eastAsia="Arial" w:hAnsi="Arial"/>
          <w:sz w:val="19"/>
          <w:szCs w:val="19"/>
          <w:u w:val="single" w:color="auto"/>
          <w:color w:val="auto"/>
        </w:rPr>
        <w:t>Qualifying CIC Termination</w:t>
      </w:r>
      <w:r>
        <w:rPr>
          <w:rFonts w:ascii="Arial" w:cs="Arial" w:eastAsia="Arial" w:hAnsi="Arial"/>
          <w:sz w:val="19"/>
          <w:szCs w:val="19"/>
          <w:color w:val="auto"/>
        </w:rPr>
        <w:t>”) within two (2) years following the effective date of the Change in Control, such outstanding Restricted Stock Units shall vest as of the date of such Qualifying CIC Termination. Vested Restricted Stock Units shall be settled as set forth in Section 3. 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means (</w:t>
      </w:r>
      <w:r>
        <w:rPr>
          <w:rFonts w:ascii="Arial" w:cs="Arial" w:eastAsia="Arial" w:hAnsi="Arial"/>
          <w:sz w:val="19"/>
          <w:szCs w:val="19"/>
          <w:u w:val="single" w:color="auto"/>
          <w:color w:val="auto"/>
        </w:rPr>
        <w:t>i</w:t>
      </w:r>
      <w:r>
        <w:rPr>
          <w:rFonts w:ascii="Arial" w:cs="Arial" w:eastAsia="Arial" w:hAnsi="Arial"/>
          <w:sz w:val="19"/>
          <w:szCs w:val="19"/>
          <w:color w:val="auto"/>
        </w:rPr>
        <w:t>) if a Participant is a party to an employment or service agreement with the Company and such agreement provides for a definition of Good Reason, the definition contained therein; or (</w:t>
      </w:r>
      <w:r>
        <w:rPr>
          <w:rFonts w:ascii="Arial" w:cs="Arial" w:eastAsia="Arial" w:hAnsi="Arial"/>
          <w:sz w:val="19"/>
          <w:szCs w:val="19"/>
          <w:u w:val="single" w:color="auto"/>
          <w:color w:val="auto"/>
        </w:rPr>
        <w:t>ii</w:t>
      </w:r>
      <w:r>
        <w:rPr>
          <w:rFonts w:ascii="Arial" w:cs="Arial" w:eastAsia="Arial" w:hAnsi="Arial"/>
          <w:sz w:val="19"/>
          <w:szCs w:val="19"/>
          <w:color w:val="auto"/>
        </w:rPr>
        <w:t>) 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w:t>
      </w:r>
      <w:r>
        <w:rPr>
          <w:rFonts w:ascii="Arial" w:cs="Arial" w:eastAsia="Arial" w:hAnsi="Arial"/>
          <w:sz w:val="19"/>
          <w:szCs w:val="19"/>
          <w:u w:val="single" w:color="auto"/>
          <w:color w:val="auto"/>
        </w:rPr>
        <w:t>A</w:t>
      </w:r>
      <w:r>
        <w:rPr>
          <w:rFonts w:ascii="Arial" w:cs="Arial" w:eastAsia="Arial" w:hAnsi="Arial"/>
          <w:sz w:val="19"/>
          <w:szCs w:val="19"/>
          <w:color w:val="auto"/>
        </w:rPr>
        <w:t>) any material, adverse change in the Participant’s duties, responsibilities or authority; (</w:t>
      </w:r>
      <w:r>
        <w:rPr>
          <w:rFonts w:ascii="Arial" w:cs="Arial" w:eastAsia="Arial" w:hAnsi="Arial"/>
          <w:sz w:val="19"/>
          <w:szCs w:val="19"/>
          <w:u w:val="single" w:color="auto"/>
          <w:color w:val="auto"/>
        </w:rPr>
        <w:t>B</w:t>
      </w:r>
      <w:r>
        <w:rPr>
          <w:rFonts w:ascii="Arial" w:cs="Arial" w:eastAsia="Arial" w:hAnsi="Arial"/>
          <w:sz w:val="19"/>
          <w:szCs w:val="19"/>
          <w:color w:val="auto"/>
        </w:rPr>
        <w:t>) a material reduction in the Participant’s base salary or bonus opportunity; or (</w:t>
      </w:r>
      <w:r>
        <w:rPr>
          <w:rFonts w:ascii="Arial" w:cs="Arial" w:eastAsia="Arial" w:hAnsi="Arial"/>
          <w:sz w:val="19"/>
          <w:szCs w:val="19"/>
          <w:u w:val="single" w:color="auto"/>
          <w:color w:val="auto"/>
        </w:rPr>
        <w:t>C</w:t>
      </w:r>
      <w:r>
        <w:rPr>
          <w:rFonts w:ascii="Arial" w:cs="Arial" w:eastAsia="Arial" w:hAnsi="Arial"/>
          <w:sz w:val="19"/>
          <w:szCs w:val="19"/>
          <w:color w:val="auto"/>
        </w:rPr>
        <w:t>) a geographical relocation of the Participant’s principal office location by more than fifty (50) miles (other than a temporary geographical relocation for business reasons).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ind w:right="280" w:firstLine="656"/>
        <w:spacing w:after="0" w:line="250" w:lineRule="auto"/>
        <w:tabs>
          <w:tab w:leader="none" w:pos="108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Other Forfeiture Provisions</w:t>
      </w:r>
      <w:r>
        <w:rPr>
          <w:rFonts w:ascii="Arial" w:cs="Arial" w:eastAsia="Arial" w:hAnsi="Arial"/>
          <w:sz w:val="22"/>
          <w:szCs w:val="22"/>
          <w:color w:val="auto"/>
        </w:rPr>
        <w:t>. The Restricted Stock Units shall also be forfeited and subject to disgorgement and/or repayment to the Company in the event the Participant (</w:t>
      </w:r>
      <w:r>
        <w:rPr>
          <w:rFonts w:ascii="Arial" w:cs="Arial" w:eastAsia="Arial" w:hAnsi="Arial"/>
          <w:sz w:val="22"/>
          <w:szCs w:val="22"/>
          <w:u w:val="single" w:color="auto"/>
          <w:color w:val="auto"/>
        </w:rPr>
        <w:t>i</w:t>
      </w:r>
      <w:r>
        <w:rPr>
          <w:rFonts w:ascii="Arial" w:cs="Arial" w:eastAsia="Arial" w:hAnsi="Arial"/>
          <w:sz w:val="22"/>
          <w:szCs w:val="22"/>
          <w:color w:val="auto"/>
        </w:rPr>
        <w:t>) engages in financial or other misconduct (including but not limited to engaging in Competitive Activity (excluding, only of if the Participant is located in California, clause (a) of the definition of Competitive Activity contained in the Plan)) or as required by Applicable Law, as provided in the Plan or (</w:t>
      </w:r>
      <w:r>
        <w:rPr>
          <w:rFonts w:ascii="Arial" w:cs="Arial" w:eastAsia="Arial" w:hAnsi="Arial"/>
          <w:sz w:val="22"/>
          <w:szCs w:val="22"/>
          <w:u w:val="single" w:color="auto"/>
          <w:color w:val="auto"/>
        </w:rPr>
        <w:t>ii</w:t>
      </w:r>
      <w:r>
        <w:rPr>
          <w:rFonts w:ascii="Arial" w:cs="Arial" w:eastAsia="Arial" w:hAnsi="Arial"/>
          <w:sz w:val="22"/>
          <w:szCs w:val="22"/>
          <w:color w:val="auto"/>
        </w:rPr>
        <w:t>) materially violates any restrictive covenant agreement (or any other agreement containing restrictive covenants) that the Participant has entered into with the Company.</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right="20" w:firstLine="656"/>
        <w:spacing w:after="0" w:line="251" w:lineRule="auto"/>
        <w:tabs>
          <w:tab w:leader="none" w:pos="1068"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Committee Discretion</w:t>
      </w:r>
      <w:r>
        <w:rPr>
          <w:rFonts w:ascii="Arial" w:cs="Arial" w:eastAsia="Arial" w:hAnsi="Arial"/>
          <w:sz w:val="22"/>
          <w:szCs w:val="22"/>
          <w:color w:val="auto"/>
        </w:rPr>
        <w:t xml:space="preserve">. Notwithstanding anything contained in this Agreement to the contrary, subject to Article XIII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Arial" w:cs="Arial" w:eastAsia="Arial" w:hAnsi="Arial"/>
          <w:sz w:val="22"/>
          <w:szCs w:val="22"/>
          <w:u w:val="single" w:color="auto"/>
          <w:color w:val="auto"/>
        </w:rPr>
        <w:t>provided, however</w:t>
      </w:r>
      <w:r>
        <w:rPr>
          <w:rFonts w:ascii="Arial" w:cs="Arial" w:eastAsia="Arial" w:hAnsi="Arial"/>
          <w:sz w:val="22"/>
          <w:szCs w:val="22"/>
          <w:color w:val="auto"/>
        </w:rPr>
        <w:t>, that such waiver or acceleration of vesting shall not change the settlement date of the Restricted Stock Units provided in Section 3 of this Agreement.</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400" w:firstLine="656"/>
        <w:spacing w:after="0" w:line="320" w:lineRule="auto"/>
        <w:tabs>
          <w:tab w:leader="none" w:pos="1044"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Post-Termination Informational Requirements</w:t>
      </w:r>
      <w:r>
        <w:rPr>
          <w:rFonts w:ascii="Arial" w:cs="Arial" w:eastAsia="Arial" w:hAnsi="Arial"/>
          <w:sz w:val="19"/>
          <w:szCs w:val="19"/>
          <w:color w:val="auto"/>
        </w:rPr>
        <w:t>. Before the settlement of any Restricted Stock Units following termination of employment or service, the Company may require the Participant (or the Participant’s Eligible Representative, if applicable) to make such representations and provide such documents as the Administrator deems necessary or advisable</w:t>
      </w:r>
    </w:p>
    <w:p>
      <w:pPr>
        <w:sectPr>
          <w:pgSz w:w="11900" w:h="16838" w:orient="portrait"/>
          <w:cols w:equalWidth="0" w:num="1">
            <w:col w:w="11420"/>
          </w:cols>
          <w:pgMar w:left="240" w:top="591" w:right="239" w:bottom="1440" w:gutter="0" w:footer="0" w:header="0"/>
        </w:sectPr>
      </w:pPr>
    </w:p>
    <w:bookmarkStart w:id="191" w:name="page192"/>
    <w:bookmarkEnd w:id="191"/>
    <w:p>
      <w:pPr>
        <w:ind w:right="20"/>
        <w:spacing w:after="0" w:line="260" w:lineRule="auto"/>
        <w:rPr>
          <w:sz w:val="20"/>
          <w:szCs w:val="20"/>
          <w:color w:val="auto"/>
        </w:rPr>
      </w:pPr>
      <w:r>
        <w:rPr>
          <w:rFonts w:ascii="Arial" w:cs="Arial" w:eastAsia="Arial" w:hAnsi="Arial"/>
          <w:sz w:val="21"/>
          <w:szCs w:val="21"/>
          <w:color w:val="auto"/>
        </w:rPr>
        <w:t>to determine whether the provisions of Section 2(b)(iii), 2(b)(iv) or 2(d) apply. Such representations and documents may include tax returns and all other relevant information and records from which the Company can determine the current or former employment status of the Participant during the Performance Period. Notwithstanding anything in this Agreement to the contrary, the settlement of the Restricted Stock Units may be withheld until information deemed sufficient by the Company is delivered to it, and any unvested Restricted Stock Units shall be forfeited if the requested information is not provided in sufficient detail to the Company before the earlier of (</w:t>
      </w:r>
      <w:r>
        <w:rPr>
          <w:rFonts w:ascii="Arial" w:cs="Arial" w:eastAsia="Arial" w:hAnsi="Arial"/>
          <w:sz w:val="21"/>
          <w:szCs w:val="21"/>
          <w:u w:val="single" w:color="auto"/>
          <w:color w:val="auto"/>
        </w:rPr>
        <w:t>i</w:t>
      </w:r>
      <w:r>
        <w:rPr>
          <w:rFonts w:ascii="Arial" w:cs="Arial" w:eastAsia="Arial" w:hAnsi="Arial"/>
          <w:sz w:val="21"/>
          <w:szCs w:val="21"/>
          <w:color w:val="auto"/>
        </w:rPr>
        <w:t>) ninety (90) calendar days after the issue of a request from the Company for such information and (</w:t>
      </w:r>
      <w:r>
        <w:rPr>
          <w:rFonts w:ascii="Arial" w:cs="Arial" w:eastAsia="Arial" w:hAnsi="Arial"/>
          <w:sz w:val="21"/>
          <w:szCs w:val="21"/>
          <w:u w:val="single" w:color="auto"/>
          <w:color w:val="auto"/>
        </w:rPr>
        <w:t>ii</w:t>
      </w:r>
      <w:r>
        <w:rPr>
          <w:rFonts w:ascii="Arial" w:cs="Arial" w:eastAsia="Arial" w:hAnsi="Arial"/>
          <w:sz w:val="21"/>
          <w:szCs w:val="21"/>
          <w:color w:val="auto"/>
        </w:rPr>
        <w:t>) December 31 of the calendar year in which the Vesting Date occurs.</w:t>
      </w:r>
    </w:p>
    <w:p>
      <w:pPr>
        <w:spacing w:after="0" w:line="397" w:lineRule="exact"/>
        <w:rPr>
          <w:sz w:val="20"/>
          <w:szCs w:val="20"/>
          <w:color w:val="auto"/>
        </w:rPr>
      </w:pPr>
    </w:p>
    <w:p>
      <w:pPr>
        <w:ind w:left="1000" w:hanging="344"/>
        <w:spacing w:after="0"/>
        <w:tabs>
          <w:tab w:leader="none" w:pos="100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Administrator Certification; Settlement of Restricted Stock Units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right="120" w:firstLine="656"/>
        <w:spacing w:after="0" w:line="297" w:lineRule="auto"/>
        <w:tabs>
          <w:tab w:leader="none" w:pos="1068"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Certification</w:t>
      </w:r>
      <w:r>
        <w:rPr>
          <w:rFonts w:ascii="Arial" w:cs="Arial" w:eastAsia="Arial" w:hAnsi="Arial"/>
          <w:sz w:val="19"/>
          <w:szCs w:val="19"/>
          <w:color w:val="auto"/>
        </w:rPr>
        <w:t>. As soon as practicable following completion of the Performance Period, the Administrator will review and determine (</w:t>
      </w:r>
      <w:r>
        <w:rPr>
          <w:rFonts w:ascii="Arial" w:cs="Arial" w:eastAsia="Arial" w:hAnsi="Arial"/>
          <w:sz w:val="19"/>
          <w:szCs w:val="19"/>
          <w:u w:val="single" w:color="auto"/>
          <w:color w:val="auto"/>
        </w:rPr>
        <w:t>i</w:t>
      </w:r>
      <w:r>
        <w:rPr>
          <w:rFonts w:ascii="Arial" w:cs="Arial" w:eastAsia="Arial" w:hAnsi="Arial"/>
          <w:sz w:val="19"/>
          <w:szCs w:val="19"/>
          <w:color w:val="auto"/>
        </w:rPr>
        <w:t>) whether, and to what extent, the Performance Goals for the Performance Period have been achieved, in whole or in part, and (</w:t>
      </w:r>
      <w:r>
        <w:rPr>
          <w:rFonts w:ascii="Arial" w:cs="Arial" w:eastAsia="Arial" w:hAnsi="Arial"/>
          <w:sz w:val="19"/>
          <w:szCs w:val="19"/>
          <w:u w:val="single" w:color="auto"/>
          <w:color w:val="auto"/>
        </w:rPr>
        <w:t>ii</w:t>
      </w:r>
      <w:r>
        <w:rPr>
          <w:rFonts w:ascii="Arial" w:cs="Arial" w:eastAsia="Arial" w:hAnsi="Arial"/>
          <w:sz w:val="19"/>
          <w:szCs w:val="19"/>
          <w:color w:val="auto"/>
        </w:rPr>
        <w:t>) the number of Restricted Stock Units that the Participant shall earn, if any, subject to compliance with the requirements of Section 2 (the “</w:t>
      </w:r>
      <w:r>
        <w:rPr>
          <w:rFonts w:ascii="Arial" w:cs="Arial" w:eastAsia="Arial" w:hAnsi="Arial"/>
          <w:sz w:val="19"/>
          <w:szCs w:val="19"/>
          <w:u w:val="single" w:color="auto"/>
          <w:color w:val="auto"/>
        </w:rPr>
        <w:t>Administrator Certification</w:t>
      </w:r>
      <w:r>
        <w:rPr>
          <w:rFonts w:ascii="Arial" w:cs="Arial" w:eastAsia="Arial" w:hAnsi="Arial"/>
          <w:sz w:val="19"/>
          <w:szCs w:val="19"/>
          <w:color w:val="auto"/>
        </w:rPr>
        <w:t>”). All determinations of whether the Performance Goals have been achieved, the number of Restricted Stock Units earned by the Participant, and all other matters related to this Section 3(a) shall be made by the Administrator in its sole discretion and shall be final, conclusive and binding on the Participant.</w:t>
      </w:r>
    </w:p>
    <w:p>
      <w:pPr>
        <w:spacing w:after="0" w:line="363" w:lineRule="exact"/>
        <w:rPr>
          <w:rFonts w:ascii="Arial" w:cs="Arial" w:eastAsia="Arial" w:hAnsi="Arial"/>
          <w:sz w:val="19"/>
          <w:szCs w:val="19"/>
          <w:color w:val="auto"/>
        </w:rPr>
      </w:pPr>
    </w:p>
    <w:p>
      <w:pPr>
        <w:ind w:firstLine="656"/>
        <w:spacing w:after="0" w:line="258" w:lineRule="auto"/>
        <w:tabs>
          <w:tab w:leader="none" w:pos="1080"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Settlement of Restricted Stock Units</w:t>
      </w:r>
      <w:r>
        <w:rPr>
          <w:rFonts w:ascii="Arial" w:cs="Arial" w:eastAsia="Arial" w:hAnsi="Arial"/>
          <w:sz w:val="21"/>
          <w:szCs w:val="21"/>
          <w:color w:val="auto"/>
        </w:rPr>
        <w:t>. Subject to Sections 8(d), 2(f) and 3(a), the Company shall deliver to the Participant one share of Company Common Stock (or the value thereof) in settlement of each Restricted Stock Unit that has become earned and vested as provided in Section 2 on the first to occur of the following: (</w:t>
      </w:r>
      <w:r>
        <w:rPr>
          <w:rFonts w:ascii="Arial" w:cs="Arial" w:eastAsia="Arial" w:hAnsi="Arial"/>
          <w:sz w:val="21"/>
          <w:szCs w:val="21"/>
          <w:u w:val="single" w:color="auto"/>
          <w:color w:val="auto"/>
        </w:rPr>
        <w:t>i</w:t>
      </w:r>
      <w:r>
        <w:rPr>
          <w:rFonts w:ascii="Arial" w:cs="Arial" w:eastAsia="Arial" w:hAnsi="Arial"/>
          <w:sz w:val="21"/>
          <w:szCs w:val="21"/>
          <w:color w:val="auto"/>
        </w:rPr>
        <w:t>) on or as soon as practicable following the date of the Administrator Certification (but in no event later than 2½ months after the Vesting Date); (</w:t>
      </w:r>
      <w:r>
        <w:rPr>
          <w:rFonts w:ascii="Arial" w:cs="Arial" w:eastAsia="Arial" w:hAnsi="Arial"/>
          <w:sz w:val="21"/>
          <w:szCs w:val="21"/>
          <w:u w:val="single" w:color="auto"/>
          <w:color w:val="auto"/>
        </w:rPr>
        <w:t>ii</w:t>
      </w:r>
      <w:r>
        <w:rPr>
          <w:rFonts w:ascii="Arial" w:cs="Arial" w:eastAsia="Arial" w:hAnsi="Arial"/>
          <w:sz w:val="21"/>
          <w:szCs w:val="21"/>
          <w:color w:val="auto"/>
        </w:rPr>
        <w:t>) in the event of a termination of employment or service due to death, as soon as practicable following the Participant’s termination of employment or service by reason of death; (</w:t>
      </w:r>
      <w:r>
        <w:rPr>
          <w:rFonts w:ascii="Arial" w:cs="Arial" w:eastAsia="Arial" w:hAnsi="Arial"/>
          <w:sz w:val="21"/>
          <w:szCs w:val="21"/>
          <w:u w:val="single" w:color="auto"/>
          <w:color w:val="auto"/>
        </w:rPr>
        <w:t>iii</w:t>
      </w:r>
      <w:r>
        <w:rPr>
          <w:rFonts w:ascii="Arial" w:cs="Arial" w:eastAsia="Arial" w:hAnsi="Arial"/>
          <w:sz w:val="21"/>
          <w:szCs w:val="21"/>
          <w:color w:val="auto"/>
        </w:rPr>
        <w:t>) in the event of a Qualifying CIC Termination, within thirty (30) days following the effective date of the Participant’s Qualifying CIC Termination, in each case (</w:t>
      </w:r>
      <w:r>
        <w:rPr>
          <w:rFonts w:ascii="Arial" w:cs="Arial" w:eastAsia="Arial" w:hAnsi="Arial"/>
          <w:sz w:val="21"/>
          <w:szCs w:val="21"/>
          <w:u w:val="single" w:color="auto"/>
          <w:color w:val="auto"/>
        </w:rPr>
        <w:t>A</w:t>
      </w:r>
      <w:r>
        <w:rPr>
          <w:rFonts w:ascii="Arial" w:cs="Arial" w:eastAsia="Arial" w:hAnsi="Arial"/>
          <w:sz w:val="21"/>
          <w:szCs w:val="21"/>
          <w:color w:val="auto"/>
        </w:rPr>
        <w:t>) in Company Common Stock by either, (</w:t>
      </w:r>
      <w:r>
        <w:rPr>
          <w:rFonts w:ascii="Arial" w:cs="Arial" w:eastAsia="Arial" w:hAnsi="Arial"/>
          <w:sz w:val="21"/>
          <w:szCs w:val="21"/>
          <w:u w:val="single" w:color="auto"/>
          <w:color w:val="auto"/>
        </w:rPr>
        <w:t>x</w:t>
      </w:r>
      <w:r>
        <w:rPr>
          <w:rFonts w:ascii="Arial" w:cs="Arial" w:eastAsia="Arial" w:hAnsi="Arial"/>
          <w:sz w:val="21"/>
          <w:szCs w:val="21"/>
          <w:color w:val="auto"/>
        </w:rPr>
        <w:t>) issuing one or more certificates evidencing the Company Common Stock to the Participant or (</w:t>
      </w:r>
      <w:r>
        <w:rPr>
          <w:rFonts w:ascii="Arial" w:cs="Arial" w:eastAsia="Arial" w:hAnsi="Arial"/>
          <w:sz w:val="21"/>
          <w:szCs w:val="21"/>
          <w:u w:val="single" w:color="auto"/>
          <w:color w:val="auto"/>
        </w:rPr>
        <w:t>y</w:t>
      </w:r>
      <w:r>
        <w:rPr>
          <w:rFonts w:ascii="Arial" w:cs="Arial" w:eastAsia="Arial" w:hAnsi="Arial"/>
          <w:sz w:val="21"/>
          <w:szCs w:val="21"/>
          <w:color w:val="auto"/>
        </w:rPr>
        <w:t>) registering the issuance of the Stock in the name of the Participant through a book entry credit in the records of the Company’s transfer agent, or (</w:t>
      </w:r>
      <w:r>
        <w:rPr>
          <w:rFonts w:ascii="Arial" w:cs="Arial" w:eastAsia="Arial" w:hAnsi="Arial"/>
          <w:sz w:val="21"/>
          <w:szCs w:val="21"/>
          <w:u w:val="single" w:color="auto"/>
          <w:color w:val="auto"/>
        </w:rPr>
        <w:t>B</w:t>
      </w:r>
      <w:r>
        <w:rPr>
          <w:rFonts w:ascii="Arial" w:cs="Arial" w:eastAsia="Arial" w:hAnsi="Arial"/>
          <w:sz w:val="21"/>
          <w:szCs w:val="21"/>
          <w:color w:val="auto"/>
        </w:rPr>
        <w:t>) in the event of settlement upon a Change in Control, a cash payment equal to the Change in Control Price, multiplied by the number of vested Restricted Stock Units. No fractional shares of Company Common Stock shall be issued in settlement of Restricted Stock Units. Fractional Restricted Stock Units shall be settled through a cash payment equal to the Fair Market Value of the Company Common Stock on the settlement date.</w:t>
      </w:r>
    </w:p>
    <w:p>
      <w:pPr>
        <w:spacing w:after="0" w:line="200" w:lineRule="exact"/>
        <w:rPr>
          <w:sz w:val="20"/>
          <w:szCs w:val="20"/>
          <w:color w:val="auto"/>
        </w:rPr>
      </w:pPr>
    </w:p>
    <w:p>
      <w:pPr>
        <w:spacing w:after="0" w:line="207" w:lineRule="exact"/>
        <w:rPr>
          <w:sz w:val="20"/>
          <w:szCs w:val="20"/>
          <w:color w:val="auto"/>
        </w:rPr>
      </w:pPr>
    </w:p>
    <w:p>
      <w:pPr>
        <w:ind w:right="60" w:firstLine="656"/>
        <w:spacing w:after="0" w:line="270" w:lineRule="auto"/>
        <w:tabs>
          <w:tab w:leader="none" w:pos="990"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Securities Law Compliance</w:t>
      </w:r>
      <w:r>
        <w:rPr>
          <w:rFonts w:ascii="Arial" w:cs="Arial" w:eastAsia="Arial" w:hAnsi="Arial"/>
          <w:sz w:val="21"/>
          <w:szCs w:val="21"/>
          <w:color w:val="auto"/>
        </w:rPr>
        <w:t>. Notwithstanding any other provision of this Agreement, the Participant may not sell the shares of Company Common Stock acquired upon vesting of the Restricted Stock Units unless such shares are registered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or, if such shares are not then so registered, such sale would be exempt from the registration requirements of the Securities Act. The sale of such</w:t>
      </w:r>
    </w:p>
    <w:p>
      <w:pPr>
        <w:sectPr>
          <w:pgSz w:w="11900" w:h="16838" w:orient="portrait"/>
          <w:cols w:equalWidth="0" w:num="1">
            <w:col w:w="11380"/>
          </w:cols>
          <w:pgMar w:left="240" w:top="591" w:right="279" w:bottom="1440" w:gutter="0" w:footer="0" w:header="0"/>
        </w:sectPr>
      </w:pPr>
    </w:p>
    <w:bookmarkStart w:id="192" w:name="page193"/>
    <w:bookmarkEnd w:id="192"/>
    <w:p>
      <w:pPr>
        <w:ind w:right="120"/>
        <w:spacing w:after="0" w:line="253" w:lineRule="auto"/>
        <w:rPr>
          <w:sz w:val="20"/>
          <w:szCs w:val="20"/>
          <w:color w:val="auto"/>
        </w:rPr>
      </w:pPr>
      <w:r>
        <w:rPr>
          <w:rFonts w:ascii="Arial" w:cs="Arial" w:eastAsia="Arial" w:hAnsi="Arial"/>
          <w:sz w:val="22"/>
          <w:szCs w:val="22"/>
          <w:color w:val="auto"/>
        </w:rPr>
        <w:t>shares must also comply with other applicable laws and regulations governing the shares and Participant may not sell the shares of Company Common Stock if the Company determines that such sale would not be in material compliance with such laws and regulations.</w:t>
      </w:r>
    </w:p>
    <w:p>
      <w:pPr>
        <w:spacing w:after="0" w:line="200" w:lineRule="exact"/>
        <w:rPr>
          <w:sz w:val="20"/>
          <w:szCs w:val="20"/>
          <w:color w:val="auto"/>
        </w:rPr>
      </w:pPr>
    </w:p>
    <w:p>
      <w:pPr>
        <w:spacing w:after="0" w:line="202" w:lineRule="exact"/>
        <w:rPr>
          <w:sz w:val="20"/>
          <w:szCs w:val="20"/>
          <w:color w:val="auto"/>
        </w:rPr>
      </w:pPr>
    </w:p>
    <w:p>
      <w:pPr>
        <w:ind w:left="1000" w:hanging="344"/>
        <w:spacing w:after="0"/>
        <w:tabs>
          <w:tab w:leader="none" w:pos="100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Participant’s Rights with Respect to the Restricted Stock Units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right="20" w:firstLine="656"/>
        <w:spacing w:after="0" w:line="297" w:lineRule="auto"/>
        <w:tabs>
          <w:tab w:leader="none" w:pos="1068"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Restrictions on Transferability</w:t>
      </w:r>
      <w:r>
        <w:rPr>
          <w:rFonts w:ascii="Arial" w:cs="Arial" w:eastAsia="Arial" w:hAnsi="Arial"/>
          <w:sz w:val="19"/>
          <w:szCs w:val="19"/>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363" w:lineRule="exact"/>
        <w:rPr>
          <w:rFonts w:ascii="Arial" w:cs="Arial" w:eastAsia="Arial" w:hAnsi="Arial"/>
          <w:sz w:val="19"/>
          <w:szCs w:val="19"/>
          <w:color w:val="auto"/>
        </w:rPr>
      </w:pPr>
    </w:p>
    <w:p>
      <w:pPr>
        <w:ind w:right="120" w:firstLine="656"/>
        <w:spacing w:after="0" w:line="254" w:lineRule="auto"/>
        <w:tabs>
          <w:tab w:leader="none" w:pos="108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No Rights as Stockholder</w:t>
      </w:r>
      <w:r>
        <w:rPr>
          <w:rFonts w:ascii="Arial" w:cs="Arial" w:eastAsia="Arial" w:hAnsi="Arial"/>
          <w:sz w:val="22"/>
          <w:szCs w:val="22"/>
          <w:color w:val="auto"/>
        </w:rPr>
        <w:t>. The Participant shall not have any rights as a stockholder including any voting, dividend or other rights or privileges as a stockholder of the Company with respect to any Company Common Stock corresponding to the Restricted Stock Units granted hereby unless and until shares of Company Common Stock are issued to the Participant in respect thereof.</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firstLine="656"/>
        <w:spacing w:after="0" w:line="260" w:lineRule="auto"/>
        <w:tabs>
          <w:tab w:leader="none" w:pos="1068" w:val="left"/>
        </w:tabs>
        <w:numPr>
          <w:ilvl w:val="0"/>
          <w:numId w:val="156"/>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If the Company declares a cash dividend on the shares of Company Common Stock, then the Participant shall be credited with Dividend Equivalents in the form of a right to a cash payment equal to (</w:t>
      </w:r>
      <w:r>
        <w:rPr>
          <w:rFonts w:ascii="Arial" w:cs="Arial" w:eastAsia="Arial" w:hAnsi="Arial"/>
          <w:sz w:val="21"/>
          <w:szCs w:val="21"/>
          <w:u w:val="single" w:color="auto"/>
          <w:color w:val="auto"/>
        </w:rPr>
        <w:t>i</w:t>
      </w:r>
      <w:r>
        <w:rPr>
          <w:rFonts w:ascii="Arial" w:cs="Arial" w:eastAsia="Arial" w:hAnsi="Arial"/>
          <w:sz w:val="21"/>
          <w:szCs w:val="21"/>
          <w:color w:val="auto"/>
        </w:rPr>
        <w:t>) the amount of the dividend declared and paid for each share of Company Common Stock, multiplied by (</w:t>
      </w:r>
      <w:r>
        <w:rPr>
          <w:rFonts w:ascii="Arial" w:cs="Arial" w:eastAsia="Arial" w:hAnsi="Arial"/>
          <w:sz w:val="21"/>
          <w:szCs w:val="21"/>
          <w:u w:val="single" w:color="auto"/>
          <w:color w:val="auto"/>
        </w:rPr>
        <w:t>ii</w:t>
      </w:r>
      <w:r>
        <w:rPr>
          <w:rFonts w:ascii="Arial" w:cs="Arial" w:eastAsia="Arial" w:hAnsi="Arial"/>
          <w:sz w:val="21"/>
          <w:szCs w:val="21"/>
          <w:color w:val="auto"/>
        </w:rPr>
        <w:t>) (</w:t>
      </w:r>
      <w:r>
        <w:rPr>
          <w:rFonts w:ascii="Arial" w:cs="Arial" w:eastAsia="Arial" w:hAnsi="Arial"/>
          <w:sz w:val="21"/>
          <w:szCs w:val="21"/>
          <w:u w:val="single" w:color="auto"/>
          <w:color w:val="auto"/>
        </w:rPr>
        <w:t>x</w:t>
      </w:r>
      <w:r>
        <w:rPr>
          <w:rFonts w:ascii="Arial" w:cs="Arial" w:eastAsia="Arial" w:hAnsi="Arial"/>
          <w:sz w:val="21"/>
          <w:szCs w:val="21"/>
          <w:color w:val="auto"/>
        </w:rPr>
        <w:t>) the number of Restricted Stock Units earned by the Participant as determined by the Administrator pursuant to Section 3(a) or (</w:t>
      </w:r>
      <w:r>
        <w:rPr>
          <w:rFonts w:ascii="Arial" w:cs="Arial" w:eastAsia="Arial" w:hAnsi="Arial"/>
          <w:sz w:val="21"/>
          <w:szCs w:val="21"/>
          <w:u w:val="single" w:color="auto"/>
          <w:color w:val="auto"/>
        </w:rPr>
        <w:t>y</w:t>
      </w:r>
      <w:r>
        <w:rPr>
          <w:rFonts w:ascii="Arial" w:cs="Arial" w:eastAsia="Arial" w:hAnsi="Arial"/>
          <w:sz w:val="21"/>
          <w:szCs w:val="21"/>
          <w:color w:val="auto"/>
        </w:rPr>
        <w:t>) in the case of a termination of employment or service by reason of Death or a Qualifying CIC Termination, the number of Restricted Stock Units equal to the Target Award. Dividend Equivalents shall be subject to the same forfeiture restrictions as the Restricted Stock Units to which they are attributable and shall be paid on the same date the Restricted Stock Units to which they are attributable are settled in accordance with Section 3 hereof. Dividend Equivalents credited to a Participant shall be distributed in cash or, at the discretion of the Administrator, in shares of Company Common Stock having a Fair Market Value equal to the amount of the Dividend Equivalents, if any.</w:t>
      </w:r>
    </w:p>
    <w:p>
      <w:pPr>
        <w:spacing w:after="0" w:line="396" w:lineRule="exact"/>
        <w:rPr>
          <w:sz w:val="20"/>
          <w:szCs w:val="20"/>
          <w:color w:val="auto"/>
        </w:rPr>
      </w:pPr>
    </w:p>
    <w:p>
      <w:pPr>
        <w:ind w:left="1000" w:hanging="344"/>
        <w:spacing w:after="0"/>
        <w:tabs>
          <w:tab w:leader="none" w:pos="1000"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Participant’s Representations, Warranties and Covenants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right="80" w:firstLine="656"/>
        <w:spacing w:after="0" w:line="297" w:lineRule="auto"/>
        <w:tabs>
          <w:tab w:leader="none" w:pos="1068"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No Conflicts; No Consents</w:t>
      </w:r>
      <w:r>
        <w:rPr>
          <w:rFonts w:ascii="Arial" w:cs="Arial" w:eastAsia="Arial" w:hAnsi="Arial"/>
          <w:sz w:val="19"/>
          <w:szCs w:val="19"/>
          <w:color w:val="auto"/>
        </w:rPr>
        <w:t>. The execution and delivery by Participant of this Agreement, the consummation of the transactions contemplated hereby and the performance of Participant’s obligations hereunder do not and will not (</w:t>
      </w:r>
      <w:r>
        <w:rPr>
          <w:rFonts w:ascii="Arial" w:cs="Arial" w:eastAsia="Arial" w:hAnsi="Arial"/>
          <w:sz w:val="19"/>
          <w:szCs w:val="19"/>
          <w:u w:val="single" w:color="auto"/>
          <w:color w:val="auto"/>
        </w:rPr>
        <w:t>i</w:t>
      </w:r>
      <w:r>
        <w:rPr>
          <w:rFonts w:ascii="Arial" w:cs="Arial" w:eastAsia="Arial" w:hAnsi="Arial"/>
          <w:sz w:val="19"/>
          <w:szCs w:val="19"/>
          <w:color w:val="auto"/>
        </w:rPr>
        <w:t>) materially conflict with or result in a material violation or breach of any term or provision of any Law applicable to either Participant or the Restricted Stock Units or (</w:t>
      </w:r>
      <w:r>
        <w:rPr>
          <w:rFonts w:ascii="Arial" w:cs="Arial" w:eastAsia="Arial" w:hAnsi="Arial"/>
          <w:sz w:val="19"/>
          <w:szCs w:val="19"/>
          <w:u w:val="single" w:color="auto"/>
          <w:color w:val="auto"/>
        </w:rPr>
        <w:t>ii</w:t>
      </w:r>
      <w:r>
        <w:rPr>
          <w:rFonts w:ascii="Arial" w:cs="Arial" w:eastAsia="Arial" w:hAnsi="Arial"/>
          <w:sz w:val="19"/>
          <w:szCs w:val="19"/>
          <w:color w:val="auto"/>
        </w:rPr>
        <w:t>) violate in any material respect, conflict with in any material respect or result in any material breach of, or constitute (with or without notice or lapse of time or both) a material default under, or require either Participant to obtain any consent, approval or action of, make any filing with or give any notice to any Person as a result or under the terms of,</w:t>
      </w:r>
    </w:p>
    <w:p>
      <w:pPr>
        <w:sectPr>
          <w:pgSz w:w="11900" w:h="16838" w:orient="portrait"/>
          <w:cols w:equalWidth="0" w:num="1">
            <w:col w:w="11420"/>
          </w:cols>
          <w:pgMar w:left="240" w:top="591" w:right="2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any contract, agreement, instrument, commitment, arrangement or understanding to which Participant is a party.</w:t>
      </w:r>
    </w:p>
    <w:p>
      <w:pPr>
        <w:spacing w:after="0" w:line="200" w:lineRule="exact"/>
        <w:rPr>
          <w:sz w:val="20"/>
          <w:szCs w:val="20"/>
          <w:color w:val="auto"/>
        </w:rPr>
      </w:pPr>
    </w:p>
    <w:p>
      <w:pPr>
        <w:spacing w:after="0" w:line="236" w:lineRule="exact"/>
        <w:rPr>
          <w:sz w:val="20"/>
          <w:szCs w:val="20"/>
          <w:color w:val="auto"/>
        </w:rPr>
      </w:pPr>
    </w:p>
    <w:p>
      <w:pPr>
        <w:ind w:right="120" w:firstLine="656"/>
        <w:spacing w:after="0" w:line="307" w:lineRule="auto"/>
        <w:tabs>
          <w:tab w:leader="none" w:pos="1080"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Compliance with Rule 144</w:t>
      </w:r>
      <w:r>
        <w:rPr>
          <w:rFonts w:ascii="Arial" w:cs="Arial" w:eastAsia="Arial" w:hAnsi="Arial"/>
          <w:sz w:val="19"/>
          <w:szCs w:val="19"/>
          <w:color w:val="auto"/>
        </w:rPr>
        <w:t>. If any shares of Company Common Stock issued in respect of the Restricted Stock Units are to be disposed of in accordance with Rule 144, the Participant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354" w:lineRule="exact"/>
        <w:rPr>
          <w:rFonts w:ascii="Arial" w:cs="Arial" w:eastAsia="Arial" w:hAnsi="Arial"/>
          <w:sz w:val="19"/>
          <w:szCs w:val="19"/>
          <w:color w:val="auto"/>
        </w:rPr>
      </w:pPr>
    </w:p>
    <w:p>
      <w:pPr>
        <w:ind w:right="580" w:firstLine="656"/>
        <w:spacing w:after="0" w:line="276" w:lineRule="auto"/>
        <w:tabs>
          <w:tab w:leader="none" w:pos="1068"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Participant Status</w:t>
      </w:r>
      <w:r>
        <w:rPr>
          <w:rFonts w:ascii="Arial" w:cs="Arial" w:eastAsia="Arial" w:hAnsi="Arial"/>
          <w:sz w:val="22"/>
          <w:szCs w:val="22"/>
          <w:color w:val="auto"/>
        </w:rPr>
        <w:t>. The Participant represents and warrants that, as of the date hereof, the Participant is an officer, employee, director or Consultant of the Company or a Subsidiary.</w:t>
      </w:r>
    </w:p>
    <w:p>
      <w:pPr>
        <w:spacing w:after="0" w:line="377" w:lineRule="exact"/>
        <w:rPr>
          <w:sz w:val="20"/>
          <w:szCs w:val="20"/>
          <w:color w:val="auto"/>
        </w:rPr>
      </w:pPr>
    </w:p>
    <w:p>
      <w:pPr>
        <w:ind w:right="600" w:firstLine="656"/>
        <w:spacing w:after="0" w:line="307" w:lineRule="auto"/>
        <w:tabs>
          <w:tab w:leader="none" w:pos="990"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Adjustment in Capitalization</w:t>
      </w:r>
      <w:r>
        <w:rPr>
          <w:rFonts w:ascii="Arial" w:cs="Arial" w:eastAsia="Arial" w:hAnsi="Arial"/>
          <w:sz w:val="19"/>
          <w:szCs w:val="19"/>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354" w:lineRule="exact"/>
        <w:rPr>
          <w:rFonts w:ascii="Arial" w:cs="Arial" w:eastAsia="Arial" w:hAnsi="Arial"/>
          <w:sz w:val="19"/>
          <w:szCs w:val="19"/>
          <w:color w:val="auto"/>
        </w:rPr>
      </w:pPr>
    </w:p>
    <w:p>
      <w:pPr>
        <w:ind w:left="1000" w:hanging="344"/>
        <w:spacing w:after="0"/>
        <w:tabs>
          <w:tab w:leader="none" w:pos="1000"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right="40" w:firstLine="656"/>
        <w:spacing w:after="0" w:line="270" w:lineRule="auto"/>
        <w:tabs>
          <w:tab w:leader="none" w:pos="1068"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Binding Effect; Benefits</w:t>
      </w:r>
      <w:r>
        <w:rPr>
          <w:rFonts w:ascii="Arial" w:cs="Arial" w:eastAsia="Arial" w:hAnsi="Arial"/>
          <w:sz w:val="21"/>
          <w:szCs w:val="21"/>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385" w:lineRule="exact"/>
        <w:rPr>
          <w:rFonts w:ascii="Arial" w:cs="Arial" w:eastAsia="Arial" w:hAnsi="Arial"/>
          <w:sz w:val="21"/>
          <w:szCs w:val="21"/>
          <w:color w:val="auto"/>
        </w:rPr>
      </w:pPr>
    </w:p>
    <w:p>
      <w:pPr>
        <w:ind w:right="80" w:firstLine="656"/>
        <w:spacing w:after="0" w:line="260" w:lineRule="auto"/>
        <w:tabs>
          <w:tab w:leader="none" w:pos="108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Nothing in the Plan or this Agreement shall interfere with or limit in any way the right of the Company or any of its Subsidiaries to terminate the Participant’s employment at any time, or confer upon the Participant any right to continue in the employ of the Company or any of its Subsidiaries.</w:t>
      </w:r>
    </w:p>
    <w:p>
      <w:pPr>
        <w:spacing w:after="0" w:line="393" w:lineRule="exact"/>
        <w:rPr>
          <w:rFonts w:ascii="Arial" w:cs="Arial" w:eastAsia="Arial" w:hAnsi="Arial"/>
          <w:sz w:val="22"/>
          <w:szCs w:val="22"/>
          <w:color w:val="auto"/>
        </w:rPr>
      </w:pPr>
    </w:p>
    <w:p>
      <w:pPr>
        <w:ind w:firstLine="656"/>
        <w:spacing w:after="0" w:line="292" w:lineRule="auto"/>
        <w:tabs>
          <w:tab w:leader="none" w:pos="1068"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w:t>
      </w:r>
    </w:p>
    <w:p>
      <w:pPr>
        <w:sectPr>
          <w:pgSz w:w="11900" w:h="16838" w:orient="portrait"/>
          <w:cols w:equalWidth="0" w:num="1">
            <w:col w:w="11420"/>
          </w:cols>
          <w:pgMar w:left="240" w:top="591" w:right="239" w:bottom="1440" w:gutter="0" w:footer="0" w:header="0"/>
        </w:sectPr>
      </w:pPr>
    </w:p>
    <w:bookmarkStart w:id="194" w:name="page195"/>
    <w:bookmarkEnd w:id="194"/>
    <w:p>
      <w:pPr>
        <w:spacing w:after="0"/>
        <w:rPr>
          <w:sz w:val="20"/>
          <w:szCs w:val="20"/>
          <w:color w:val="auto"/>
        </w:rPr>
      </w:pPr>
      <w:r>
        <w:rPr>
          <w:rFonts w:ascii="Arial" w:cs="Arial" w:eastAsia="Arial" w:hAnsi="Arial"/>
          <w:sz w:val="21"/>
          <w:szCs w:val="21"/>
          <w:color w:val="auto"/>
        </w:rPr>
        <w:t>consent or waiver to or of any other breach or default in the performance of the same or any other obligation hereunder.</w:t>
      </w:r>
    </w:p>
    <w:p>
      <w:pPr>
        <w:spacing w:after="0" w:line="200" w:lineRule="exact"/>
        <w:rPr>
          <w:sz w:val="20"/>
          <w:szCs w:val="20"/>
          <w:color w:val="auto"/>
        </w:rPr>
      </w:pPr>
    </w:p>
    <w:p>
      <w:pPr>
        <w:spacing w:after="0" w:line="247" w:lineRule="exact"/>
        <w:rPr>
          <w:sz w:val="20"/>
          <w:szCs w:val="20"/>
          <w:color w:val="auto"/>
        </w:rPr>
      </w:pPr>
    </w:p>
    <w:p>
      <w:pPr>
        <w:ind w:right="20" w:firstLine="656"/>
        <w:spacing w:after="0" w:line="288" w:lineRule="auto"/>
        <w:tabs>
          <w:tab w:leader="none" w:pos="1080"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Whenever any cash or other payment is to be made hereunder or with respect to the Restricted Stock Units, the Company or any Subsidiary shall have the power to withhold an amount (in cash, Restricted Stock Units or in Company Common Stock issuable upon settlement of Restricted Stock Units or from other amounts paid to the Participant in cash (whether under the Plan or otherwise)) sufficient to satisfy federal, state, and local withholding tax requirements relating to such transaction. The Company may require the recipient of shares of Company Common Stock to remit to the Company an amount in cash sufficient to satisfy the amount of taxes required to be withheld as a condition to the issuance of shares in settlement of the Restricted Stock Units. The Committee may, in its discretion, require the Participant, or permit the Participant to elect, subject to such conditions as the Committee shall impose, to meet such obligations by having the Company withhold or sell the least number of whole shares of Company Common Stock having a Fair Market Value sufficient to satisfy all or part of the amount required to be withheld. The Company or such Subsidiary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 The Participant shall be responsible for all withholding taxes and other tax consequences of this award of Restricted Stock Units.</w:t>
      </w:r>
    </w:p>
    <w:p>
      <w:pPr>
        <w:spacing w:after="0" w:line="373" w:lineRule="exact"/>
        <w:rPr>
          <w:rFonts w:ascii="Arial" w:cs="Arial" w:eastAsia="Arial" w:hAnsi="Arial"/>
          <w:sz w:val="19"/>
          <w:szCs w:val="19"/>
          <w:color w:val="auto"/>
        </w:rPr>
      </w:pPr>
    </w:p>
    <w:p>
      <w:pPr>
        <w:jc w:val="both"/>
        <w:ind w:firstLine="656"/>
        <w:spacing w:after="0" w:line="254" w:lineRule="auto"/>
        <w:tabs>
          <w:tab w:leader="none" w:pos="1068"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The Participant acknowledges that the Company is organized under the laws of the State of Delaware, U.S.A. The Participant and the Company agree that this Agreement shall be construed in accordance with and governed by the laws of the State of Delaware, U.S.A., without reference to principles of conflict of laws that would apply the laws of any other jurisdiction.</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60" w:firstLine="656"/>
        <w:spacing w:after="0" w:line="260" w:lineRule="auto"/>
        <w:tabs>
          <w:tab w:leader="none" w:pos="1044"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Forum Selection.</w:t>
      </w:r>
      <w:r>
        <w:rPr>
          <w:rFonts w:ascii="Arial" w:cs="Arial" w:eastAsia="Arial" w:hAnsi="Arial"/>
          <w:sz w:val="21"/>
          <w:szCs w:val="21"/>
          <w:color w:val="auto"/>
        </w:rPr>
        <w:t xml:space="preserve"> The Participant acknowledges that the Company’s principal place of business is in, and a substantial portion of the Company’s business is based out of, the Commonwealth of Virginia, U.S.A. The Participant also acknowledges that, as such, during the course of the Participant’s service with the Company and its Subsidiaries, the Participant shall have substantial contacts with the Commonwealth of Virginia, U.S.A.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U.S.A.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395" w:lineRule="exact"/>
        <w:rPr>
          <w:rFonts w:ascii="Arial" w:cs="Arial" w:eastAsia="Arial" w:hAnsi="Arial"/>
          <w:sz w:val="21"/>
          <w:szCs w:val="21"/>
          <w:color w:val="auto"/>
        </w:rPr>
      </w:pPr>
    </w:p>
    <w:p>
      <w:pPr>
        <w:ind w:right="80" w:firstLine="656"/>
        <w:spacing w:after="0" w:line="276" w:lineRule="auto"/>
        <w:tabs>
          <w:tab w:leader="none" w:pos="108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modified or supplemented orally, but only by a written instrument executed by the Participant and the Company.</w:t>
      </w:r>
    </w:p>
    <w:p>
      <w:pPr>
        <w:sectPr>
          <w:pgSz w:w="11900" w:h="16838" w:orient="portrait"/>
          <w:cols w:equalWidth="0" w:num="1">
            <w:col w:w="11400"/>
          </w:cols>
          <w:pgMar w:left="240" w:top="591" w:right="259" w:bottom="1440" w:gutter="0" w:footer="0" w:header="0"/>
        </w:sectPr>
      </w:pPr>
    </w:p>
    <w:bookmarkStart w:id="195" w:name="page196"/>
    <w:bookmarkEnd w:id="195"/>
    <w:p>
      <w:pPr>
        <w:ind w:right="160" w:firstLine="656"/>
        <w:spacing w:after="0" w:line="254" w:lineRule="auto"/>
        <w:tabs>
          <w:tab w:leader="none" w:pos="108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may assign all or any portion of its rights or obligations under this Agreement to one or more persons or other entities designated by it.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right="20" w:firstLine="656"/>
        <w:spacing w:after="0" w:line="260" w:lineRule="auto"/>
        <w:tabs>
          <w:tab w:leader="none" w:pos="1032"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Severability; Blue Pencil</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393" w:lineRule="exact"/>
        <w:rPr>
          <w:rFonts w:ascii="Arial" w:cs="Arial" w:eastAsia="Arial" w:hAnsi="Arial"/>
          <w:sz w:val="22"/>
          <w:szCs w:val="22"/>
          <w:color w:val="auto"/>
        </w:rPr>
      </w:pPr>
    </w:p>
    <w:p>
      <w:pPr>
        <w:ind w:firstLine="656"/>
        <w:spacing w:after="0" w:line="294" w:lineRule="auto"/>
        <w:tabs>
          <w:tab w:leader="none" w:pos="1032"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Limitation on Rights; No Right to Future Grants; Extraordinary Item of Compensation</w:t>
      </w:r>
      <w:r>
        <w:rPr>
          <w:rFonts w:ascii="Arial" w:cs="Arial" w:eastAsia="Arial" w:hAnsi="Arial"/>
          <w:sz w:val="19"/>
          <w:szCs w:val="19"/>
          <w:color w:val="auto"/>
        </w:rPr>
        <w:t>. By entering into this Agreement and accepting the Restricted Stock Units evidenced hereby, the Participant acknowledges: (</w:t>
      </w:r>
      <w:r>
        <w:rPr>
          <w:rFonts w:ascii="Arial" w:cs="Arial" w:eastAsia="Arial" w:hAnsi="Arial"/>
          <w:sz w:val="19"/>
          <w:szCs w:val="19"/>
          <w:u w:val="single" w:color="auto"/>
          <w:color w:val="auto"/>
        </w:rPr>
        <w:t>a</w:t>
      </w:r>
      <w:r>
        <w:rPr>
          <w:rFonts w:ascii="Arial" w:cs="Arial" w:eastAsia="Arial" w:hAnsi="Arial"/>
          <w:sz w:val="19"/>
          <w:szCs w:val="19"/>
          <w:color w:val="auto"/>
        </w:rPr>
        <w:t>) that the Plan is discretionary in nature and may be suspended or terminated by the Company at any time; (</w:t>
      </w:r>
      <w:r>
        <w:rPr>
          <w:rFonts w:ascii="Arial" w:cs="Arial" w:eastAsia="Arial" w:hAnsi="Arial"/>
          <w:sz w:val="19"/>
          <w:szCs w:val="19"/>
          <w:u w:val="single" w:color="auto"/>
          <w:color w:val="auto"/>
        </w:rPr>
        <w:t>b</w:t>
      </w:r>
      <w:r>
        <w:rPr>
          <w:rFonts w:ascii="Arial" w:cs="Arial" w:eastAsia="Arial" w:hAnsi="Arial"/>
          <w:sz w:val="19"/>
          <w:szCs w:val="19"/>
          <w:color w:val="auto"/>
        </w:rPr>
        <w:t>) that the Award does not create any contractual or other right to receive future grants of Awards; (</w:t>
      </w:r>
      <w:r>
        <w:rPr>
          <w:rFonts w:ascii="Arial" w:cs="Arial" w:eastAsia="Arial" w:hAnsi="Arial"/>
          <w:sz w:val="19"/>
          <w:szCs w:val="19"/>
          <w:u w:val="single" w:color="auto"/>
          <w:color w:val="auto"/>
        </w:rPr>
        <w:t>c</w:t>
      </w:r>
      <w:r>
        <w:rPr>
          <w:rFonts w:ascii="Arial" w:cs="Arial" w:eastAsia="Arial" w:hAnsi="Arial"/>
          <w:sz w:val="19"/>
          <w:szCs w:val="19"/>
          <w:color w:val="auto"/>
        </w:rPr>
        <w:t>) that participation in the Plan is voluntary; (</w:t>
      </w:r>
      <w:r>
        <w:rPr>
          <w:rFonts w:ascii="Arial" w:cs="Arial" w:eastAsia="Arial" w:hAnsi="Arial"/>
          <w:sz w:val="19"/>
          <w:szCs w:val="19"/>
          <w:u w:val="single" w:color="auto"/>
          <w:color w:val="auto"/>
        </w:rPr>
        <w:t>d</w:t>
      </w:r>
      <w:r>
        <w:rPr>
          <w:rFonts w:ascii="Arial" w:cs="Arial" w:eastAsia="Arial" w:hAnsi="Arial"/>
          <w:sz w:val="19"/>
          <w:szCs w:val="19"/>
          <w:color w:val="auto"/>
        </w:rPr>
        <w:t>) that the value of the Restricted Stock Units is not part of normal or expected compensation for purposes of calculating any severance, resignation, redundancy, end of service payments, bonuses, long-service awards, pension or retirement benefits or similar payments; and (</w:t>
      </w:r>
      <w:r>
        <w:rPr>
          <w:rFonts w:ascii="Arial" w:cs="Arial" w:eastAsia="Arial" w:hAnsi="Arial"/>
          <w:sz w:val="19"/>
          <w:szCs w:val="19"/>
          <w:u w:val="single" w:color="auto"/>
          <w:color w:val="auto"/>
        </w:rPr>
        <w:t>e</w:t>
      </w:r>
      <w:r>
        <w:rPr>
          <w:rFonts w:ascii="Arial" w:cs="Arial" w:eastAsia="Arial" w:hAnsi="Arial"/>
          <w:sz w:val="19"/>
          <w:szCs w:val="19"/>
          <w:color w:val="auto"/>
        </w:rPr>
        <w:t>) that the future value of the Company Common Stock is unknown and cannot be predicted with certainty.</w:t>
      </w:r>
    </w:p>
    <w:p>
      <w:pPr>
        <w:spacing w:after="0" w:line="368" w:lineRule="exact"/>
        <w:rPr>
          <w:rFonts w:ascii="Arial" w:cs="Arial" w:eastAsia="Arial" w:hAnsi="Arial"/>
          <w:sz w:val="19"/>
          <w:szCs w:val="19"/>
          <w:color w:val="auto"/>
        </w:rPr>
      </w:pPr>
    </w:p>
    <w:p>
      <w:pPr>
        <w:ind w:right="60" w:firstLine="656"/>
        <w:spacing w:after="0" w:line="294" w:lineRule="auto"/>
        <w:tabs>
          <w:tab w:leader="none" w:pos="1080"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Employee Data Privacy</w:t>
      </w:r>
      <w:r>
        <w:rPr>
          <w:rFonts w:ascii="Arial" w:cs="Arial" w:eastAsia="Arial" w:hAnsi="Arial"/>
          <w:sz w:val="19"/>
          <w:szCs w:val="19"/>
          <w:color w:val="auto"/>
        </w:rPr>
        <w:t>. The collection, use, disclosure and transfer, in electronic or other form, of personally identifiable information to facilitate the grant of the Award and the administration of the Plan by and among, as applicable, the Company and the Participant’s employer, if different, any of the Company’s affiliates, any agent of the Company administering or providing Plan services is governed by the Employee Privacy Notice (the “</w:t>
      </w:r>
      <w:r>
        <w:rPr>
          <w:rFonts w:ascii="Arial" w:cs="Arial" w:eastAsia="Arial" w:hAnsi="Arial"/>
          <w:sz w:val="19"/>
          <w:szCs w:val="19"/>
          <w:u w:val="single" w:color="auto"/>
          <w:color w:val="auto"/>
        </w:rPr>
        <w:t>Privacy Notice</w:t>
      </w:r>
      <w:r>
        <w:rPr>
          <w:rFonts w:ascii="Arial" w:cs="Arial" w:eastAsia="Arial" w:hAnsi="Arial"/>
          <w:sz w:val="19"/>
          <w:szCs w:val="19"/>
          <w:color w:val="auto"/>
        </w:rPr>
        <w:t xml:space="preserve">”) that Participant received in the course of his or her relationship with Company. The Participant understands that he or she may review the </w:t>
      </w:r>
      <w:r>
        <w:rPr>
          <w:rFonts w:ascii="Arial" w:cs="Arial" w:eastAsia="Arial" w:hAnsi="Arial"/>
          <w:sz w:val="19"/>
          <w:szCs w:val="19"/>
          <w:u w:val="single" w:color="auto"/>
          <w:color w:val="0000FF"/>
        </w:rPr>
        <w:t>Privacy Notice</w:t>
      </w:r>
      <w:r>
        <w:rPr>
          <w:rFonts w:ascii="Arial" w:cs="Arial" w:eastAsia="Arial" w:hAnsi="Arial"/>
          <w:sz w:val="19"/>
          <w:szCs w:val="19"/>
          <w:color w:val="auto"/>
        </w:rPr>
        <w:t xml:space="preserve"> or contact his or her local human resources representative to request a copy of the Privacy Notice. Please contact </w:t>
      </w:r>
      <w:r>
        <w:rPr>
          <w:rFonts w:ascii="Arial" w:cs="Arial" w:eastAsia="Arial" w:hAnsi="Arial"/>
          <w:sz w:val="19"/>
          <w:szCs w:val="19"/>
          <w:u w:val="single" w:color="auto"/>
          <w:color w:val="0000FF"/>
        </w:rPr>
        <w:t>ethics@bah.com</w:t>
      </w:r>
      <w:r>
        <w:rPr>
          <w:rFonts w:ascii="Arial" w:cs="Arial" w:eastAsia="Arial" w:hAnsi="Arial"/>
          <w:sz w:val="19"/>
          <w:szCs w:val="19"/>
          <w:color w:val="auto"/>
        </w:rPr>
        <w:t xml:space="preserve"> if you have any questions or concerns about how the Company or its subsidiaries and affiliates process personally identifiable information.</w:t>
      </w:r>
    </w:p>
    <w:p>
      <w:pPr>
        <w:spacing w:after="0" w:line="368" w:lineRule="exact"/>
        <w:rPr>
          <w:rFonts w:ascii="Arial" w:cs="Arial" w:eastAsia="Arial" w:hAnsi="Arial"/>
          <w:sz w:val="19"/>
          <w:szCs w:val="19"/>
          <w:color w:val="auto"/>
        </w:rPr>
      </w:pPr>
    </w:p>
    <w:p>
      <w:pPr>
        <w:ind w:right="300" w:firstLine="656"/>
        <w:spacing w:after="0" w:line="300" w:lineRule="auto"/>
        <w:tabs>
          <w:tab w:leader="none" w:pos="1032"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Consent to Electronic Delivery</w:t>
      </w:r>
      <w:r>
        <w:rPr>
          <w:rFonts w:ascii="Arial" w:cs="Arial" w:eastAsia="Arial" w:hAnsi="Arial"/>
          <w:sz w:val="19"/>
          <w:szCs w:val="19"/>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the Fidelity NetBenefits website or any other online access system of the Company’s third party Plan administrator, email or other electronic delivery.</w:t>
      </w:r>
    </w:p>
    <w:p>
      <w:pPr>
        <w:spacing w:after="0" w:line="363" w:lineRule="exact"/>
        <w:rPr>
          <w:rFonts w:ascii="Arial" w:cs="Arial" w:eastAsia="Arial" w:hAnsi="Arial"/>
          <w:sz w:val="19"/>
          <w:szCs w:val="19"/>
          <w:color w:val="auto"/>
        </w:rPr>
      </w:pPr>
    </w:p>
    <w:p>
      <w:pPr>
        <w:ind w:left="1140" w:hanging="484"/>
        <w:spacing w:after="0"/>
        <w:tabs>
          <w:tab w:leader="none" w:pos="114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This Agreement is intended to be administered in a manner consistent with the</w:t>
      </w:r>
    </w:p>
    <w:p>
      <w:pPr>
        <w:spacing w:after="0" w:line="21" w:lineRule="exact"/>
        <w:rPr>
          <w:rFonts w:ascii="Arial" w:cs="Arial" w:eastAsia="Arial" w:hAnsi="Arial"/>
          <w:sz w:val="22"/>
          <w:szCs w:val="22"/>
          <w:color w:val="auto"/>
        </w:rPr>
      </w:pPr>
    </w:p>
    <w:p>
      <w:pPr>
        <w:ind w:right="40"/>
        <w:spacing w:after="0" w:line="251" w:lineRule="auto"/>
        <w:rPr>
          <w:rFonts w:ascii="Arial" w:cs="Arial" w:eastAsia="Arial" w:hAnsi="Arial"/>
          <w:sz w:val="22"/>
          <w:szCs w:val="22"/>
          <w:color w:val="auto"/>
        </w:rPr>
      </w:pPr>
      <w:r>
        <w:rPr>
          <w:rFonts w:ascii="Arial" w:cs="Arial" w:eastAsia="Arial" w:hAnsi="Arial"/>
          <w:sz w:val="22"/>
          <w:szCs w:val="22"/>
          <w:color w:val="auto"/>
        </w:rPr>
        <w:t>requirements, where applicable, of Section 409A of the Code and the regulations promulgated thereunder (“</w:t>
      </w:r>
      <w:r>
        <w:rPr>
          <w:rFonts w:ascii="Arial" w:cs="Arial" w:eastAsia="Arial" w:hAnsi="Arial"/>
          <w:sz w:val="22"/>
          <w:szCs w:val="22"/>
          <w:u w:val="single" w:color="auto"/>
          <w:color w:val="auto"/>
        </w:rPr>
        <w:t>Section 409A</w:t>
      </w:r>
      <w:r>
        <w:rPr>
          <w:rFonts w:ascii="Arial" w:cs="Arial" w:eastAsia="Arial" w:hAnsi="Arial"/>
          <w:sz w:val="22"/>
          <w:szCs w:val="22"/>
          <w:color w:val="auto"/>
        </w:rPr>
        <w:t>”). Where reasonably practicable, the Agreement shall be administered in a manner to avoid the imposition on the Participant of immediate tax recognition and additional taxes pursuant to Section 409A. In addition, to the</w:t>
      </w:r>
    </w:p>
    <w:p>
      <w:pPr>
        <w:sectPr>
          <w:pgSz w:w="11900" w:h="16838" w:orient="portrait"/>
          <w:cols w:equalWidth="0" w:num="1">
            <w:col w:w="11420"/>
          </w:cols>
          <w:pgMar w:left="240" w:top="591" w:right="239" w:bottom="1440" w:gutter="0" w:footer="0" w:header="0"/>
        </w:sectPr>
      </w:pPr>
    </w:p>
    <w:bookmarkStart w:id="196" w:name="page197"/>
    <w:bookmarkEnd w:id="196"/>
    <w:p>
      <w:pPr>
        <w:spacing w:after="0" w:line="250" w:lineRule="auto"/>
        <w:rPr>
          <w:sz w:val="20"/>
          <w:szCs w:val="20"/>
          <w:color w:val="auto"/>
        </w:rPr>
      </w:pPr>
      <w:r>
        <w:rPr>
          <w:rFonts w:ascii="Arial" w:cs="Arial" w:eastAsia="Arial" w:hAnsi="Arial"/>
          <w:sz w:val="22"/>
          <w:szCs w:val="22"/>
          <w:color w:val="auto"/>
        </w:rPr>
        <w:t>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200" w:lineRule="exact"/>
        <w:rPr>
          <w:sz w:val="20"/>
          <w:szCs w:val="20"/>
          <w:color w:val="auto"/>
        </w:rPr>
      </w:pPr>
    </w:p>
    <w:p>
      <w:pPr>
        <w:spacing w:after="0" w:line="205" w:lineRule="exact"/>
        <w:rPr>
          <w:sz w:val="20"/>
          <w:szCs w:val="20"/>
          <w:color w:val="auto"/>
        </w:rPr>
      </w:pPr>
    </w:p>
    <w:p>
      <w:pPr>
        <w:ind w:firstLine="656"/>
        <w:spacing w:after="0" w:line="260" w:lineRule="auto"/>
        <w:tabs>
          <w:tab w:leader="none" w:pos="1080"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Specified Employee Delay</w:t>
      </w:r>
      <w:r>
        <w:rPr>
          <w:rFonts w:ascii="Arial" w:cs="Arial" w:eastAsia="Arial" w:hAnsi="Arial"/>
          <w:sz w:val="21"/>
          <w:szCs w:val="21"/>
          <w:color w:val="auto"/>
        </w:rPr>
        <w:t>. If the Participant is deemed a “specified employee” within the meaning of Section 409A, as determined by the Committee, at a time when the Participant becomes eligible for settlement of the Restricted Stock Units upon his or her “separation from service” within the meaning of Section 409A, then to the extent necessary to prevent any accelerated or additional tax under Section 409A, such settlement will be delayed until the earlier of: (</w:t>
      </w:r>
      <w:r>
        <w:rPr>
          <w:rFonts w:ascii="Arial" w:cs="Arial" w:eastAsia="Arial" w:hAnsi="Arial"/>
          <w:sz w:val="21"/>
          <w:szCs w:val="21"/>
          <w:u w:val="single" w:color="auto"/>
          <w:color w:val="auto"/>
        </w:rPr>
        <w:t>a</w:t>
      </w:r>
      <w:r>
        <w:rPr>
          <w:rFonts w:ascii="Arial" w:cs="Arial" w:eastAsia="Arial" w:hAnsi="Arial"/>
          <w:sz w:val="21"/>
          <w:szCs w:val="21"/>
          <w:color w:val="auto"/>
        </w:rPr>
        <w:t>) the date that is six months following the Participant’s termination of service and (</w:t>
      </w:r>
      <w:r>
        <w:rPr>
          <w:rFonts w:ascii="Arial" w:cs="Arial" w:eastAsia="Arial" w:hAnsi="Arial"/>
          <w:sz w:val="21"/>
          <w:szCs w:val="21"/>
          <w:u w:val="single" w:color="auto"/>
          <w:color w:val="auto"/>
        </w:rPr>
        <w:t>b</w:t>
      </w:r>
      <w:r>
        <w:rPr>
          <w:rFonts w:ascii="Arial" w:cs="Arial" w:eastAsia="Arial" w:hAnsi="Arial"/>
          <w:sz w:val="21"/>
          <w:szCs w:val="21"/>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395" w:lineRule="exact"/>
        <w:rPr>
          <w:rFonts w:ascii="Arial" w:cs="Arial" w:eastAsia="Arial" w:hAnsi="Arial"/>
          <w:sz w:val="21"/>
          <w:szCs w:val="21"/>
          <w:color w:val="auto"/>
        </w:rPr>
      </w:pPr>
    </w:p>
    <w:p>
      <w:pPr>
        <w:ind w:right="300" w:firstLine="656"/>
        <w:spacing w:after="0" w:line="276" w:lineRule="auto"/>
        <w:tabs>
          <w:tab w:leader="none" w:pos="108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Headings and Captions</w:t>
      </w:r>
      <w:r>
        <w:rPr>
          <w:rFonts w:ascii="Arial" w:cs="Arial" w:eastAsia="Arial" w:hAnsi="Arial"/>
          <w:sz w:val="22"/>
          <w:szCs w:val="22"/>
          <w:color w:val="auto"/>
        </w:rPr>
        <w:t>. The section and other headings contained in this Agreement are for reference purposes only and shall not affect the meaning or interpretation of this Agreement.</w:t>
      </w:r>
    </w:p>
    <w:p>
      <w:pPr>
        <w:spacing w:after="0" w:line="377" w:lineRule="exact"/>
        <w:rPr>
          <w:rFonts w:ascii="Arial" w:cs="Arial" w:eastAsia="Arial" w:hAnsi="Arial"/>
          <w:sz w:val="22"/>
          <w:szCs w:val="22"/>
          <w:color w:val="auto"/>
        </w:rPr>
      </w:pPr>
    </w:p>
    <w:p>
      <w:pPr>
        <w:ind w:right="80" w:firstLine="656"/>
        <w:spacing w:after="0" w:line="251" w:lineRule="auto"/>
        <w:tabs>
          <w:tab w:leader="none" w:pos="108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under this Agreement shall be (</w:t>
      </w:r>
      <w:r>
        <w:rPr>
          <w:rFonts w:ascii="Arial" w:cs="Arial" w:eastAsia="Arial" w:hAnsi="Arial"/>
          <w:sz w:val="22"/>
          <w:szCs w:val="22"/>
          <w:u w:val="single" w:color="auto"/>
          <w:color w:val="auto"/>
        </w:rPr>
        <w:t>i</w:t>
      </w:r>
      <w:r>
        <w:rPr>
          <w:rFonts w:ascii="Arial" w:cs="Arial" w:eastAsia="Arial" w:hAnsi="Arial"/>
          <w:sz w:val="22"/>
          <w:szCs w:val="22"/>
          <w:color w:val="auto"/>
        </w:rPr>
        <w:t>) delivered by hand, (</w:t>
      </w:r>
      <w:r>
        <w:rPr>
          <w:rFonts w:ascii="Arial" w:cs="Arial" w:eastAsia="Arial" w:hAnsi="Arial"/>
          <w:sz w:val="22"/>
          <w:szCs w:val="22"/>
          <w:u w:val="single" w:color="auto"/>
          <w:color w:val="auto"/>
        </w:rPr>
        <w:t>ii</w:t>
      </w:r>
      <w:r>
        <w:rPr>
          <w:rFonts w:ascii="Arial" w:cs="Arial" w:eastAsia="Arial" w:hAnsi="Arial"/>
          <w:sz w:val="22"/>
          <w:szCs w:val="22"/>
          <w:color w:val="auto"/>
        </w:rPr>
        <w:t>) sent by commercial overnight courier service, (</w:t>
      </w:r>
      <w:r>
        <w:rPr>
          <w:rFonts w:ascii="Arial" w:cs="Arial" w:eastAsia="Arial" w:hAnsi="Arial"/>
          <w:sz w:val="22"/>
          <w:szCs w:val="22"/>
          <w:u w:val="single" w:color="auto"/>
          <w:color w:val="auto"/>
        </w:rPr>
        <w:t>iii</w:t>
      </w:r>
      <w:r>
        <w:rPr>
          <w:rFonts w:ascii="Arial" w:cs="Arial" w:eastAsia="Arial" w:hAnsi="Arial"/>
          <w:sz w:val="22"/>
          <w:szCs w:val="22"/>
          <w:color w:val="auto"/>
        </w:rPr>
        <w:t>) sent by registered or certified mail, return receipt requested, and first-class postage prepaid, (</w:t>
      </w:r>
      <w:r>
        <w:rPr>
          <w:rFonts w:ascii="Arial" w:cs="Arial" w:eastAsia="Arial" w:hAnsi="Arial"/>
          <w:sz w:val="22"/>
          <w:szCs w:val="22"/>
          <w:u w:val="single" w:color="auto"/>
          <w:color w:val="auto"/>
        </w:rPr>
        <w:t>iv</w:t>
      </w:r>
      <w:r>
        <w:rPr>
          <w:rFonts w:ascii="Arial" w:cs="Arial" w:eastAsia="Arial" w:hAnsi="Arial"/>
          <w:sz w:val="22"/>
          <w:szCs w:val="22"/>
          <w:color w:val="auto"/>
        </w:rPr>
        <w:t>) sent by e-mail or any other form of electronic transfer or delivery approved by the Administrator, or (</w:t>
      </w:r>
      <w:r>
        <w:rPr>
          <w:rFonts w:ascii="Arial" w:cs="Arial" w:eastAsia="Arial" w:hAnsi="Arial"/>
          <w:sz w:val="22"/>
          <w:szCs w:val="22"/>
          <w:u w:val="single" w:color="auto"/>
          <w:color w:val="auto"/>
        </w:rPr>
        <w:t>v</w:t>
      </w:r>
      <w:r>
        <w:rPr>
          <w:rFonts w:ascii="Arial" w:cs="Arial" w:eastAsia="Arial" w:hAnsi="Arial"/>
          <w:sz w:val="22"/>
          <w:szCs w:val="22"/>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right="40" w:firstLine="656"/>
        <w:spacing w:after="0" w:line="276" w:lineRule="auto"/>
        <w:tabs>
          <w:tab w:leader="none" w:pos="1080"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constitute one and the same instrument.</w:t>
      </w:r>
    </w:p>
    <w:p>
      <w:pPr>
        <w:sectPr>
          <w:pgSz w:w="11900" w:h="16838" w:orient="portrait"/>
          <w:cols w:equalWidth="0" w:num="1">
            <w:col w:w="11420"/>
          </w:cols>
          <w:pgMar w:left="240" w:top="591"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0"/>
          <w:szCs w:val="20"/>
          <w:b w:val="1"/>
          <w:bCs w:val="1"/>
          <w:color w:val="auto"/>
        </w:rPr>
        <w:t>Exhibit 21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List of Subsidiaries of Booz Allen Hamilton Holding Corporation</w:t>
      </w:r>
    </w:p>
    <w:p>
      <w:pPr>
        <w:sectPr>
          <w:pgSz w:w="11900" w:h="16838" w:orient="portrait"/>
          <w:cols w:equalWidth="0" w:num="1">
            <w:col w:w="11420"/>
          </w:cols>
          <w:pgMar w:left="240" w:top="589" w:right="23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Organization</w:t>
      </w:r>
    </w:p>
    <w:p>
      <w:pPr>
        <w:spacing w:after="0" w:line="171" w:lineRule="exact"/>
        <w:rPr>
          <w:sz w:val="20"/>
          <w:szCs w:val="20"/>
          <w:color w:val="auto"/>
        </w:rPr>
      </w:pPr>
    </w:p>
    <w:p>
      <w:pPr>
        <w:sectPr>
          <w:pgSz w:w="11900" w:h="16838" w:orient="portrait"/>
          <w:cols w:equalWidth="0" w:num="2">
            <w:col w:w="6720" w:space="720"/>
            <w:col w:w="3980"/>
          </w:cols>
          <w:pgMar w:left="240" w:top="589"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Booz Allen Cyber Solutions,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Consulting Pte. Ltd.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(Dubai) Limited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Egypt,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Engineering Holding Co.,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Engineering Services,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Lebanon S.a.r.l.</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7"/>
          <w:szCs w:val="17"/>
          <w:color w:val="auto"/>
        </w:rPr>
        <w:t>Booz Allen Hamilton Intellectual Property Holdings, LLC</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International,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International Pte. Ltd.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International (U.K.) Ltd.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Investor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Netherlands BV</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Philippines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Saudi</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Booz Allen Hamilton Singapore Holding Company Pte. Ltd.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Singapore LLP</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Booz Allen Hamilton Tanzania Limited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Epidemico,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Epidemico Limited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PT Booz Allen Hamilton Indonesia</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SDI Technology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Morphick,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eGov Holdings,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Aquilent,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Cloud Solutions Group,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Epic Acquisition Software, Inc.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Middle Bay Solutions,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Middle Bay Solutions II, LLC</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Nextgen-H Integration Services,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Riverside Engineering,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Dubai, UAE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Lebanon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Tanzania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720" w:space="720"/>
            <w:col w:w="3980"/>
          </w:cols>
          <w:pgMar w:left="240" w:top="589" w:right="239" w:bottom="1440" w:gutter="0" w:footer="0" w:header="0"/>
          <w:type w:val="continuous"/>
        </w:sectPr>
      </w:pPr>
    </w:p>
    <w:bookmarkStart w:id="198" w:name="page199"/>
    <w:bookmarkEnd w:id="198"/>
    <w:p>
      <w:pPr>
        <w:jc w:val="right"/>
        <w:spacing w:after="0"/>
        <w:rPr>
          <w:sz w:val="20"/>
          <w:szCs w:val="20"/>
          <w:color w:val="auto"/>
        </w:rPr>
      </w:pPr>
      <w:r>
        <w:rPr>
          <w:rFonts w:ascii="Arial" w:cs="Arial" w:eastAsia="Arial" w:hAnsi="Arial"/>
          <w:sz w:val="20"/>
          <w:szCs w:val="20"/>
          <w:b w:val="1"/>
          <w:bCs w:val="1"/>
          <w:color w:val="auto"/>
        </w:rPr>
        <w:t>Exhibit 23</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Ernst &amp; Young LLP,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Independent Registered Public Accounting Firm</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29" w:lineRule="exact"/>
        <w:rPr>
          <w:sz w:val="20"/>
          <w:szCs w:val="20"/>
          <w:color w:val="auto"/>
        </w:rPr>
      </w:pPr>
    </w:p>
    <w:p>
      <w:pPr>
        <w:ind w:left="660" w:right="280" w:hanging="328"/>
        <w:spacing w:after="0" w:line="247" w:lineRule="auto"/>
        <w:tabs>
          <w:tab w:leader="none" w:pos="6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Form S-8 (No 333-205956) pertaining to the Second Amended and Restated Equity Incentive Plan of Booz Allen Hamilton Holding Corporation</w:t>
      </w:r>
    </w:p>
    <w:p>
      <w:pPr>
        <w:spacing w:after="0" w:line="1" w:lineRule="exact"/>
        <w:rPr>
          <w:rFonts w:ascii="Arial" w:cs="Arial" w:eastAsia="Arial" w:hAnsi="Arial"/>
          <w:sz w:val="20"/>
          <w:szCs w:val="20"/>
          <w:color w:val="auto"/>
        </w:rPr>
      </w:pPr>
    </w:p>
    <w:p>
      <w:pPr>
        <w:ind w:left="660" w:right="60" w:hanging="328"/>
        <w:spacing w:after="0" w:line="241" w:lineRule="auto"/>
        <w:tabs>
          <w:tab w:leader="none" w:pos="6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Form S-8 (No 333-171288) pertaining to the Amended and Restated Equity Incentive Plan of Booz Allen Hamilton Holding Corporation, Booz Allen Hamilton Holding Corporation Officers’ Rollover Stock Plan, and Booz Allen Hamilton Holding Corporation Employee Stock Purchase Plan</w:t>
      </w:r>
    </w:p>
    <w:p>
      <w:pPr>
        <w:ind w:left="660" w:right="600" w:hanging="328"/>
        <w:spacing w:after="0" w:line="283" w:lineRule="auto"/>
        <w:tabs>
          <w:tab w:leader="none" w:pos="6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Form S-3 (No </w:t>
      </w:r>
      <w:r>
        <w:rPr>
          <w:rFonts w:ascii="Arial" w:cs="Arial" w:eastAsia="Arial" w:hAnsi="Arial"/>
          <w:sz w:val="21"/>
          <w:szCs w:val="21"/>
          <w:u w:val="single" w:color="auto"/>
          <w:color w:val="auto"/>
        </w:rPr>
        <w:t>333-214855</w:t>
      </w:r>
      <w:r>
        <w:rPr>
          <w:rFonts w:ascii="Arial" w:cs="Arial" w:eastAsia="Arial" w:hAnsi="Arial"/>
          <w:sz w:val="20"/>
          <w:szCs w:val="20"/>
          <w:color w:val="auto"/>
          <w:highlight w:val="white"/>
        </w:rPr>
        <w:t>) pertaining to the registration of shares of Class A Common Stock of Booz Allen Hamilton Holding</w:t>
      </w:r>
      <w:r>
        <w:rPr>
          <w:rFonts w:ascii="Arial" w:cs="Arial" w:eastAsia="Arial" w:hAnsi="Arial"/>
          <w:sz w:val="20"/>
          <w:szCs w:val="20"/>
          <w:color w:val="auto"/>
        </w:rPr>
        <w:t xml:space="preserve"> Corporation</w:t>
      </w:r>
    </w:p>
    <w:p>
      <w:pPr>
        <w:spacing w:after="0" w:line="180"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of our reports dated May 28, 2019,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2019.</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Tysons, Virginia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May 28, 2019</w:t>
      </w:r>
    </w:p>
    <w:p>
      <w:pPr>
        <w:sectPr>
          <w:pgSz w:w="11900" w:h="16838" w:orient="portrait"/>
          <w:cols w:equalWidth="0" w:num="1">
            <w:col w:w="11420"/>
          </w:cols>
          <w:pgMar w:left="240" w:top="603"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D. Rozanski, certify that:</w:t>
      </w:r>
    </w:p>
    <w:p>
      <w:pPr>
        <w:spacing w:after="0" w:line="171" w:lineRule="exact"/>
        <w:rPr>
          <w:sz w:val="20"/>
          <w:szCs w:val="20"/>
          <w:color w:val="auto"/>
        </w:rPr>
      </w:pPr>
    </w:p>
    <w:p>
      <w:pPr>
        <w:ind w:left="180" w:hanging="172"/>
        <w:spacing w:after="0"/>
        <w:tabs>
          <w:tab w:leader="none" w:pos="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May 28,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D.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May 28,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report on Form 10-K of Booz Allen Hamilton Holding Corporation (the “Company”) for the fiscal year ended March 31, 2019,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May 28, 2019</w:t>
      </w:r>
      <w:r>
        <w:rPr>
          <w:sz w:val="20"/>
          <w:szCs w:val="20"/>
          <w:color w:val="auto"/>
        </w:rPr>
        <w:tab/>
      </w:r>
      <w:r>
        <w:rPr>
          <w:rFonts w:ascii="Arial" w:cs="Arial" w:eastAsia="Arial" w:hAnsi="Arial"/>
          <w:sz w:val="16"/>
          <w:szCs w:val="16"/>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D.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report on Form 10-K of Booz Allen Hamilton Holding Corporation (the “Company”) for the fiscal year ended March 31, 2019,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May 28, 2019</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1)"/>
      <w:numFmt w:val="lowerRoman"/>
      <w:start w:val="1"/>
    </w:lvl>
  </w:abstractNum>
  <w:abstractNum w:abstractNumId="3">
    <w:nsid w:val="74DE0EE3"/>
    <w:multiLevelType w:val="hybridMultilevel"/>
    <w:lvl w:ilvl="0">
      <w:lvlJc w:val="left"/>
      <w:lvlText w:val="•"/>
      <w:numFmt w:val="bullet"/>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
      <w:numFmt w:val="bullet"/>
      <w:start w:val="1"/>
    </w:lvl>
  </w:abstractNum>
  <w:abstractNum w:abstractNumId="11">
    <w:nsid w:val="43F18422"/>
    <w:multiLevelType w:val="hybridMultilevel"/>
    <w:lvl w:ilvl="0">
      <w:lvlJc w:val="left"/>
      <w:lvlText w:val="•"/>
      <w:numFmt w:val="bullet"/>
      <w:start w:val="1"/>
    </w:lvl>
  </w:abstractNum>
  <w:abstractNum w:abstractNumId="12">
    <w:nsid w:val="60EF0119"/>
    <w:multiLevelType w:val="hybridMultilevel"/>
    <w:lvl w:ilvl="0">
      <w:lvlJc w:val="left"/>
      <w:lvlText w:val="•"/>
      <w:numFmt w:val="bullet"/>
      <w:start w:val="1"/>
    </w:lvl>
  </w:abstractNum>
  <w:abstractNum w:abstractNumId="13">
    <w:nsid w:val="26F324BA"/>
    <w:multiLevelType w:val="hybridMultilevel"/>
    <w:lvl w:ilvl="0">
      <w:lvlJc w:val="left"/>
      <w:lvlText w:val="•"/>
      <w:numFmt w:val="bullet"/>
      <w:start w:val="1"/>
    </w:lvl>
  </w:abstractNum>
  <w:abstractNum w:abstractNumId="14">
    <w:nsid w:val="7F01579B"/>
    <w:multiLevelType w:val="hybridMultilevel"/>
    <w:lvl w:ilvl="0">
      <w:lvlJc w:val="left"/>
      <w:lvlText w:val="•"/>
      <w:numFmt w:val="bullet"/>
      <w:start w:val="1"/>
    </w:lvl>
  </w:abstractNum>
  <w:abstractNum w:abstractNumId="15">
    <w:nsid w:val="49DA307D"/>
    <w:multiLevelType w:val="hybridMultilevel"/>
    <w:lvl w:ilvl="0">
      <w:lvlJc w:val="left"/>
      <w:lvlText w:val="•"/>
      <w:numFmt w:val="bullet"/>
      <w:start w:val="1"/>
    </w:lvl>
  </w:abstractNum>
  <w:abstractNum w:abstractNumId="16">
    <w:nsid w:val="7055A5F5"/>
    <w:multiLevelType w:val="hybridMultilevel"/>
    <w:lvl w:ilvl="0">
      <w:lvlJc w:val="left"/>
      <w:lvlText w:val="•"/>
      <w:numFmt w:val="bullet"/>
      <w:start w:val="1"/>
    </w:lvl>
  </w:abstractNum>
  <w:abstractNum w:abstractNumId="17">
    <w:nsid w:val="5FB8370B"/>
    <w:multiLevelType w:val="hybridMultilevel"/>
    <w:lvl w:ilvl="0">
      <w:lvlJc w:val="left"/>
      <w:lvlText w:val="•"/>
      <w:numFmt w:val="bullet"/>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
      <w:numFmt w:val="bullet"/>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
      <w:numFmt w:val="bullet"/>
      <w:start w:val="1"/>
    </w:lvl>
  </w:abstractNum>
  <w:abstractNum w:abstractNumId="22">
    <w:nsid w:val="7672BD23"/>
    <w:multiLevelType w:val="hybridMultilevel"/>
    <w:lvl w:ilvl="0">
      <w:lvlJc w:val="left"/>
      <w:lvlText w:val="•"/>
      <w:numFmt w:val="bullet"/>
      <w:start w:val="1"/>
    </w:lvl>
  </w:abstractNum>
  <w:abstractNum w:abstractNumId="23">
    <w:nsid w:val="6FC75AF8"/>
    <w:multiLevelType w:val="hybridMultilevel"/>
    <w:lvl w:ilvl="0">
      <w:lvlJc w:val="left"/>
      <w:lvlText w:val="•"/>
      <w:numFmt w:val="bullet"/>
      <w:start w:val="1"/>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
      <w:numFmt w:val="bullet"/>
      <w:start w:val="1"/>
    </w:lvl>
  </w:abstractNum>
  <w:abstractNum w:abstractNumId="26">
    <w:nsid w:val="5F3534A4"/>
    <w:multiLevelType w:val="hybridMultilevel"/>
    <w:lvl w:ilvl="0">
      <w:lvlJc w:val="left"/>
      <w:lvlText w:val="•"/>
      <w:numFmt w:val="bullet"/>
      <w:start w:val="1"/>
    </w:lvl>
  </w:abstractNum>
  <w:abstractNum w:abstractNumId="27">
    <w:nsid w:val="73A1821B"/>
    <w:multiLevelType w:val="hybridMultilevel"/>
    <w:lvl w:ilvl="0">
      <w:lvlJc w:val="left"/>
      <w:lvlText w:val="•"/>
      <w:numFmt w:val="bullet"/>
      <w:start w:val="1"/>
    </w:lvl>
  </w:abstractNum>
  <w:abstractNum w:abstractNumId="28">
    <w:nsid w:val="7DE67713"/>
    <w:multiLevelType w:val="hybridMultilevel"/>
    <w:lvl w:ilvl="0">
      <w:lvlJc w:val="left"/>
      <w:lvlText w:val="•"/>
      <w:numFmt w:val="bullet"/>
      <w:start w:val="1"/>
    </w:lvl>
  </w:abstractNum>
  <w:abstractNum w:abstractNumId="29">
    <w:nsid w:val="555C55B5"/>
    <w:multiLevelType w:val="hybridMultilevel"/>
    <w:lvl w:ilvl="0">
      <w:lvlJc w:val="left"/>
      <w:lvlText w:val="▪"/>
      <w:numFmt w:val="bullet"/>
      <w:start w:val="1"/>
    </w:lvl>
  </w:abstractNum>
  <w:abstractNum w:abstractNumId="30">
    <w:nsid w:val="3FA62ACA"/>
    <w:multiLevelType w:val="hybridMultilevel"/>
    <w:lvl w:ilvl="0">
      <w:lvlJc w:val="left"/>
      <w:lvlText w:val="▪"/>
      <w:numFmt w:val="bullet"/>
      <w:start w:val="1"/>
    </w:lvl>
  </w:abstractNum>
  <w:abstractNum w:abstractNumId="31">
    <w:nsid w:val="14FCE74E"/>
    <w:multiLevelType w:val="hybridMultilevel"/>
    <w:lvl w:ilvl="0">
      <w:lvlJc w:val="left"/>
      <w:lvlText w:val="▪"/>
      <w:numFmt w:val="bullet"/>
      <w:start w:val="1"/>
    </w:lvl>
  </w:abstractNum>
  <w:abstractNum w:abstractNumId="32">
    <w:nsid w:val="6A3DD3E8"/>
    <w:multiLevelType w:val="hybridMultilevel"/>
    <w:lvl w:ilvl="0">
      <w:lvlJc w:val="left"/>
      <w:lvlText w:val="▪"/>
      <w:numFmt w:val="bullet"/>
      <w:start w:val="1"/>
    </w:lvl>
  </w:abstractNum>
  <w:abstractNum w:abstractNumId="33">
    <w:nsid w:val="71C91298"/>
    <w:multiLevelType w:val="hybridMultilevel"/>
    <w:lvl w:ilvl="0">
      <w:lvlJc w:val="left"/>
      <w:lvlText w:val="•"/>
      <w:numFmt w:val="bullet"/>
      <w:start w:val="1"/>
    </w:lvl>
  </w:abstractNum>
  <w:abstractNum w:abstractNumId="34">
    <w:nsid w:val="9DAF632"/>
    <w:multiLevelType w:val="hybridMultilevel"/>
    <w:lvl w:ilvl="0">
      <w:lvlJc w:val="left"/>
      <w:lvlText w:val="•"/>
      <w:numFmt w:val="bullet"/>
      <w:start w:val="1"/>
    </w:lvl>
  </w:abstractNum>
  <w:abstractNum w:abstractNumId="35">
    <w:nsid w:val="53299938"/>
    <w:multiLevelType w:val="hybridMultilevel"/>
    <w:lvl w:ilvl="0">
      <w:lvlJc w:val="left"/>
      <w:lvlText w:val="•"/>
      <w:numFmt w:val="bullet"/>
      <w:start w:val="1"/>
    </w:lvl>
  </w:abstractNum>
  <w:abstractNum w:abstractNumId="36">
    <w:nsid w:val="1FBFE8E0"/>
    <w:multiLevelType w:val="hybridMultilevel"/>
    <w:lvl w:ilvl="0">
      <w:lvlJc w:val="left"/>
      <w:lvlText w:val="•"/>
      <w:numFmt w:val="bullet"/>
      <w:start w:val="1"/>
    </w:lvl>
  </w:abstractNum>
  <w:abstractNum w:abstractNumId="37">
    <w:nsid w:val="5092CA79"/>
    <w:multiLevelType w:val="hybridMultilevel"/>
    <w:lvl w:ilvl="0">
      <w:lvlJc w:val="left"/>
      <w:lvlText w:val="(%1)"/>
      <w:numFmt w:val="decimal"/>
      <w:start w:val="1"/>
    </w:lvl>
  </w:abstractNum>
  <w:abstractNum w:abstractNumId="38">
    <w:nsid w:val="1D545C4D"/>
    <w:multiLevelType w:val="hybridMultilevel"/>
    <w:lvl w:ilvl="0">
      <w:lvlJc w:val="left"/>
      <w:lvlText w:val="(%1)"/>
      <w:numFmt w:val="decimal"/>
      <w:start w:val="1"/>
    </w:lvl>
  </w:abstractNum>
  <w:abstractNum w:abstractNumId="39">
    <w:nsid w:val="59ADEA3D"/>
    <w:multiLevelType w:val="hybridMultilevel"/>
    <w:lvl w:ilvl="0">
      <w:lvlJc w:val="left"/>
      <w:lvlText w:val="•"/>
      <w:numFmt w:val="bullet"/>
      <w:start w:val="1"/>
    </w:lvl>
  </w:abstractNum>
  <w:abstractNum w:abstractNumId="40">
    <w:nsid w:val="288F1A34"/>
    <w:multiLevelType w:val="hybridMultilevel"/>
    <w:lvl w:ilvl="0">
      <w:lvlJc w:val="left"/>
      <w:lvlText w:val="•"/>
      <w:numFmt w:val="bullet"/>
      <w:start w:val="1"/>
    </w:lvl>
  </w:abstractNum>
  <w:abstractNum w:abstractNumId="41">
    <w:nsid w:val="2A155DBC"/>
    <w:multiLevelType w:val="hybridMultilevel"/>
    <w:lvl w:ilvl="0">
      <w:lvlJc w:val="left"/>
      <w:lvlText w:val="(%1)"/>
      <w:numFmt w:val="lowerLetter"/>
      <w:start w:val="1"/>
    </w:lvl>
  </w:abstractNum>
  <w:abstractNum w:abstractNumId="42">
    <w:nsid w:val="1D9F6E5F"/>
    <w:multiLevelType w:val="hybridMultilevel"/>
    <w:lvl w:ilvl="0">
      <w:lvlJc w:val="left"/>
      <w:lvlText w:val="•"/>
      <w:numFmt w:val="bullet"/>
      <w:start w:val="1"/>
    </w:lvl>
  </w:abstractNum>
  <w:abstractNum w:abstractNumId="43">
    <w:nsid w:val="97E1B4E"/>
    <w:multiLevelType w:val="hybridMultilevel"/>
    <w:lvl w:ilvl="0">
      <w:lvlJc w:val="left"/>
      <w:lvlText w:val="•"/>
      <w:numFmt w:val="bullet"/>
      <w:start w:val="1"/>
    </w:lvl>
  </w:abstractNum>
  <w:abstractNum w:abstractNumId="44">
    <w:nsid w:val="51088277"/>
    <w:multiLevelType w:val="hybridMultilevel"/>
    <w:lvl w:ilvl="0">
      <w:lvlJc w:val="left"/>
      <w:lvlText w:val="•"/>
      <w:numFmt w:val="bullet"/>
      <w:start w:val="1"/>
    </w:lvl>
  </w:abstractNum>
  <w:abstractNum w:abstractNumId="45">
    <w:nsid w:val="1CA0C5FA"/>
    <w:multiLevelType w:val="hybridMultilevel"/>
    <w:lvl w:ilvl="0">
      <w:lvlJc w:val="left"/>
      <w:lvlText w:val="•"/>
      <w:numFmt w:val="bullet"/>
      <w:start w:val="1"/>
    </w:lvl>
  </w:abstractNum>
  <w:abstractNum w:abstractNumId="46">
    <w:nsid w:val="53584BCB"/>
    <w:multiLevelType w:val="hybridMultilevel"/>
    <w:lvl w:ilvl="0">
      <w:lvlJc w:val="left"/>
      <w:lvlText w:val="•"/>
      <w:numFmt w:val="bullet"/>
      <w:start w:val="1"/>
    </w:lvl>
  </w:abstractNum>
  <w:abstractNum w:abstractNumId="47">
    <w:nsid w:val="415E286C"/>
    <w:multiLevelType w:val="hybridMultilevel"/>
    <w:lvl w:ilvl="0">
      <w:lvlJc w:val="left"/>
      <w:lvlText w:val="•"/>
      <w:numFmt w:val="bullet"/>
      <w:start w:val="1"/>
    </w:lvl>
  </w:abstractNum>
  <w:abstractNum w:abstractNumId="48">
    <w:nsid w:val="7C58FD05"/>
    <w:multiLevelType w:val="hybridMultilevel"/>
    <w:lvl w:ilvl="0">
      <w:lvlJc w:val="left"/>
      <w:lvlText w:val="•"/>
      <w:numFmt w:val="bullet"/>
      <w:start w:val="1"/>
    </w:lvl>
  </w:abstractNum>
  <w:abstractNum w:abstractNumId="49">
    <w:nsid w:val="23D86AAC"/>
    <w:multiLevelType w:val="hybridMultilevel"/>
    <w:lvl w:ilvl="0">
      <w:lvlJc w:val="left"/>
      <w:lvlText w:val="(%1)"/>
      <w:numFmt w:val="decimal"/>
      <w:start w:val="1"/>
    </w:lvl>
  </w:abstractNum>
  <w:abstractNum w:abstractNumId="50">
    <w:nsid w:val="45E6D486"/>
    <w:multiLevelType w:val="hybridMultilevel"/>
    <w:lvl w:ilvl="0">
      <w:lvlJc w:val="left"/>
      <w:lvlText w:val="(%1)"/>
      <w:numFmt w:val="lowerLetter"/>
      <w:start w:val="25"/>
    </w:lvl>
  </w:abstractNum>
  <w:abstractNum w:abstractNumId="51">
    <w:nsid w:val="5C10FE21"/>
    <w:multiLevelType w:val="hybridMultilevel"/>
    <w:lvl w:ilvl="0">
      <w:lvlJc w:val="left"/>
      <w:lvlText w:val="(%1)"/>
      <w:numFmt w:val="lowerRoman"/>
      <w:start w:val="6"/>
    </w:lvl>
  </w:abstractNum>
  <w:abstractNum w:abstractNumId="52">
    <w:nsid w:val="E7FFA2B"/>
    <w:multiLevelType w:val="hybridMultilevel"/>
    <w:lvl w:ilvl="0">
      <w:lvlJc w:val="left"/>
      <w:lvlText w:val="(%1)"/>
      <w:numFmt w:val="lowerLetter"/>
      <w:start w:val="1"/>
    </w:lvl>
  </w:abstractNum>
  <w:abstractNum w:abstractNumId="53">
    <w:nsid w:val="3C5991AA"/>
    <w:multiLevelType w:val="hybridMultilevel"/>
    <w:lvl w:ilvl="0">
      <w:lvlJc w:val="left"/>
      <w:lvlText w:val="(%1)"/>
      <w:numFmt w:val="lowerLetter"/>
      <w:start w:val="3"/>
    </w:lvl>
  </w:abstractNum>
  <w:abstractNum w:abstractNumId="54">
    <w:nsid w:val="4BD8591A"/>
    <w:multiLevelType w:val="hybridMultilevel"/>
    <w:lvl w:ilvl="0">
      <w:lvlJc w:val="left"/>
      <w:lvlText w:val="%1."/>
      <w:numFmt w:val="decimal"/>
      <w:start w:val="2"/>
    </w:lvl>
  </w:abstractNum>
  <w:abstractNum w:abstractNumId="55">
    <w:nsid w:val="78DF6A55"/>
    <w:multiLevelType w:val="hybridMultilevel"/>
    <w:lvl w:ilvl="0">
      <w:lvlJc w:val="left"/>
      <w:lvlText w:val="•"/>
      <w:numFmt w:val="bullet"/>
      <w:start w:val="1"/>
    </w:lvl>
  </w:abstractNum>
  <w:abstractNum w:abstractNumId="56">
    <w:nsid w:val="39B7AAA2"/>
    <w:multiLevelType w:val="hybridMultilevel"/>
    <w:lvl w:ilvl="0">
      <w:lvlJc w:val="left"/>
      <w:lvlText w:val="(%1)"/>
      <w:numFmt w:val="decimal"/>
      <w:start w:val="1"/>
    </w:lvl>
  </w:abstractNum>
  <w:abstractNum w:abstractNumId="57">
    <w:nsid w:val="2B0D8DBE"/>
    <w:multiLevelType w:val="hybridMultilevel"/>
    <w:lvl w:ilvl="0">
      <w:lvlJc w:val="left"/>
      <w:lvlText w:val="%1."/>
      <w:numFmt w:val="decimal"/>
      <w:start w:val="6"/>
    </w:lvl>
  </w:abstractNum>
  <w:abstractNum w:abstractNumId="58">
    <w:nsid w:val="6C80EC70"/>
    <w:multiLevelType w:val="hybridMultilevel"/>
    <w:lvl w:ilvl="0">
      <w:lvlJc w:val="left"/>
      <w:lvlText w:val="%1."/>
      <w:numFmt w:val="decimal"/>
      <w:start w:val="7"/>
    </w:lvl>
  </w:abstractNum>
  <w:abstractNum w:abstractNumId="59">
    <w:nsid w:val="379E21B5"/>
    <w:multiLevelType w:val="hybridMultilevel"/>
    <w:lvl w:ilvl="0">
      <w:lvlJc w:val="left"/>
      <w:lvlText w:val="%1."/>
      <w:numFmt w:val="decimal"/>
      <w:start w:val="9"/>
    </w:lvl>
  </w:abstractNum>
  <w:abstractNum w:abstractNumId="60">
    <w:nsid w:val="69E373"/>
    <w:multiLevelType w:val="hybridMultilevel"/>
    <w:lvl w:ilvl="0">
      <w:lvlJc w:val="left"/>
      <w:lvlText w:val="(%1)"/>
      <w:numFmt w:val="lowerLetter"/>
      <w:start w:val="25"/>
    </w:lvl>
  </w:abstractNum>
  <w:abstractNum w:abstractNumId="61">
    <w:nsid w:val="2C27173B"/>
    <w:multiLevelType w:val="hybridMultilevel"/>
    <w:lvl w:ilvl="0">
      <w:lvlJc w:val="left"/>
      <w:lvlText w:val="(%1)"/>
      <w:numFmt w:val="lowerRoman"/>
      <w:start w:val="6"/>
    </w:lvl>
  </w:abstractNum>
  <w:abstractNum w:abstractNumId="62">
    <w:nsid w:val="4C9B0904"/>
    <w:multiLevelType w:val="hybridMultilevel"/>
    <w:lvl w:ilvl="0">
      <w:lvlJc w:val="left"/>
      <w:lvlText w:val="(%1)"/>
      <w:numFmt w:val="decimal"/>
      <w:start w:val="1"/>
    </w:lvl>
  </w:abstractNum>
  <w:abstractNum w:abstractNumId="63">
    <w:nsid w:val="6AA7B75C"/>
    <w:multiLevelType w:val="hybridMultilevel"/>
    <w:lvl w:ilvl="0">
      <w:lvlJc w:val="left"/>
      <w:lvlText w:val="(%1)"/>
      <w:numFmt w:val="decimal"/>
      <w:start w:val="1"/>
    </w:lvl>
  </w:abstractNum>
  <w:abstractNum w:abstractNumId="64">
    <w:nsid w:val="1DF029D3"/>
    <w:multiLevelType w:val="hybridMultilevel"/>
    <w:lvl w:ilvl="0">
      <w:lvlJc w:val="left"/>
      <w:lvlText w:val="%1."/>
      <w:numFmt w:val="decimal"/>
      <w:start w:val="15"/>
    </w:lvl>
  </w:abstractNum>
  <w:abstractNum w:abstractNumId="65">
    <w:nsid w:val="5675FF36"/>
    <w:multiLevelType w:val="hybridMultilevel"/>
    <w:lvl w:ilvl="0">
      <w:lvlJc w:val="left"/>
      <w:lvlText w:val="(%1)"/>
      <w:numFmt w:val="decimal"/>
      <w:start w:val="1"/>
    </w:lvl>
  </w:abstractNum>
  <w:abstractNum w:abstractNumId="66">
    <w:nsid w:val="3DD15094"/>
    <w:multiLevelType w:val="hybridMultilevel"/>
    <w:lvl w:ilvl="0">
      <w:lvlJc w:val="left"/>
      <w:lvlText w:val="(%1)"/>
      <w:numFmt w:val="decimal"/>
      <w:start w:val="2"/>
    </w:lvl>
  </w:abstractNum>
  <w:abstractNum w:abstractNumId="67">
    <w:nsid w:val="3DB012B3"/>
    <w:multiLevelType w:val="hybridMultilevel"/>
    <w:lvl w:ilvl="0">
      <w:lvlJc w:val="left"/>
      <w:lvlText w:val="(%1)"/>
      <w:numFmt w:val="decimal"/>
      <w:start w:val="1"/>
    </w:lvl>
  </w:abstractNum>
  <w:abstractNum w:abstractNumId="68">
    <w:nsid w:val="2708C9AF"/>
    <w:multiLevelType w:val="hybridMultilevel"/>
    <w:lvl w:ilvl="0">
      <w:lvlJc w:val="left"/>
      <w:lvlText w:val="(%1)"/>
      <w:numFmt w:val="decimal"/>
      <w:start w:val="1"/>
    </w:lvl>
  </w:abstractNum>
  <w:abstractNum w:abstractNumId="69">
    <w:nsid w:val="5B25ACE2"/>
    <w:multiLevelType w:val="hybridMultilevel"/>
    <w:lvl w:ilvl="0">
      <w:lvlJc w:val="left"/>
      <w:lvlText w:val="(%1)"/>
      <w:numFmt w:val="decimal"/>
      <w:start w:val="1"/>
    </w:lvl>
  </w:abstractNum>
  <w:abstractNum w:abstractNumId="70">
    <w:nsid w:val="175DFCF0"/>
    <w:multiLevelType w:val="hybridMultilevel"/>
    <w:lvl w:ilvl="0">
      <w:lvlJc w:val="left"/>
      <w:lvlText w:val="%1"/>
      <w:numFmt w:val="decimal"/>
      <w:start w:val="1"/>
    </w:lvl>
    <w:lvl w:ilvl="1">
      <w:lvlJc w:val="left"/>
      <w:lvlText w:val="(%2)"/>
      <w:numFmt w:val="decimal"/>
      <w:start w:val="1"/>
    </w:lvl>
  </w:abstractNum>
  <w:abstractNum w:abstractNumId="71">
    <w:nsid w:val="4F97E3E4"/>
    <w:multiLevelType w:val="hybridMultilevel"/>
    <w:lvl w:ilvl="0">
      <w:lvlJc w:val="left"/>
      <w:lvlText w:val="%1."/>
      <w:numFmt w:val="decimal"/>
      <w:start w:val="25"/>
    </w:lvl>
    <w:lvl w:ilvl="1">
      <w:lvlJc w:val="left"/>
      <w:lvlText w:val="%2"/>
      <w:numFmt w:val="decimal"/>
      <w:start w:val="1"/>
    </w:lvl>
  </w:abstractNum>
  <w:abstractNum w:abstractNumId="72">
    <w:nsid w:val="53B0A9E"/>
    <w:multiLevelType w:val="hybridMultilevel"/>
    <w:lvl w:ilvl="0">
      <w:lvlJc w:val="left"/>
      <w:lvlText w:val="(%1)"/>
      <w:numFmt w:val="decimal"/>
      <w:start w:val="1"/>
    </w:lvl>
  </w:abstractNum>
  <w:abstractNum w:abstractNumId="73">
    <w:nsid w:val="34FD6B4F"/>
    <w:multiLevelType w:val="hybridMultilevel"/>
    <w:lvl w:ilvl="0">
      <w:lvlJc w:val="left"/>
      <w:lvlText w:val="(%1)"/>
      <w:numFmt w:val="lowerLetter"/>
      <w:start w:val="1"/>
    </w:lvl>
    <w:lvl w:ilvl="1">
      <w:lvlJc w:val="left"/>
      <w:lvlText w:val="(%2)"/>
      <w:numFmt w:val="decimal"/>
      <w:start w:val="1"/>
    </w:lvl>
  </w:abstractNum>
  <w:abstractNum w:abstractNumId="74">
    <w:nsid w:val="5915FF32"/>
    <w:multiLevelType w:val="hybridMultilevel"/>
    <w:lvl w:ilvl="0">
      <w:lvlJc w:val="left"/>
      <w:lvlText w:val="(%1)"/>
      <w:numFmt w:val="decimal"/>
      <w:start w:val="2"/>
    </w:lvl>
  </w:abstractNum>
  <w:abstractNum w:abstractNumId="75">
    <w:nsid w:val="56438D15"/>
    <w:multiLevelType w:val="hybridMultilevel"/>
    <w:lvl w:ilvl="0">
      <w:lvlJc w:val="left"/>
      <w:lvlText w:val="(%1)"/>
      <w:numFmt w:val="decimal"/>
      <w:start w:val="3"/>
    </w:lvl>
  </w:abstractNum>
  <w:abstractNum w:abstractNumId="76">
    <w:nsid w:val="519E3149"/>
    <w:multiLevelType w:val="hybridMultilevel"/>
    <w:lvl w:ilvl="0">
      <w:lvlJc w:val="left"/>
      <w:lvlText w:val="%1"/>
      <w:numFmt w:val="decimal"/>
      <w:start w:val="21"/>
    </w:lvl>
  </w:abstractNum>
  <w:abstractNum w:abstractNumId="77">
    <w:nsid w:val="2C6E4AFD"/>
    <w:multiLevelType w:val="hybridMultilevel"/>
    <w:lvl w:ilvl="0">
      <w:lvlJc w:val="left"/>
      <w:lvlText w:val="%1"/>
      <w:numFmt w:val="decimal"/>
      <w:start w:val="23"/>
    </w:lvl>
  </w:abstractNum>
  <w:abstractNum w:abstractNumId="78">
    <w:nsid w:val="17A1B582"/>
    <w:multiLevelType w:val="hybridMultilevel"/>
    <w:lvl w:ilvl="0">
      <w:lvlJc w:val="left"/>
      <w:lvlText w:val="%1"/>
      <w:numFmt w:val="decimal"/>
      <w:start w:val="101"/>
    </w:lvl>
  </w:abstractNum>
  <w:abstractNum w:abstractNumId="79">
    <w:nsid w:val="4DF72E4E"/>
    <w:multiLevelType w:val="hybridMultilevel"/>
    <w:lvl w:ilvl="0">
      <w:lvlJc w:val="left"/>
      <w:lvlText w:val="*"/>
      <w:numFmt w:val="bullet"/>
      <w:start w:val="1"/>
    </w:lvl>
  </w:abstractNum>
  <w:abstractNum w:abstractNumId="80">
    <w:nsid w:val="5046B5A9"/>
    <w:multiLevelType w:val="hybridMultilevel"/>
    <w:lvl w:ilvl="0">
      <w:lvlJc w:val="left"/>
      <w:lvlText w:val="†"/>
      <w:numFmt w:val="bullet"/>
      <w:start w:val="1"/>
    </w:lvl>
  </w:abstractNum>
  <w:abstractNum w:abstractNumId="81">
    <w:nsid w:val="5D888A08"/>
    <w:multiLevelType w:val="hybridMultilevel"/>
    <w:lvl w:ilvl="0">
      <w:lvlJc w:val="left"/>
      <w:lvlText w:val="•"/>
      <w:numFmt w:val="bullet"/>
      <w:start w:val="1"/>
    </w:lvl>
  </w:abstractNum>
  <w:abstractNum w:abstractNumId="82">
    <w:nsid w:val="2A082C70"/>
    <w:multiLevelType w:val="hybridMultilevel"/>
    <w:lvl w:ilvl="0">
      <w:lvlJc w:val="left"/>
      <w:lvlText w:val="•"/>
      <w:numFmt w:val="bullet"/>
      <w:start w:val="1"/>
    </w:lvl>
  </w:abstractNum>
  <w:abstractNum w:abstractNumId="83">
    <w:nsid w:val="5EC6AFD4"/>
    <w:multiLevelType w:val="hybridMultilevel"/>
    <w:lvl w:ilvl="0">
      <w:lvlJc w:val="left"/>
      <w:lvlText w:val="•"/>
      <w:numFmt w:val="bullet"/>
      <w:start w:val="1"/>
    </w:lvl>
  </w:abstractNum>
  <w:abstractNum w:abstractNumId="84">
    <w:nsid w:val="19E21BB2"/>
    <w:multiLevelType w:val="hybridMultilevel"/>
    <w:lvl w:ilvl="0">
      <w:lvlJc w:val="left"/>
      <w:lvlText w:val="•"/>
      <w:numFmt w:val="bullet"/>
      <w:start w:val="1"/>
    </w:lvl>
  </w:abstractNum>
  <w:abstractNum w:abstractNumId="85">
    <w:nsid w:val="75E0858A"/>
    <w:multiLevelType w:val="hybridMultilevel"/>
    <w:lvl w:ilvl="0">
      <w:lvlJc w:val="left"/>
      <w:lvlText w:val="•"/>
      <w:numFmt w:val="bullet"/>
      <w:start w:val="1"/>
    </w:lvl>
  </w:abstractNum>
  <w:abstractNum w:abstractNumId="86">
    <w:nsid w:val="57A61A29"/>
    <w:multiLevelType w:val="hybridMultilevel"/>
    <w:lvl w:ilvl="0">
      <w:lvlJc w:val="left"/>
      <w:lvlText w:val="•"/>
      <w:numFmt w:val="bullet"/>
      <w:start w:val="1"/>
    </w:lvl>
  </w:abstractNum>
  <w:abstractNum w:abstractNumId="87">
    <w:nsid w:val="5399C654"/>
    <w:multiLevelType w:val="hybridMultilevel"/>
    <w:lvl w:ilvl="0">
      <w:lvlJc w:val="left"/>
      <w:lvlText w:val="•"/>
      <w:numFmt w:val="bullet"/>
      <w:start w:val="1"/>
    </w:lvl>
  </w:abstractNum>
  <w:abstractNum w:abstractNumId="88">
    <w:nsid w:val="20EE1348"/>
    <w:multiLevelType w:val="hybridMultilevel"/>
    <w:lvl w:ilvl="0">
      <w:lvlJc w:val="left"/>
      <w:lvlText w:val="•"/>
      <w:numFmt w:val="bullet"/>
      <w:start w:val="1"/>
    </w:lvl>
  </w:abstractNum>
  <w:abstractNum w:abstractNumId="89">
    <w:nsid w:val="4427069A"/>
    <w:multiLevelType w:val="hybridMultilevel"/>
    <w:lvl w:ilvl="0">
      <w:lvlJc w:val="left"/>
      <w:lvlText w:val="•"/>
      <w:numFmt w:val="bullet"/>
      <w:start w:val="1"/>
    </w:lvl>
  </w:abstractNum>
  <w:abstractNum w:abstractNumId="90">
    <w:nsid w:val="B37E80A"/>
    <w:multiLevelType w:val="hybridMultilevel"/>
    <w:lvl w:ilvl="0">
      <w:lvlJc w:val="left"/>
      <w:lvlText w:val="•"/>
      <w:numFmt w:val="bullet"/>
      <w:start w:val="1"/>
    </w:lvl>
  </w:abstractNum>
  <w:abstractNum w:abstractNumId="91">
    <w:nsid w:val="2157F6BC"/>
    <w:multiLevelType w:val="hybridMultilevel"/>
    <w:lvl w:ilvl="0">
      <w:lvlJc w:val="left"/>
      <w:lvlText w:val="•"/>
      <w:numFmt w:val="bullet"/>
      <w:start w:val="1"/>
    </w:lvl>
  </w:abstractNum>
  <w:abstractNum w:abstractNumId="92">
    <w:nsid w:val="704E1DD5"/>
    <w:multiLevelType w:val="hybridMultilevel"/>
    <w:lvl w:ilvl="0">
      <w:lvlJc w:val="left"/>
      <w:lvlText w:val="•"/>
      <w:numFmt w:val="bullet"/>
      <w:start w:val="1"/>
    </w:lvl>
  </w:abstractNum>
  <w:abstractNum w:abstractNumId="93">
    <w:nsid w:val="57D2F10E"/>
    <w:multiLevelType w:val="hybridMultilevel"/>
    <w:lvl w:ilvl="0">
      <w:lvlJc w:val="left"/>
      <w:lvlText w:val="•"/>
      <w:numFmt w:val="bullet"/>
      <w:start w:val="1"/>
    </w:lvl>
  </w:abstractNum>
  <w:abstractNum w:abstractNumId="94">
    <w:nsid w:val="BFFAE18"/>
    <w:multiLevelType w:val="hybridMultilevel"/>
    <w:lvl w:ilvl="0">
      <w:lvlJc w:val="left"/>
      <w:lvlText w:val="•"/>
      <w:numFmt w:val="bullet"/>
      <w:start w:val="1"/>
    </w:lvl>
  </w:abstractNum>
  <w:abstractNum w:abstractNumId="95">
    <w:nsid w:val="E3E47A8"/>
    <w:multiLevelType w:val="hybridMultilevel"/>
    <w:lvl w:ilvl="0">
      <w:lvlJc w:val="left"/>
      <w:lvlText w:val="•"/>
      <w:numFmt w:val="bullet"/>
      <w:start w:val="1"/>
    </w:lvl>
  </w:abstractNum>
  <w:abstractNum w:abstractNumId="96">
    <w:nsid w:val="2E48F044"/>
    <w:multiLevelType w:val="hybridMultilevel"/>
    <w:lvl w:ilvl="0">
      <w:lvlJc w:val="left"/>
      <w:lvlText w:val="•"/>
      <w:numFmt w:val="bullet"/>
      <w:start w:val="1"/>
    </w:lvl>
  </w:abstractNum>
  <w:abstractNum w:abstractNumId="97">
    <w:nsid w:val="49D0FEAC"/>
    <w:multiLevelType w:val="hybridMultilevel"/>
    <w:lvl w:ilvl="0">
      <w:lvlJc w:val="left"/>
      <w:lvlText w:val="•"/>
      <w:numFmt w:val="bullet"/>
      <w:start w:val="1"/>
    </w:lvl>
  </w:abstractNum>
  <w:abstractNum w:abstractNumId="98">
    <w:nsid w:val="4BEE5A5B"/>
    <w:multiLevelType w:val="hybridMultilevel"/>
    <w:lvl w:ilvl="0">
      <w:lvlJc w:val="left"/>
      <w:lvlText w:val="•"/>
      <w:numFmt w:val="bullet"/>
      <w:start w:val="1"/>
    </w:lvl>
  </w:abstractNum>
  <w:abstractNum w:abstractNumId="99">
    <w:nsid w:val="5551B9F3"/>
    <w:multiLevelType w:val="hybridMultilevel"/>
    <w:lvl w:ilvl="0">
      <w:lvlJc w:val="left"/>
      <w:lvlText w:val="•"/>
      <w:numFmt w:val="bullet"/>
      <w:start w:val="1"/>
    </w:lvl>
    <w:lvl w:ilvl="1">
      <w:lvlJc w:val="left"/>
      <w:lvlText w:val="•"/>
      <w:numFmt w:val="bullet"/>
      <w:start w:val="1"/>
    </w:lvl>
  </w:abstractNum>
  <w:abstractNum w:abstractNumId="100">
    <w:nsid w:val="24F6AB8E"/>
    <w:multiLevelType w:val="hybridMultilevel"/>
    <w:lvl w:ilvl="0">
      <w:lvlJc w:val="left"/>
      <w:lvlText w:val="•"/>
      <w:numFmt w:val="bullet"/>
      <w:start w:val="1"/>
    </w:lvl>
  </w:abstractNum>
  <w:abstractNum w:abstractNumId="101">
    <w:nsid w:val="634C574C"/>
    <w:multiLevelType w:val="hybridMultilevel"/>
    <w:lvl w:ilvl="0">
      <w:lvlJc w:val="left"/>
      <w:lvlText w:val="•"/>
      <w:numFmt w:val="bullet"/>
      <w:start w:val="1"/>
    </w:lvl>
  </w:abstractNum>
  <w:abstractNum w:abstractNumId="102">
    <w:nsid w:val="24E99DD7"/>
    <w:multiLevelType w:val="hybridMultilevel"/>
    <w:lvl w:ilvl="0">
      <w:lvlJc w:val="left"/>
      <w:lvlText w:val="•"/>
      <w:numFmt w:val="bullet"/>
      <w:start w:val="1"/>
    </w:lvl>
  </w:abstractNum>
  <w:abstractNum w:abstractNumId="103">
    <w:nsid w:val="2A31B62D"/>
    <w:multiLevelType w:val="hybridMultilevel"/>
    <w:lvl w:ilvl="0">
      <w:lvlJc w:val="left"/>
      <w:lvlText w:val="•"/>
      <w:numFmt w:val="bullet"/>
      <w:start w:val="1"/>
    </w:lvl>
  </w:abstractNum>
  <w:abstractNum w:abstractNumId="104">
    <w:nsid w:val="1849C29B"/>
    <w:multiLevelType w:val="hybridMultilevel"/>
    <w:lvl w:ilvl="0">
      <w:lvlJc w:val="left"/>
      <w:lvlText w:val="•"/>
      <w:numFmt w:val="bullet"/>
      <w:start w:val="1"/>
    </w:lvl>
  </w:abstractNum>
  <w:abstractNum w:abstractNumId="105">
    <w:nsid w:val="7DFF9D09"/>
    <w:multiLevelType w:val="hybridMultilevel"/>
    <w:lvl w:ilvl="0">
      <w:lvlJc w:val="left"/>
      <w:lvlText w:val="•"/>
      <w:numFmt w:val="bullet"/>
      <w:start w:val="1"/>
    </w:lvl>
    <w:lvl w:ilvl="1">
      <w:lvlJc w:val="left"/>
      <w:lvlText w:val="•"/>
      <w:numFmt w:val="bullet"/>
      <w:start w:val="1"/>
    </w:lvl>
  </w:abstractNum>
  <w:abstractNum w:abstractNumId="106">
    <w:nsid w:val="754342"/>
    <w:multiLevelType w:val="hybridMultilevel"/>
    <w:lvl w:ilvl="0">
      <w:lvlJc w:val="left"/>
      <w:lvlText w:val="•"/>
      <w:numFmt w:val="bullet"/>
      <w:start w:val="1"/>
    </w:lvl>
    <w:lvl w:ilvl="1">
      <w:lvlJc w:val="left"/>
      <w:lvlText w:val="•"/>
      <w:numFmt w:val="bullet"/>
      <w:start w:val="1"/>
    </w:lvl>
  </w:abstractNum>
  <w:abstractNum w:abstractNumId="107">
    <w:nsid w:val="69E7F3E5"/>
    <w:multiLevelType w:val="hybridMultilevel"/>
    <w:lvl w:ilvl="0">
      <w:lvlJc w:val="left"/>
      <w:lvlText w:val="•"/>
      <w:numFmt w:val="bullet"/>
      <w:start w:val="1"/>
    </w:lvl>
  </w:abstractNum>
  <w:abstractNum w:abstractNumId="108">
    <w:nsid w:val="2A6DE806"/>
    <w:multiLevelType w:val="hybridMultilevel"/>
    <w:lvl w:ilvl="0">
      <w:lvlJc w:val="left"/>
      <w:lvlText w:val="•"/>
      <w:numFmt w:val="bullet"/>
      <w:start w:val="1"/>
    </w:lvl>
  </w:abstractNum>
  <w:abstractNum w:abstractNumId="109">
    <w:nsid w:val="1816F8C4"/>
    <w:multiLevelType w:val="hybridMultilevel"/>
    <w:lvl w:ilvl="0">
      <w:lvlJc w:val="left"/>
      <w:lvlText w:val="•"/>
      <w:numFmt w:val="bullet"/>
      <w:start w:val="1"/>
    </w:lvl>
  </w:abstractNum>
  <w:abstractNum w:abstractNumId="110">
    <w:nsid w:val="37DF2233"/>
    <w:multiLevelType w:val="hybridMultilevel"/>
    <w:lvl w:ilvl="0">
      <w:lvlJc w:val="left"/>
      <w:lvlText w:val="•"/>
      <w:numFmt w:val="bullet"/>
      <w:start w:val="1"/>
    </w:lvl>
  </w:abstractNum>
  <w:abstractNum w:abstractNumId="111">
    <w:nsid w:val="7AB49DAF"/>
    <w:multiLevelType w:val="hybridMultilevel"/>
    <w:lvl w:ilvl="0">
      <w:lvlJc w:val="left"/>
      <w:lvlText w:val="•"/>
      <w:numFmt w:val="bullet"/>
      <w:start w:val="1"/>
    </w:lvl>
  </w:abstractNum>
  <w:abstractNum w:abstractNumId="112">
    <w:nsid w:val="759F82CD"/>
    <w:multiLevelType w:val="hybridMultilevel"/>
    <w:lvl w:ilvl="0">
      <w:lvlJc w:val="left"/>
      <w:lvlText w:val="•"/>
      <w:numFmt w:val="bullet"/>
      <w:start w:val="1"/>
    </w:lvl>
  </w:abstractNum>
  <w:abstractNum w:abstractNumId="113">
    <w:nsid w:val="61E74EA3"/>
    <w:multiLevelType w:val="hybridMultilevel"/>
    <w:lvl w:ilvl="0">
      <w:lvlJc w:val="left"/>
      <w:lvlText w:val="•"/>
      <w:numFmt w:val="bullet"/>
      <w:start w:val="1"/>
    </w:lvl>
  </w:abstractNum>
  <w:abstractNum w:abstractNumId="114">
    <w:nsid w:val="597B4D84"/>
    <w:multiLevelType w:val="hybridMultilevel"/>
    <w:lvl w:ilvl="0">
      <w:lvlJc w:val="left"/>
      <w:lvlText w:val="•"/>
      <w:numFmt w:val="bullet"/>
      <w:start w:val="1"/>
    </w:lvl>
  </w:abstractNum>
  <w:abstractNum w:abstractNumId="115">
    <w:nsid w:val="F819E7F"/>
    <w:multiLevelType w:val="hybridMultilevel"/>
    <w:lvl w:ilvl="0">
      <w:lvlJc w:val="left"/>
      <w:lvlText w:val="•"/>
      <w:numFmt w:val="bullet"/>
      <w:start w:val="1"/>
    </w:lvl>
  </w:abstractNum>
  <w:abstractNum w:abstractNumId="116">
    <w:nsid w:val="57C7D42D"/>
    <w:multiLevelType w:val="hybridMultilevel"/>
    <w:lvl w:ilvl="0">
      <w:lvlJc w:val="left"/>
      <w:lvlText w:val="•"/>
      <w:numFmt w:val="bullet"/>
      <w:start w:val="1"/>
    </w:lvl>
  </w:abstractNum>
  <w:abstractNum w:abstractNumId="117">
    <w:nsid w:val="312167AD"/>
    <w:multiLevelType w:val="hybridMultilevel"/>
    <w:lvl w:ilvl="0">
      <w:lvlJc w:val="left"/>
      <w:lvlText w:val="•"/>
      <w:numFmt w:val="bullet"/>
      <w:start w:val="1"/>
    </w:lvl>
  </w:abstractNum>
  <w:abstractNum w:abstractNumId="118">
    <w:nsid w:val="631B64D4"/>
    <w:multiLevelType w:val="hybridMultilevel"/>
    <w:lvl w:ilvl="0">
      <w:lvlJc w:val="left"/>
      <w:lvlText w:val="•"/>
      <w:numFmt w:val="bullet"/>
      <w:start w:val="1"/>
    </w:lvl>
  </w:abstractNum>
  <w:abstractNum w:abstractNumId="119">
    <w:nsid w:val="78B5E776"/>
    <w:multiLevelType w:val="hybridMultilevel"/>
    <w:lvl w:ilvl="0">
      <w:lvlJc w:val="left"/>
      <w:lvlText w:val="•"/>
      <w:numFmt w:val="bullet"/>
      <w:start w:val="1"/>
    </w:lvl>
  </w:abstractNum>
  <w:abstractNum w:abstractNumId="120">
    <w:nsid w:val="75486E47"/>
    <w:multiLevelType w:val="hybridMultilevel"/>
    <w:lvl w:ilvl="0">
      <w:lvlJc w:val="left"/>
      <w:lvlText w:val="•"/>
      <w:numFmt w:val="bullet"/>
      <w:start w:val="1"/>
    </w:lvl>
  </w:abstractNum>
  <w:abstractNum w:abstractNumId="121">
    <w:nsid w:val="6E534CDE"/>
    <w:multiLevelType w:val="hybridMultilevel"/>
    <w:lvl w:ilvl="0">
      <w:lvlJc w:val="left"/>
      <w:lvlText w:val="•"/>
      <w:numFmt w:val="bullet"/>
      <w:start w:val="1"/>
    </w:lvl>
  </w:abstractNum>
  <w:abstractNum w:abstractNumId="122">
    <w:nsid w:val="1A0DDE32"/>
    <w:multiLevelType w:val="hybridMultilevel"/>
    <w:lvl w:ilvl="0">
      <w:lvlJc w:val="left"/>
      <w:lvlText w:val="•"/>
      <w:numFmt w:val="bullet"/>
      <w:start w:val="1"/>
    </w:lvl>
  </w:abstractNum>
  <w:abstractNum w:abstractNumId="123">
    <w:nsid w:val="65968C1C"/>
    <w:multiLevelType w:val="hybridMultilevel"/>
    <w:lvl w:ilvl="0">
      <w:lvlJc w:val="left"/>
      <w:lvlText w:val="•"/>
      <w:numFmt w:val="bullet"/>
      <w:start w:val="1"/>
    </w:lvl>
  </w:abstractNum>
  <w:abstractNum w:abstractNumId="124">
    <w:nsid w:val="46263DEC"/>
    <w:multiLevelType w:val="hybridMultilevel"/>
    <w:lvl w:ilvl="0">
      <w:lvlJc w:val="left"/>
      <w:lvlText w:val="*"/>
      <w:numFmt w:val="bullet"/>
      <w:start w:val="1"/>
    </w:lvl>
  </w:abstractNum>
  <w:abstractNum w:abstractNumId="125">
    <w:nsid w:val="260D8C4A"/>
    <w:multiLevelType w:val="hybridMultilevel"/>
    <w:lvl w:ilvl="0">
      <w:lvlJc w:val="left"/>
      <w:lvlText w:val="%1."/>
      <w:numFmt w:val="decimal"/>
      <w:start w:val="1"/>
    </w:lvl>
  </w:abstractNum>
  <w:abstractNum w:abstractNumId="126">
    <w:nsid w:val="73D4D3C4"/>
    <w:multiLevelType w:val="hybridMultilevel"/>
    <w:lvl w:ilvl="0">
      <w:lvlJc w:val="left"/>
      <w:lvlText w:val="(%1)"/>
      <w:numFmt w:val="lowerLetter"/>
      <w:start w:val="1"/>
    </w:lvl>
    <w:lvl w:ilvl="1">
      <w:lvlJc w:val="left"/>
      <w:lvlText w:val="(%2)"/>
      <w:numFmt w:val="lowerRoman"/>
      <w:start w:val="1"/>
    </w:lvl>
  </w:abstractNum>
  <w:abstractNum w:abstractNumId="127">
    <w:nsid w:val="746F2E30"/>
    <w:multiLevelType w:val="hybridMultilevel"/>
    <w:lvl w:ilvl="0">
      <w:lvlJc w:val="left"/>
      <w:lvlText w:val="%1"/>
      <w:numFmt w:val="lowerLetter"/>
      <w:start w:val="1"/>
    </w:lvl>
    <w:lvl w:ilvl="1">
      <w:lvlJc w:val="left"/>
      <w:lvlText w:val="(%2)"/>
      <w:numFmt w:val="lowerLetter"/>
      <w:start w:val="22"/>
    </w:lvl>
  </w:abstractNum>
  <w:abstractNum w:abstractNumId="128">
    <w:nsid w:val="6FDE8AF6"/>
    <w:multiLevelType w:val="hybridMultilevel"/>
    <w:lvl w:ilvl="0">
      <w:lvlJc w:val="left"/>
      <w:lvlText w:val="(%1)"/>
      <w:numFmt w:val="lowerLetter"/>
      <w:start w:val="3"/>
    </w:lvl>
    <w:lvl w:ilvl="1">
      <w:lvlJc w:val="left"/>
      <w:lvlText w:val="%2"/>
      <w:numFmt w:val="lowerLetter"/>
      <w:start w:val="1"/>
    </w:lvl>
  </w:abstractNum>
  <w:abstractNum w:abstractNumId="129">
    <w:nsid w:val="3FC32E20"/>
    <w:multiLevelType w:val="hybridMultilevel"/>
    <w:lvl w:ilvl="0">
      <w:lvlJc w:val="left"/>
      <w:lvlText w:val="%1."/>
      <w:numFmt w:val="decimal"/>
      <w:start w:val="3"/>
    </w:lvl>
  </w:abstractNum>
  <w:abstractNum w:abstractNumId="130">
    <w:nsid w:val="49C0E823"/>
    <w:multiLevelType w:val="hybridMultilevel"/>
    <w:lvl w:ilvl="0">
      <w:lvlJc w:val="left"/>
      <w:lvlText w:val="%1."/>
      <w:numFmt w:val="decimal"/>
      <w:start w:val="4"/>
    </w:lvl>
  </w:abstractNum>
  <w:abstractNum w:abstractNumId="131">
    <w:nsid w:val="14D53685"/>
    <w:multiLevelType w:val="hybridMultilevel"/>
    <w:lvl w:ilvl="0">
      <w:lvlJc w:val="left"/>
      <w:lvlText w:val="(%1)"/>
      <w:numFmt w:val="lowerLetter"/>
      <w:start w:val="1"/>
    </w:lvl>
  </w:abstractNum>
  <w:abstractNum w:abstractNumId="132">
    <w:nsid w:val="230F856C"/>
    <w:multiLevelType w:val="hybridMultilevel"/>
    <w:lvl w:ilvl="0">
      <w:lvlJc w:val="left"/>
      <w:lvlText w:val="%1."/>
      <w:numFmt w:val="decimal"/>
      <w:start w:val="6"/>
    </w:lvl>
  </w:abstractNum>
  <w:abstractNum w:abstractNumId="133">
    <w:nsid w:val="6EAA85FB"/>
    <w:multiLevelType w:val="hybridMultilevel"/>
    <w:lvl w:ilvl="0">
      <w:lvlJc w:val="left"/>
      <w:lvlText w:val="(%1)"/>
      <w:numFmt w:val="lowerLetter"/>
      <w:start w:val="1"/>
    </w:lvl>
  </w:abstractNum>
  <w:abstractNum w:abstractNumId="134">
    <w:nsid w:val="3F06ECB2"/>
    <w:multiLevelType w:val="hybridMultilevel"/>
    <w:lvl w:ilvl="0">
      <w:lvlJc w:val="left"/>
      <w:lvlText w:val="%1."/>
      <w:numFmt w:val="decimal"/>
      <w:start w:val="7"/>
    </w:lvl>
  </w:abstractNum>
  <w:abstractNum w:abstractNumId="135">
    <w:nsid w:val="3B594807"/>
    <w:multiLevelType w:val="hybridMultilevel"/>
    <w:lvl w:ilvl="0">
      <w:lvlJc w:val="left"/>
      <w:lvlText w:val="(%1)"/>
      <w:numFmt w:val="lowerLetter"/>
      <w:start w:val="1"/>
    </w:lvl>
  </w:abstractNum>
  <w:abstractNum w:abstractNumId="136">
    <w:nsid w:val="6CAA2304"/>
    <w:multiLevelType w:val="hybridMultilevel"/>
    <w:lvl w:ilvl="0">
      <w:lvlJc w:val="left"/>
      <w:lvlText w:val="(%1)"/>
      <w:numFmt w:val="lowerLetter"/>
      <w:start w:val="4"/>
    </w:lvl>
  </w:abstractNum>
  <w:abstractNum w:abstractNumId="137">
    <w:nsid w:val="3F7C2FF4"/>
    <w:multiLevelType w:val="hybridMultilevel"/>
    <w:lvl w:ilvl="0">
      <w:lvlJc w:val="left"/>
      <w:lvlText w:val="(%1)"/>
      <w:numFmt w:val="lowerLetter"/>
      <w:start w:val="7"/>
    </w:lvl>
  </w:abstractNum>
  <w:abstractNum w:abstractNumId="138">
    <w:nsid w:val="25413BEC"/>
    <w:multiLevelType w:val="hybridMultilevel"/>
    <w:lvl w:ilvl="0">
      <w:lvlJc w:val="left"/>
      <w:lvlText w:val="(%1)"/>
      <w:numFmt w:val="lowerLetter"/>
      <w:start w:val="13"/>
    </w:lvl>
  </w:abstractNum>
  <w:abstractNum w:abstractNumId="139">
    <w:nsid w:val="17180B0B"/>
    <w:multiLevelType w:val="hybridMultilevel"/>
    <w:lvl w:ilvl="0">
      <w:lvlJc w:val="left"/>
      <w:lvlText w:val="(%1)"/>
      <w:numFmt w:val="lowerLetter"/>
      <w:start w:val="1"/>
    </w:lvl>
  </w:abstractNum>
  <w:abstractNum w:abstractNumId="140">
    <w:nsid w:val="579328B9"/>
    <w:multiLevelType w:val="hybridMultilevel"/>
    <w:lvl w:ilvl="0">
      <w:lvlJc w:val="left"/>
      <w:lvlText w:val="(%1)"/>
      <w:numFmt w:val="lowerLetter"/>
      <w:start w:val="3"/>
    </w:lvl>
  </w:abstractNum>
  <w:abstractNum w:abstractNumId="141">
    <w:nsid w:val="5D205E20"/>
    <w:multiLevelType w:val="hybridMultilevel"/>
    <w:lvl w:ilvl="0">
      <w:lvlJc w:val="left"/>
      <w:lvlText w:val="(%1)"/>
      <w:numFmt w:val="lowerLetter"/>
      <w:start w:val="1"/>
    </w:lvl>
  </w:abstractNum>
  <w:abstractNum w:abstractNumId="142">
    <w:nsid w:val="11CCA8BA"/>
    <w:multiLevelType w:val="hybridMultilevel"/>
    <w:lvl w:ilvl="0">
      <w:lvlJc w:val="left"/>
      <w:lvlText w:val="(%1)"/>
      <w:numFmt w:val="lowerLetter"/>
      <w:start w:val="3"/>
    </w:lvl>
  </w:abstractNum>
  <w:abstractNum w:abstractNumId="143">
    <w:nsid w:val="4D32AB86"/>
    <w:multiLevelType w:val="hybridMultilevel"/>
    <w:lvl w:ilvl="0">
      <w:lvlJc w:val="left"/>
      <w:lvlText w:val="(%1)"/>
      <w:numFmt w:val="lowerLetter"/>
      <w:start w:val="1"/>
    </w:lvl>
    <w:lvl w:ilvl="1">
      <w:lvlJc w:val="left"/>
      <w:lvlText w:val="(%2)"/>
      <w:numFmt w:val="lowerRoman"/>
      <w:start w:val="1"/>
    </w:lvl>
  </w:abstractNum>
  <w:abstractNum w:abstractNumId="144">
    <w:nsid w:val="3F07ACC3"/>
    <w:multiLevelType w:val="hybridMultilevel"/>
    <w:lvl w:ilvl="0">
      <w:lvlJc w:val="left"/>
      <w:lvlText w:val="(%1)"/>
      <w:numFmt w:val="lowerLetter"/>
      <w:start w:val="1"/>
    </w:lvl>
  </w:abstractNum>
  <w:abstractNum w:abstractNumId="145">
    <w:nsid w:val="6B47F63E"/>
    <w:multiLevelType w:val="hybridMultilevel"/>
    <w:lvl w:ilvl="0">
      <w:lvlJc w:val="left"/>
      <w:lvlText w:val="(%1)"/>
      <w:numFmt w:val="lowerLetter"/>
      <w:start w:val="1"/>
    </w:lvl>
  </w:abstractNum>
  <w:abstractNum w:abstractNumId="146">
    <w:nsid w:val="5CB44A05"/>
    <w:multiLevelType w:val="hybridMultilevel"/>
    <w:lvl w:ilvl="0">
      <w:lvlJc w:val="left"/>
      <w:lvlText w:val="(%1)"/>
      <w:numFmt w:val="lowerLetter"/>
      <w:start w:val="5"/>
    </w:lvl>
  </w:abstractNum>
  <w:abstractNum w:abstractNumId="147">
    <w:nsid w:val="16CF80F1"/>
    <w:multiLevelType w:val="hybridMultilevel"/>
    <w:lvl w:ilvl="0">
      <w:lvlJc w:val="left"/>
      <w:lvlText w:val="%1."/>
      <w:numFmt w:val="decimal"/>
      <w:start w:val="1"/>
    </w:lvl>
  </w:abstractNum>
  <w:abstractNum w:abstractNumId="148">
    <w:nsid w:val="1C695DEC"/>
    <w:multiLevelType w:val="hybridMultilevel"/>
    <w:lvl w:ilvl="0">
      <w:lvlJc w:val="left"/>
      <w:lvlText w:val="(%1)"/>
      <w:numFmt w:val="lowerLetter"/>
      <w:start w:val="1"/>
    </w:lvl>
    <w:lvl w:ilvl="1">
      <w:lvlJc w:val="left"/>
      <w:lvlText w:val="(%2)"/>
      <w:numFmt w:val="lowerRoman"/>
      <w:start w:val="1"/>
    </w:lvl>
  </w:abstractNum>
  <w:abstractNum w:abstractNumId="149">
    <w:nsid w:val="3FCFAED9"/>
    <w:multiLevelType w:val="hybridMultilevel"/>
    <w:lvl w:ilvl="0">
      <w:lvlJc w:val="left"/>
      <w:lvlText w:val="(%1)"/>
      <w:numFmt w:val="lowerRoman"/>
      <w:start w:val="3"/>
    </w:lvl>
  </w:abstractNum>
  <w:abstractNum w:abstractNumId="150">
    <w:nsid w:val="F856867"/>
    <w:multiLevelType w:val="hybridMultilevel"/>
    <w:lvl w:ilvl="0">
      <w:lvlJc w:val="left"/>
      <w:lvlText w:val="(%1)"/>
      <w:numFmt w:val="lowerLetter"/>
      <w:start w:val="3"/>
    </w:lvl>
  </w:abstractNum>
  <w:abstractNum w:abstractNumId="151">
    <w:nsid w:val="11B1CC33"/>
    <w:multiLevelType w:val="hybridMultilevel"/>
    <w:lvl w:ilvl="0">
      <w:lvlJc w:val="left"/>
      <w:lvlText w:val="%1."/>
      <w:numFmt w:val="decimal"/>
      <w:start w:val="3"/>
    </w:lvl>
  </w:abstractNum>
  <w:abstractNum w:abstractNumId="152">
    <w:nsid w:val="2E22FBB7"/>
    <w:multiLevelType w:val="hybridMultilevel"/>
    <w:lvl w:ilvl="0">
      <w:lvlJc w:val="left"/>
      <w:lvlText w:val="(%1)"/>
      <w:numFmt w:val="lowerLetter"/>
      <w:start w:val="1"/>
    </w:lvl>
  </w:abstractNum>
  <w:abstractNum w:abstractNumId="153">
    <w:nsid w:val="29934699"/>
    <w:multiLevelType w:val="hybridMultilevel"/>
    <w:lvl w:ilvl="0">
      <w:lvlJc w:val="left"/>
      <w:lvlText w:val="%1."/>
      <w:numFmt w:val="decimal"/>
      <w:start w:val="4"/>
    </w:lvl>
  </w:abstractNum>
  <w:abstractNum w:abstractNumId="154">
    <w:nsid w:val="77485850"/>
    <w:multiLevelType w:val="hybridMultilevel"/>
    <w:lvl w:ilvl="0">
      <w:lvlJc w:val="left"/>
      <w:lvlText w:val="%1."/>
      <w:numFmt w:val="decimal"/>
      <w:start w:val="5"/>
    </w:lvl>
  </w:abstractNum>
  <w:abstractNum w:abstractNumId="155">
    <w:nsid w:val="744939A3"/>
    <w:multiLevelType w:val="hybridMultilevel"/>
    <w:lvl w:ilvl="0">
      <w:lvlJc w:val="left"/>
      <w:lvlText w:val="(%1)"/>
      <w:numFmt w:val="lowerLetter"/>
      <w:start w:val="1"/>
    </w:lvl>
  </w:abstractNum>
  <w:abstractNum w:abstractNumId="156">
    <w:nsid w:val="4FA0D2E3"/>
    <w:multiLevelType w:val="hybridMultilevel"/>
    <w:lvl w:ilvl="0">
      <w:lvlJc w:val="left"/>
      <w:lvlText w:val="%1."/>
      <w:numFmt w:val="decimal"/>
      <w:start w:val="6"/>
    </w:lvl>
  </w:abstractNum>
  <w:abstractNum w:abstractNumId="157">
    <w:nsid w:val="6B1D2C14"/>
    <w:multiLevelType w:val="hybridMultilevel"/>
    <w:lvl w:ilvl="0">
      <w:lvlJc w:val="left"/>
      <w:lvlText w:val="(%1)"/>
      <w:numFmt w:val="lowerLetter"/>
      <w:start w:val="1"/>
    </w:lvl>
  </w:abstractNum>
  <w:abstractNum w:abstractNumId="158">
    <w:nsid w:val="68B867D3"/>
    <w:multiLevelType w:val="hybridMultilevel"/>
    <w:lvl w:ilvl="0">
      <w:lvlJc w:val="left"/>
      <w:lvlText w:val="(%1)"/>
      <w:numFmt w:val="lowerLetter"/>
      <w:start w:val="2"/>
    </w:lvl>
  </w:abstractNum>
  <w:abstractNum w:abstractNumId="159">
    <w:nsid w:val="3F7F5DD9"/>
    <w:multiLevelType w:val="hybridMultilevel"/>
    <w:lvl w:ilvl="0">
      <w:lvlJc w:val="left"/>
      <w:lvlText w:val="%1."/>
      <w:numFmt w:val="decimal"/>
      <w:start w:val="7"/>
    </w:lvl>
  </w:abstractNum>
  <w:abstractNum w:abstractNumId="160">
    <w:nsid w:val="2AE05A34"/>
    <w:multiLevelType w:val="hybridMultilevel"/>
    <w:lvl w:ilvl="0">
      <w:lvlJc w:val="left"/>
      <w:lvlText w:val="(%1)"/>
      <w:numFmt w:val="lowerLetter"/>
      <w:start w:val="1"/>
    </w:lvl>
  </w:abstractNum>
  <w:abstractNum w:abstractNumId="161">
    <w:nsid w:val="32794FF7"/>
    <w:multiLevelType w:val="hybridMultilevel"/>
    <w:lvl w:ilvl="0">
      <w:lvlJc w:val="left"/>
      <w:lvlText w:val="(%1)"/>
      <w:numFmt w:val="lowerLetter"/>
      <w:start w:val="4"/>
    </w:lvl>
  </w:abstractNum>
  <w:abstractNum w:abstractNumId="162">
    <w:nsid w:val="5454945E"/>
    <w:multiLevelType w:val="hybridMultilevel"/>
    <w:lvl w:ilvl="0">
      <w:lvlJc w:val="left"/>
      <w:lvlText w:val="(%1)"/>
      <w:numFmt w:val="lowerLetter"/>
      <w:start w:val="8"/>
    </w:lvl>
  </w:abstractNum>
  <w:abstractNum w:abstractNumId="163">
    <w:nsid w:val="4DEFDFA0"/>
    <w:multiLevelType w:val="hybridMultilevel"/>
    <w:lvl w:ilvl="0">
      <w:lvlJc w:val="left"/>
      <w:lvlText w:val="(%1)"/>
      <w:numFmt w:val="lowerLetter"/>
      <w:start w:val="14"/>
    </w:lvl>
  </w:abstractNum>
  <w:abstractNum w:abstractNumId="164">
    <w:nsid w:val="2123D5F2"/>
    <w:multiLevelType w:val="hybridMultilevel"/>
    <w:lvl w:ilvl="0">
      <w:lvlJc w:val="left"/>
      <w:lvlText w:val="•"/>
      <w:numFmt w:val="bullet"/>
      <w:start w:val="1"/>
    </w:lvl>
  </w:abstractNum>
  <w:abstractNum w:abstractNumId="165">
    <w:nsid w:val="135B8110"/>
    <w:multiLevelType w:val="hybridMultilevel"/>
    <w:lvl w:ilvl="0">
      <w:lvlJc w:val="left"/>
      <w:lvlText w:val="%1."/>
      <w:numFmt w:val="decimal"/>
      <w:start w:val="1"/>
    </w:lvl>
  </w:abstractNum>
  <w:abstractNum w:abstractNumId="166">
    <w:nsid w:val="94927A8"/>
    <w:multiLevelType w:val="hybridMultilevel"/>
    <w:lvl w:ilvl="0">
      <w:lvlJc w:val="left"/>
      <w:lvlText w:val="(%1)"/>
      <w:numFmt w:val="lowerLetter"/>
      <w:start w:val="1"/>
    </w:lvl>
  </w:abstractNum>
  <w:abstractNum w:abstractNumId="167">
    <w:nsid w:val="DCDF8F6"/>
    <w:multiLevelType w:val="hybridMultilevel"/>
    <w:lvl w:ilvl="0">
      <w:lvlJc w:val="left"/>
      <w:lvlText w:val="%1."/>
      <w:numFmt w:val="decimal"/>
      <w:start w:val="5"/>
    </w:lvl>
  </w:abstractNum>
  <w:abstractNum w:abstractNumId="168">
    <w:nsid w:val="52D7B105"/>
    <w:multiLevelType w:val="hybridMultilevel"/>
    <w:lvl w:ilvl="0">
      <w:lvlJc w:val="left"/>
      <w:lvlText w:val="(%1)"/>
      <w:numFmt w:val="lowerLetter"/>
      <w:start w:val="1"/>
    </w:lvl>
  </w:abstractNum>
  <w:abstractNum w:abstractNumId="169">
    <w:nsid w:val="2E8A6394"/>
    <w:multiLevelType w:val="hybridMultilevel"/>
    <w:lvl w:ilvl="0">
      <w:lvlJc w:val="left"/>
      <w:lvlText w:val="%1."/>
      <w:numFmt w:val="decimal"/>
      <w:start w:val="1"/>
    </w:lvl>
  </w:abstractNum>
  <w:abstractNum w:abstractNumId="170">
    <w:nsid w:val="24E60401"/>
    <w:multiLevelType w:val="hybridMultilevel"/>
    <w:lvl w:ilvl="0">
      <w:lvlJc w:val="left"/>
      <w:lvlText w:val="(%1)"/>
      <w:numFmt w:val="lowerLetter"/>
      <w:start w:val="1"/>
    </w:lvl>
  </w:abstractNum>
  <w:abstractNum w:abstractNumId="171">
    <w:nsid w:val="2A6AD9BE"/>
    <w:multiLevelType w:val="hybridMultilevel"/>
    <w:lvl w:ilvl="0">
      <w:lvlJc w:val="left"/>
      <w:lvlText w:val="%1."/>
      <w:numFmt w:val="decimal"/>
      <w:start w:val="5"/>
    </w:lvl>
  </w:abstractNum>
  <w:abstractNum w:abstractNumId="172">
    <w:nsid w:val="BAAC1B4"/>
    <w:multiLevelType w:val="hybridMultilevel"/>
    <w:lvl w:ilvl="0">
      <w:lvlJc w:val="left"/>
      <w:lvlText w:val="(%1)"/>
      <w:numFmt w:val="lowerLetter"/>
      <w:start w:val="1"/>
    </w:lvl>
  </w:abstractNum>
  <w:abstractNum w:abstractNumId="173">
    <w:nsid w:val="36B2ACBC"/>
    <w:multiLevelType w:val="hybridMultilevel"/>
    <w:lvl w:ilvl="0">
      <w:lvlJc w:val="left"/>
      <w:lvlText w:val="(%1)"/>
      <w:numFmt w:val="decimal"/>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95" Type="http://schemas.openxmlformats.org/officeDocument/2006/relationships/image" Target="media/image24.png"/><Relationship Id="rId96" Type="http://schemas.openxmlformats.org/officeDocument/2006/relationships/image" Target="media/image25.jpeg"/><Relationship Id="rId97" Type="http://schemas.openxmlformats.org/officeDocument/2006/relationships/image" Target="media/image26.png"/><Relationship Id="rId98" Type="http://schemas.openxmlformats.org/officeDocument/2006/relationships/image" Target="media/image27.png"/><Relationship Id="rId99" Type="http://schemas.openxmlformats.org/officeDocument/2006/relationships/image" Target="media/image28.png"/><Relationship Id="rId100" Type="http://schemas.openxmlformats.org/officeDocument/2006/relationships/image" Target="media/image29.png"/><Relationship Id="rId101" Type="http://schemas.openxmlformats.org/officeDocument/2006/relationships/image" Target="media/image30.png"/><Relationship Id="rId102" Type="http://schemas.openxmlformats.org/officeDocument/2006/relationships/image" Target="media/image31.png"/><Relationship Id="rId103" Type="http://schemas.openxmlformats.org/officeDocument/2006/relationships/image" Target="media/image32.png"/><Relationship Id="rId104" Type="http://schemas.openxmlformats.org/officeDocument/2006/relationships/image" Target="media/image33.jpeg"/><Relationship Id="rId105" Type="http://schemas.openxmlformats.org/officeDocument/2006/relationships/image" Target="media/image34.png"/><Relationship Id="rId106" Type="http://schemas.openxmlformats.org/officeDocument/2006/relationships/image" Target="media/image35.png"/><Relationship Id="rId107" Type="http://schemas.openxmlformats.org/officeDocument/2006/relationships/image" Target="media/image36.jpeg"/><Relationship Id="rId108" Type="http://schemas.openxmlformats.org/officeDocument/2006/relationships/image" Target="media/image37.png"/><Relationship Id="rId109" Type="http://schemas.openxmlformats.org/officeDocument/2006/relationships/image" Target="media/image38.jpeg"/><Relationship Id="rId110" Type="http://schemas.openxmlformats.org/officeDocument/2006/relationships/image" Target="media/image39.png"/><Relationship Id="rId111" Type="http://schemas.openxmlformats.org/officeDocument/2006/relationships/image" Target="media/image40.jpeg"/><Relationship Id="rId112" Type="http://schemas.openxmlformats.org/officeDocument/2006/relationships/image" Target="media/image41.png"/><Relationship Id="rId113" Type="http://schemas.openxmlformats.org/officeDocument/2006/relationships/image" Target="media/image42.jpeg"/><Relationship Id="rId114" Type="http://schemas.openxmlformats.org/officeDocument/2006/relationships/image" Target="media/image43.jpeg"/><Relationship Id="rId115" Type="http://schemas.openxmlformats.org/officeDocument/2006/relationships/image" Target="media/image44.jpeg"/><Relationship Id="rId116" Type="http://schemas.openxmlformats.org/officeDocument/2006/relationships/image" Target="media/image45.jpeg"/><Relationship Id="rId117" Type="http://schemas.openxmlformats.org/officeDocument/2006/relationships/image" Target="media/image46.jpeg"/><Relationship Id="rId118" Type="http://schemas.openxmlformats.org/officeDocument/2006/relationships/image" Target="media/image47.jpeg"/><Relationship Id="rId119" Type="http://schemas.openxmlformats.org/officeDocument/2006/relationships/image" Target="media/image48.jpeg"/><Relationship Id="rId120" Type="http://schemas.openxmlformats.org/officeDocument/2006/relationships/image" Target="media/image49.jpeg"/><Relationship Id="rId121" Type="http://schemas.openxmlformats.org/officeDocument/2006/relationships/image" Target="media/image50.png"/><Relationship Id="rId122" Type="http://schemas.openxmlformats.org/officeDocument/2006/relationships/image" Target="media/image51.jpeg"/><Relationship Id="rId123" Type="http://schemas.openxmlformats.org/officeDocument/2006/relationships/image" Target="media/image52.png"/><Relationship Id="rId124" Type="http://schemas.openxmlformats.org/officeDocument/2006/relationships/image" Target="media/image53.jpeg"/><Relationship Id="rId125" Type="http://schemas.openxmlformats.org/officeDocument/2006/relationships/image" Target="media/image54.png"/><Relationship Id="rId126" Type="http://schemas.openxmlformats.org/officeDocument/2006/relationships/image" Target="media/image55.jpeg"/><Relationship Id="rId127" Type="http://schemas.openxmlformats.org/officeDocument/2006/relationships/image" Target="media/image56.png"/><Relationship Id="rId128" Type="http://schemas.openxmlformats.org/officeDocument/2006/relationships/image" Target="media/image57.png"/><Relationship Id="rId129" Type="http://schemas.openxmlformats.org/officeDocument/2006/relationships/image" Target="media/image58.png"/><Relationship Id="rId130" Type="http://schemas.openxmlformats.org/officeDocument/2006/relationships/image" Target="media/image59.png"/><Relationship Id="rId131" Type="http://schemas.openxmlformats.org/officeDocument/2006/relationships/image" Target="media/image60.png"/><Relationship Id="rId31" Type="http://schemas.openxmlformats.org/officeDocument/2006/relationships/hyperlink" Target="http://www.sec.gov/Archives/edgar/data/1443646/000095012310059548/w77668exv2w1.htm" TargetMode="External"/><Relationship Id="rId32" Type="http://schemas.openxmlformats.org/officeDocument/2006/relationships/hyperlink" Target="http://www.sec.gov/Archives/edgar/data/1443646/000095012310059548/w77668exv2w2.htm" TargetMode="External"/><Relationship Id="rId33" Type="http://schemas.openxmlformats.org/officeDocument/2006/relationships/hyperlink" Target="http://www.sec.gov/Archives/edgar/data/1443646/000095012310059548/w77668exv2w3.htm" TargetMode="External"/><Relationship Id="rId34" Type="http://schemas.openxmlformats.org/officeDocument/2006/relationships/hyperlink" Target="http://www.sec.gov/Archives/edgar/data/1443646/000144364614000040/thirdarcertificateofincorp.htm" TargetMode="External"/><Relationship Id="rId35" Type="http://schemas.openxmlformats.org/officeDocument/2006/relationships/hyperlink" Target="http://www.sec.gov/Archives/edgar/data/1443646/000144364618000018/bah-20171231xex32.htm" TargetMode="External"/><Relationship Id="rId36" Type="http://schemas.openxmlformats.org/officeDocument/2006/relationships/hyperlink" Target="http://www.sec.gov/Archives/edgar/data/1443646/000095012310090358/w77668a3exv4w5.htm" TargetMode="External"/><Relationship Id="rId37" Type="http://schemas.openxmlformats.org/officeDocument/2006/relationships/hyperlink" Target="http://www.sec.gov/Archives/edgar/data/1443646/000119312517136816/d346355dex41.htm" TargetMode="External"/><Relationship Id="rId38" Type="http://schemas.openxmlformats.org/officeDocument/2006/relationships/hyperlink" Target="http://www.sec.gov/Archives/edgar/data/1443646/000119312517136816/d346355dex42.htm" TargetMode="External"/><Relationship Id="rId39" Type="http://schemas.openxmlformats.org/officeDocument/2006/relationships/hyperlink" Target="http://www.sec.gov/Archives/edgar/data/1443646/000144364614000040/secondamendedandrestatedei.htm" TargetMode="External"/><Relationship Id="rId40" Type="http://schemas.openxmlformats.org/officeDocument/2006/relationships/hyperlink" Target="http://www.sec.gov/Archives/edgar/data/1443646/000095012310070415/w77668a1exv10w10.htm" TargetMode="External"/><Relationship Id="rId41" Type="http://schemas.openxmlformats.org/officeDocument/2006/relationships/hyperlink" Target="http://www.sec.gov/Archives/edgar/data/1443646/000095012310070415/w77668a1exv10w11.htm" TargetMode="External"/><Relationship Id="rId42" Type="http://schemas.openxmlformats.org/officeDocument/2006/relationships/hyperlink" Target="http://www.sec.gov/Archives/edgar/data/1443646/000095012310082535/w77668a2exv10w12.htm" TargetMode="External"/><Relationship Id="rId43" Type="http://schemas.openxmlformats.org/officeDocument/2006/relationships/hyperlink" Target="http://www.sec.gov/Archives/edgar/data/1443646/000144364614000040/amendedandrestatedaip-ex10.htm" TargetMode="External"/><Relationship Id="rId44" Type="http://schemas.openxmlformats.org/officeDocument/2006/relationships/hyperlink" Target="http://www.sec.gov/Archives/edgar/data/1443646/000144364618000100/bah-20180331xex106.htm" TargetMode="External"/><Relationship Id="rId45" Type="http://schemas.openxmlformats.org/officeDocument/2006/relationships/hyperlink" Target="http://www.sec.gov/Archives/edgar/data/1443646/000144364618000100/bah-20180331xex107.htm" TargetMode="External"/><Relationship Id="rId46" Type="http://schemas.openxmlformats.org/officeDocument/2006/relationships/hyperlink" Target="http://www.sec.gov/Archives/edgar/data/1443646/000144364618000100/bah-20180331xex108.htm" TargetMode="External"/><Relationship Id="rId47" Type="http://schemas.openxmlformats.org/officeDocument/2006/relationships/hyperlink" Target="http://www.sec.gov/Archives/edgar/data/1443646/000144364615000018/bah-20150331xex1014.htm" TargetMode="External"/><Relationship Id="rId48" Type="http://schemas.openxmlformats.org/officeDocument/2006/relationships/hyperlink" Target="http://www.sec.gov/Archives/edgar/data/1443646/000144364618000100/bah-20180331xex1011.htm" TargetMode="External"/><Relationship Id="rId49" Type="http://schemas.openxmlformats.org/officeDocument/2006/relationships/hyperlink" Target="http://www.sec.gov/Archives/edgar/data/1443646/000095012310090358/w77668a3exv10w23.htm" TargetMode="External"/><Relationship Id="rId50" Type="http://schemas.openxmlformats.org/officeDocument/2006/relationships/hyperlink" Target="http://www.sec.gov/Archives/edgar/data/1443646/000095012311057569/w82973exv10w23.htm" TargetMode="External"/><Relationship Id="rId51" Type="http://schemas.openxmlformats.org/officeDocument/2006/relationships/hyperlink" Target="http://www.sec.gov/Archives/edgar/data/1443646/000144364618000100/bah-20180331xex1014.htm" TargetMode="External"/><Relationship Id="rId52" Type="http://schemas.openxmlformats.org/officeDocument/2006/relationships/hyperlink" Target="http://www.sec.gov/Archives/edgar/data/1443646/000119312512038532/d291187dex1025.htm" TargetMode="External"/><Relationship Id="rId53" Type="http://schemas.openxmlformats.org/officeDocument/2006/relationships/hyperlink" Target="http://www.sec.gov/Archives/edgar/data/1443646/000119312512327096/d388921dex101.htm" TargetMode="External"/><Relationship Id="rId54" Type="http://schemas.openxmlformats.org/officeDocument/2006/relationships/hyperlink" Target="http://www.sec.gov/Archives/edgar/data/1443646/000119312512327096/d388921dex102.htm" TargetMode="External"/><Relationship Id="rId55" Type="http://schemas.openxmlformats.org/officeDocument/2006/relationships/hyperlink" Target="http://www.sec.gov/Archives/edgar/data/1443646/000144364613000030/exhibit101-2013amendmentxf.htm" TargetMode="External"/><Relationship Id="rId56" Type="http://schemas.openxmlformats.org/officeDocument/2006/relationships/hyperlink" Target="http://www.sec.gov/Archives/edgar/data/1443646/000144364614000015/bah-20140331xex1027.htm" TargetMode="External"/><Relationship Id="rId57" Type="http://schemas.openxmlformats.org/officeDocument/2006/relationships/hyperlink" Target="http://www.sec.gov/Archives/edgar/data/1443646/000144364614000015/bah-20140331xex1028.htm" TargetMode="External"/><Relationship Id="rId58" Type="http://schemas.openxmlformats.org/officeDocument/2006/relationships/hyperlink" Target="http://www.sec.gov/Archives/edgar/data/1443646/000144364614000015/bah-20140331xex1029.htm" TargetMode="External"/><Relationship Id="rId59" Type="http://schemas.openxmlformats.org/officeDocument/2006/relationships/hyperlink" Target="http://www.sec.gov/Archives/edgar/data/1443646/000144364614000011/secondamendment.htm" TargetMode="External"/><Relationship Id="rId60" Type="http://schemas.openxmlformats.org/officeDocument/2006/relationships/hyperlink" Target="http://www.sec.gov/Archives/edgar/data/1443646/000144364616000173/bahamendmentno32016.htm" TargetMode="External"/><Relationship Id="rId61" Type="http://schemas.openxmlformats.org/officeDocument/2006/relationships/hyperlink" Target="http://www.sec.gov/Archives/edgar/data/1443646/000119312517032421/d295747dex101.htm" TargetMode="External"/><Relationship Id="rId62" Type="http://schemas.openxmlformats.org/officeDocument/2006/relationships/hyperlink" Target="http://www.sec.gov/Archives/edgar/data/1443646/000119312518073520/d502770dex101.htm" TargetMode="External"/><Relationship Id="rId63" Type="http://schemas.openxmlformats.org/officeDocument/2006/relationships/hyperlink" Target="http://www.sec.gov/Archives/edgar/data/1443646/000119312518224147/d549733dex101.htm" TargetMode="External"/><Relationship Id="rId64" Type="http://schemas.openxmlformats.org/officeDocument/2006/relationships/hyperlink" Target="http://www.sec.gov/Archives/edgar/data/1443646/000119312517120098/d361130dex101.htm" TargetMode="External"/><Relationship Id="rId65" Type="http://schemas.openxmlformats.org/officeDocument/2006/relationships/hyperlink" Target="http://www.sec.gov/Archives/edgar/data/1443646/000119312517120098/d361130dex102.htm" TargetMode="External"/><Relationship Id="rId66" Type="http://schemas.openxmlformats.org/officeDocument/2006/relationships/hyperlink" Target="http://www.sec.gov/Archives/edgar/data/1443646/000119312517120098/d361130dex103.htm" TargetMode="External"/><Relationship Id="rId67" Type="http://schemas.openxmlformats.org/officeDocument/2006/relationships/hyperlink" Target="http://www.sec.gov/Archives/edgar/data/1443646/000119312517189227/d506847dex101.htm" TargetMode="External"/><Relationship Id="rId68" Type="http://schemas.openxmlformats.org/officeDocument/2006/relationships/hyperlink" Target="http://www.sec.gov/Archives/edgar/data/1443646/000119312517189227/d506847dex102.htm" TargetMode="External"/><Relationship Id="rId69" Type="http://schemas.openxmlformats.org/officeDocument/2006/relationships/hyperlink" Target="http://www.sec.gov/Archives/edgar/data/1443646/000119312517189227/d506847dex103.htm" TargetMode="External"/><Relationship Id="rId70" Type="http://schemas.openxmlformats.org/officeDocument/2006/relationships/hyperlink" Target="http://www.sec.gov/Archives/edgar/data/1443646/000119312518314673/d645060dex101.htm" TargetMode="External"/><Relationship Id="rId71" Type="http://schemas.openxmlformats.org/officeDocument/2006/relationships/hyperlink" Target="http://www.sec.gov/Archives/edgar/data/1443646/000119312518314673/d645060dex102.htm" TargetMode="External"/><Relationship Id="rId72" Type="http://schemas.openxmlformats.org/officeDocument/2006/relationships/hyperlink" Target="http://www.sec.gov/Archives/edgar/data/1443646/000119312517120098/d361130dex105.htm" TargetMode="External"/><Relationship Id="rId73" Type="http://schemas.openxmlformats.org/officeDocument/2006/relationships/hyperlink" Target="http://www.sec.gov/Archives/edgar/data/1443646/000119312519100694/d733342dex101.htm" TargetMode="External"/><Relationship Id="rId74" Type="http://schemas.openxmlformats.org/officeDocument/2006/relationships/hyperlink" Target="http://www.sec.gov/Archives/edgar/data/1443646/000119312517120098/d361130dex106.htm" TargetMode="External"/><Relationship Id="rId75" Type="http://schemas.openxmlformats.org/officeDocument/2006/relationships/hyperlink" Target="http://www.sec.gov/Archives/edgar/data/1443646/000119312517120098/d361130dex104.htm" TargetMode="External"/><Relationship Id="rId76" Type="http://schemas.openxmlformats.org/officeDocument/2006/relationships/hyperlink" Target="http://www.sec.gov/Archives/edgar/data/1443646/000119312517189227/d506847dex104.htm" TargetMode="External"/><Relationship Id="rId77" Type="http://schemas.openxmlformats.org/officeDocument/2006/relationships/hyperlink" Target="http://www.sec.gov/Archives/edgar/data/1443646/000119312517189227/d506847dex105.htm" TargetMode="External"/><Relationship Id="rId78" Type="http://schemas.openxmlformats.org/officeDocument/2006/relationships/hyperlink" Target="http://www.sec.gov/Archives/edgar/data/1443646/000119312517189227/d506847dex106.htm" TargetMode="External"/><Relationship Id="rId79" Type="http://schemas.openxmlformats.org/officeDocument/2006/relationships/hyperlink" Target="http://www.sec.gov/Archives/edgar/data/1443646/000119312518314673/d645060dex104.htm" TargetMode="External"/><Relationship Id="rId80" Type="http://schemas.openxmlformats.org/officeDocument/2006/relationships/hyperlink" Target="http://www.sec.gov/Archives/edgar/data/1443646/000119312518314673/d645060dex105.htm" TargetMode="External"/><Relationship Id="rId81" Type="http://schemas.openxmlformats.org/officeDocument/2006/relationships/hyperlink" Target="http://www.sec.gov/Archives/edgar/data/1443646/000119312518314673/d645060dex106.htm" TargetMode="External"/><Relationship Id="rId82" Type="http://schemas.openxmlformats.org/officeDocument/2006/relationships/hyperlink" Target="http://www.sec.gov/Archives/edgar/data/1443646/000119312519100694/d733342dex107.htm" TargetMode="External"/><Relationship Id="rId83" Type="http://schemas.openxmlformats.org/officeDocument/2006/relationships/hyperlink" Target="http://www.sec.gov/Archives/edgar/data/1443646/000119312519100694/d733342dex108.htm" TargetMode="External"/><Relationship Id="rId84" Type="http://schemas.openxmlformats.org/officeDocument/2006/relationships/hyperlink" Target="http://www.sec.gov/Archives/edgar/data/1443646/000119312519100694/d733342dex109.htm" TargetMode="External"/><Relationship Id="rId85" Type="http://schemas.openxmlformats.org/officeDocument/2006/relationships/hyperlink" Target="http://www.sec.gov/Archives/edgar/data/1443646/000119312519100694/d733342dex1010.htm" TargetMode="External"/><Relationship Id="rId86" Type="http://schemas.openxmlformats.org/officeDocument/2006/relationships/hyperlink" Target="http://www.sec.gov/Archives/edgar/data/1443646/000119312519100694/d733342dex1011.htm" TargetMode="External"/><Relationship Id="rId87" Type="http://schemas.openxmlformats.org/officeDocument/2006/relationships/hyperlink" Target="http://www.sec.gov/Archives/edgar/data/1443646/000119312519100694/d733342dex1012.htm" TargetMode="External"/><Relationship Id="rId88" Type="http://schemas.openxmlformats.org/officeDocument/2006/relationships/hyperlink" Target="http://www.sec.gov/Archives/edgar/data/1443646/000119312519100694/d733342dex1013.htm" TargetMode="External"/><Relationship Id="rId89" Type="http://schemas.openxmlformats.org/officeDocument/2006/relationships/hyperlink" Target="http://www.sec.gov/Archives/edgar/data/1443646/000119312519100694/d733342dex1014.htm" TargetMode="External"/><Relationship Id="rId90" Type="http://schemas.openxmlformats.org/officeDocument/2006/relationships/hyperlink" Target="http://www.sec.gov/Archives/edgar/data/1443646/000144364617000108/bah-20170630xex1010.htm" TargetMode="External"/><Relationship Id="rId91" Type="http://schemas.openxmlformats.org/officeDocument/2006/relationships/hyperlink" Target="http://www.sec.gov/Archives/edgar/data/1443646/000144364619000017/ex107-deferredcompensation.htm" TargetMode="External"/><Relationship Id="rId92" Type="http://schemas.openxmlformats.org/officeDocument/2006/relationships/hyperlink" Target="http://www.sec.gov/Archives/edgar/data/1443646/000144364617000050/bah-20170331xex1038.htm" TargetMode="External"/><Relationship Id="rId93" Type="http://schemas.openxmlformats.org/officeDocument/2006/relationships/hyperlink" Target="http://www.sec.gov/Archives/edgar/data/1443646/000144364618000100/bah-20180331xex1044.htm" TargetMode="External"/><Relationship Id="rId94" Type="http://schemas.openxmlformats.org/officeDocument/2006/relationships/hyperlink" Target="http://www.sec.gov/Archives/edgar/data/1443646/000144364618000100/bah-20180331xex10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2019-12-28T11:49:56Z</dcterms:created>
  <dcterms:modified xsi:type="dcterms:W3CDTF">2019-12-28T11:49:56Z</dcterms:modified>
</cp:coreProperties>
</file>