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715010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840" w:right="40" w:hanging="805"/>
        <w:spacing w:after="0" w:line="256" w:lineRule="auto"/>
        <w:tabs>
          <w:tab w:leader="none" w:pos="84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70" w:lineRule="exact"/>
        <w:rPr>
          <w:sz w:val="24"/>
          <w:szCs w:val="24"/>
          <w:color w:val="auto"/>
        </w:rPr>
      </w:pPr>
    </w:p>
    <w:p>
      <w:pPr>
        <w:ind w:left="840" w:right="38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360"/>
              <w:spacing w:after="0"/>
              <w:rPr>
                <w:sz w:val="20"/>
                <w:szCs w:val="20"/>
                <w:color w:val="auto"/>
              </w:rPr>
            </w:pPr>
            <w:r>
              <w:rPr>
                <w:rFonts w:ascii="Arial" w:cs="Arial" w:eastAsia="Arial" w:hAnsi="Arial"/>
                <w:sz w:val="18"/>
                <w:szCs w:val="18"/>
                <w:color w:val="auto"/>
              </w:rPr>
              <w:t>x</w:t>
            </w:r>
          </w:p>
        </w:tc>
        <w:tc>
          <w:tcPr>
            <w:tcW w:w="334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34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20"/>
          </w:cols>
          <w:pgMar w:left="240" w:top="113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4960" w:type="dxa"/>
            <w:vAlign w:val="bottom"/>
          </w:tcPr>
          <w:p>
            <w:pPr>
              <w:jc w:val="right"/>
              <w:ind w:right="41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100" w:type="dxa"/>
            <w:vAlign w:val="bottom"/>
          </w:tcPr>
          <w:p>
            <w:pPr>
              <w:spacing w:after="0"/>
              <w:rPr>
                <w:sz w:val="16"/>
                <w:szCs w:val="16"/>
                <w:color w:val="auto"/>
              </w:rPr>
            </w:pPr>
          </w:p>
        </w:tc>
        <w:tc>
          <w:tcPr>
            <w:tcW w:w="4960" w:type="dxa"/>
            <w:vAlign w:val="bottom"/>
          </w:tcPr>
          <w:p>
            <w:pPr>
              <w:jc w:val="right"/>
              <w:ind w:right="456"/>
              <w:spacing w:after="0"/>
              <w:rPr>
                <w:sz w:val="20"/>
                <w:szCs w:val="20"/>
                <w:color w:val="auto"/>
              </w:rPr>
            </w:pPr>
            <w:r>
              <w:rPr>
                <w:rFonts w:ascii="Arial" w:cs="Arial" w:eastAsia="Arial" w:hAnsi="Arial"/>
                <w:sz w:val="14"/>
                <w:szCs w:val="14"/>
                <w:b w:val="1"/>
                <w:bCs w:val="1"/>
                <w:color w:val="auto"/>
              </w:rPr>
              <w:t>as of July 25, 2018</w:t>
            </w:r>
          </w:p>
        </w:tc>
      </w:tr>
      <w:tr>
        <w:trPr>
          <w:trHeight w:val="256"/>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142,521,079</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96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96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60"/>
          </w:cols>
          <w:pgMar w:left="240" w:top="854"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26">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6">
              <w:r>
                <w:rPr>
                  <w:rFonts w:ascii="Arial" w:cs="Arial" w:eastAsia="Arial" w:hAnsi="Arial"/>
                  <w:sz w:val="18"/>
                  <w:szCs w:val="18"/>
                  <w:b w:val="1"/>
                  <w:bCs w:val="1"/>
                  <w:color w:val="0000EE"/>
                  <w:w w:val="79"/>
                </w:rPr>
                <w:t>23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45">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5">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Defaults Upon Senior Securities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46">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8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1,275,221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1,133,705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71,309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1,511,511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1,491,972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285,946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278,504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1,581,146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101,362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102,633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3,632,032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3,606,619</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63,100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63,100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557,559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240,335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125,358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1,022,557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1,028,767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1,755,479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261,241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259,882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3,024,551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3,044,128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158,794,015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88"/>
              </w:rPr>
              <w:t>June 30, 2018 and 158,028,673 shares at March 31, 2018; outstanding, 143,121,936 shares at June 30, 2018</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and 143,446,539 shares at March 31, 2018</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4"/>
              </w:rPr>
              <w:t>Treasury stock, at cost — 15,672,079 shares at June 30, 2018 and 14,582,134 shares at March 31, 2018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(461,457)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360,915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346,958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(15,106)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562,491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3,632,032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3,606,619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2"/>
              </w:rPr>
              <w:t>June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1,646,848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1,523,010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785,812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735,793</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477,435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451,664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205,836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193,439</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16,153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15,449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1,485,236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1,396,345</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161,612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126,665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137,367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106,777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33,163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36,165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104,204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70,612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500" w:type="dxa"/>
            <w:vAlign w:val="bottom"/>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985" w:right="319" w:bottom="1440" w:gutter="0" w:footer="0" w:header="0"/>
        </w:sectPr>
      </w:pPr>
    </w:p>
    <w:bookmarkStart w:id="5" w:name="page6"/>
    <w:bookmarkEnd w:id="5"/>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13335</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8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104,204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70,612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gain (loss) on derivatives designated as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106,531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70,465</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202"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104,204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(111,698)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44,870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equipment, and software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(175,788)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373,291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 on contingent liabilities from acquisition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286,958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217,417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23,938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repurchases transacted but not settled and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8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8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80" w:right="2180" w:firstLine="11"/>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24,600 employees as of June 30,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2018.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three months ended June 30, 2018 are not necessarily indicative of results to be expected for the full fiscal year.</w:t>
      </w:r>
    </w:p>
    <w:p>
      <w:pPr>
        <w:spacing w:after="0" w:line="7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Effective April 1, 2018, the Company adopted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and Accounting Standard Updates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on a fully retrospective method for all amounts and percentages presented and disclosures set forth in this Form 10-Q.</w:t>
      </w:r>
    </w:p>
    <w:p>
      <w:pPr>
        <w:spacing w:after="0" w:line="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including the accrual of indirect costs,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right="100" w:firstLine="405"/>
        <w:spacing w:after="0" w:line="279" w:lineRule="auto"/>
        <w:rPr>
          <w:sz w:val="20"/>
          <w:szCs w:val="20"/>
          <w:color w:val="auto"/>
        </w:rPr>
      </w:pPr>
      <w:r>
        <w:rPr>
          <w:rFonts w:ascii="Arial" w:cs="Arial" w:eastAsia="Arial" w:hAnsi="Arial"/>
          <w:sz w:val="17"/>
          <w:szCs w:val="17"/>
          <w:color w:val="auto"/>
        </w:rPr>
        <w:t xml:space="preserve">The Company has accounted for the tax effects of the Tax Cuts and Jobs Act, or the 2017 Tax Act, under the guidance of Staff Accounting Bulletin No. 118,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or SAB 118, on a provisional basis as of the fourth quarter of fiscal 2018. During the three months ended June 30, 2018, the Company continued its assessment of the 2017 Tax Act, however, the Company did not recognize any changes to the provisional amounts recorded in the Company's Annual Report on Form 10-K for the year ended March 31, 2018.</w:t>
      </w:r>
    </w:p>
    <w:p>
      <w:pPr>
        <w:spacing w:after="0" w:line="63"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 xml:space="preserve">In May 2014, the Financial Accounting Standards Board, or FASB, issued Accounting Standard Codification No.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 Topic 606, as amended, replaced existing revenue recognition standards by outlining a single set of comprehensive principles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revenue. The revenue standard also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2" w:right="239" w:bottom="1440" w:gutter="0" w:footer="0" w:header="0"/>
        </w:sectPr>
      </w:pPr>
    </w:p>
    <w:bookmarkStart w:id="8" w:name="page9"/>
    <w:bookmarkEnd w:id="8"/>
    <w:p>
      <w:pPr>
        <w:ind w:right="580"/>
        <w:spacing w:after="0" w:line="277" w:lineRule="auto"/>
        <w:rPr>
          <w:sz w:val="20"/>
          <w:szCs w:val="20"/>
          <w:color w:val="auto"/>
        </w:rPr>
      </w:pPr>
      <w:r>
        <w:rPr>
          <w:rFonts w:ascii="Arial" w:cs="Arial" w:eastAsia="Arial" w:hAnsi="Arial"/>
          <w:sz w:val="18"/>
          <w:szCs w:val="18"/>
          <w:color w:val="auto"/>
        </w:rPr>
        <w:t>significantly expanded the disclosure requirements for revenue arrangements. Amendments to Topic 606 have generally focused on promoting a more consistent interpretation and application of the principles for recognizing revenue.</w:t>
      </w:r>
    </w:p>
    <w:p>
      <w:pPr>
        <w:spacing w:after="0" w:line="6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Topic 606 was effective for the Company beginning on April 1, 2018 (i.e., beginning with the first quarter fiscal 2019 interim financial statements). The Company adopted the new revenue standard using the full retrospective transition method, which requires that it be applied to each prior reporting period presented and that the cumulative effect of applying the standard be recognized at the earliest period presented (i.e., April 1, 2016, the beginning of the first quarter of fiscal 2017). During fiscal 2018, the Company completed its assessment of the cumulative effect of adopting Topic 606 and assessed the impact to be immaterial as of the date of adoption. The cumulative impact on our retained earnings for the earliest period presented of April 1, 2016 was an increase of $2.9 million. Thereafter, the adoption of Topic 606 increased our fiscal 2017 retained earnings by $8.4 million and decreased our fiscal 2018 retained earnings by $3.4 million, resulting in a cumulative impact on our retained earnings of $7.9 million as of April 1, 2018. The impact of Topic 606 on fiscal 2017 and 2018 results may not be representative of the impact on subsequent years’ results.</w:t>
      </w:r>
    </w:p>
    <w:p>
      <w:pPr>
        <w:spacing w:after="0" w:line="71"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For more information on the notable impacts of the adoption of Topic 606 on the Company's accounting policies, practices, estimates, and significant judgments, refer to the Company's Annual Report on Form 10-K for the year ended March 31, 2018 and Note 3, Revenue Recognition.</w:t>
      </w:r>
    </w:p>
    <w:p>
      <w:pPr>
        <w:spacing w:after="0" w:line="38"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The Company also retrospectively adopted ASU 2017-07, which changed the presentation of net periodic benefit cost components on the condensed consolidated statement of operations. Under this guidance, the service cost component of net periodic benefit cost continues to be presented consistent with other employee compensation costs and within operating income, while the remaining components of net periodic benefit costs are excluded from operating income. As a result, $1.9 million of net periodic benefit costs related to non-service components were reclassified to Other income (expense), net in the condensed consolidated statement of operations in the first quarter of fiscal 2018.</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previously issued condensed consolidated financial statements have been adjusted for the retrospective adoption of both Topic 606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2017-07, as summarized in the following table:</w:t>
      </w:r>
    </w:p>
    <w:p>
      <w:pPr>
        <w:spacing w:after="0" w:line="261" w:lineRule="exact"/>
        <w:rPr>
          <w:sz w:val="20"/>
          <w:szCs w:val="20"/>
          <w:color w:val="auto"/>
        </w:rPr>
      </w:pPr>
    </w:p>
    <w:p>
      <w:pPr>
        <w:jc w:val="center"/>
        <w:ind w:left="2940"/>
        <w:spacing w:after="0"/>
        <w:rPr>
          <w:sz w:val="20"/>
          <w:szCs w:val="20"/>
          <w:color w:val="auto"/>
        </w:rPr>
      </w:pPr>
      <w:r>
        <w:rPr>
          <w:rFonts w:ascii="Arial" w:cs="Arial" w:eastAsia="Arial" w:hAnsi="Arial"/>
          <w:sz w:val="18"/>
          <w:szCs w:val="18"/>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380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61" w:lineRule="exact"/>
        <w:rPr>
          <w:sz w:val="20"/>
          <w:szCs w:val="20"/>
          <w:color w:val="auto"/>
        </w:rPr>
      </w:pPr>
    </w:p>
    <w:p>
      <w:pPr>
        <w:jc w:val="center"/>
        <w:ind w:left="2940"/>
        <w:spacing w:after="0"/>
        <w:rPr>
          <w:sz w:val="20"/>
          <w:szCs w:val="20"/>
          <w:color w:val="auto"/>
        </w:rPr>
      </w:pPr>
      <w:r>
        <w:rPr>
          <w:rFonts w:ascii="Arial" w:cs="Arial" w:eastAsia="Arial" w:hAnsi="Arial"/>
          <w:sz w:val="18"/>
          <w:szCs w:val="18"/>
          <w:color w:val="auto"/>
        </w:rPr>
        <w:t>Effect of Adoption</w:t>
      </w:r>
    </w:p>
    <w:p>
      <w:pPr>
        <w:spacing w:after="0" w:line="30" w:lineRule="exact"/>
        <w:rPr>
          <w:sz w:val="20"/>
          <w:szCs w:val="20"/>
          <w:color w:val="auto"/>
        </w:rPr>
      </w:pPr>
    </w:p>
    <w:tbl>
      <w:tblPr>
        <w:tblLayout w:type="fixed"/>
        <w:tblInd w:w="1260" w:type="dxa"/>
        <w:tblCellMar>
          <w:top w:w="0" w:type="dxa"/>
          <w:left w:w="0" w:type="dxa"/>
          <w:bottom w:w="0" w:type="dxa"/>
          <w:right w:w="0" w:type="dxa"/>
        </w:tblCellMar>
      </w:tblPr>
      <w:tr>
        <w:trPr>
          <w:trHeight w:val="284"/>
        </w:trPr>
        <w:tc>
          <w:tcPr>
            <w:tcW w:w="29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As Reported</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Topic 606</w:t>
            </w: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ASU 2017-07</w:t>
            </w: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As Adjusted</w:t>
            </w: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1,493,570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1,523,010</w:t>
            </w:r>
          </w:p>
        </w:tc>
      </w:tr>
      <w:tr>
        <w:trPr>
          <w:trHeight w:val="27"/>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126,665</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106,777</w:t>
            </w:r>
          </w:p>
        </w:tc>
      </w:tr>
      <w:tr>
        <w:trPr>
          <w:trHeight w:val="27"/>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70,612</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w w:val="95"/>
              </w:rPr>
              <w:t>Earnings per common share (Note 4):</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0.47</w:t>
            </w: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guidance eliminates the requirement to separately measure and report hedge ineffectiveness and generally requires, for qualifying hedges, the entire change in the fair value of a hedging instrument to be presented in the same income statement line as the hedged item. Additionally, the guidance also expands an entity's ability to apply hedge accounting for nonfinancial and financial risk components, simplifies the hedge documentation and hedge effectiveness assessment requirements, and modifies certain disclosure requirements. ASU 2017-12 is effective for reporting periods beginning after December 15, 2018, with early adoption permitted. The Company does not expect the adoption of this standard to have a material impact on its consolidated financial statements.</w:t>
      </w:r>
    </w:p>
    <w:p>
      <w:pPr>
        <w:spacing w:after="0" w:line="5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to increase transparency and comparability of accounting for lease transactions. The new leasing standard requires lessees to recognize lease assets and lease liabilities on their balance sheet for all leases with a lease term of greater than 12 months. Lessor accounting is largely unchanged. Topic 842 is effective for fiscal years beginning after December 15, 2018, with early adoption permitted. The new leasing standard currently requires the application of a modified retrospective approach to the beginning of the earliest period presented in the financial statements. In January 2018, the FASB issued an exposure draft of the proposed ASU, Leases (Topic 842): </w:t>
      </w:r>
      <w:r>
        <w:rPr>
          <w:rFonts w:ascii="Arial" w:cs="Arial" w:eastAsia="Arial" w:hAnsi="Arial"/>
          <w:sz w:val="17"/>
          <w:szCs w:val="17"/>
          <w:i w:val="1"/>
          <w:iCs w:val="1"/>
          <w:color w:val="auto"/>
        </w:rPr>
        <w:t>Targeted Improvements</w:t>
      </w:r>
      <w:r>
        <w:rPr>
          <w:rFonts w:ascii="Arial" w:cs="Arial" w:eastAsia="Arial" w:hAnsi="Arial"/>
          <w:sz w:val="17"/>
          <w:szCs w:val="17"/>
          <w:color w:val="auto"/>
        </w:rPr>
        <w:t>. The proposed ASU provides an alternative transition method of adoption, permitting the recognition of a cumulative-effect adjustment to retained earnings on the date of adoption. The Company intends to adopt the standard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54" w:right="2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on the effective date and we will make a transition decision following a decision by the FASB on whether it will approve an alternative transition method.</w:t>
      </w:r>
    </w:p>
    <w:p>
      <w:pPr>
        <w:spacing w:after="0" w:line="1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dedicated implementation team has been established that continues to make progress toward completing the evaluation of the impact of the new standard. The Company is currently evaluating its population of leased assets to assess the impact of Topic 842 on its lease portfolio, and designing and implementing new processes and controls. Until this effort is completed, the Company cannot determine the effect of Topic 842 on our consolidated financial statements.</w:t>
      </w:r>
    </w:p>
    <w:p>
      <w:pPr>
        <w:spacing w:after="0" w:line="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Other accounting and reporting pronouncements issued after June 30, 2018 and through the filing date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time-and-materials contracts, and fixed-price contracts.</w:t>
      </w:r>
    </w:p>
    <w:p>
      <w:pPr>
        <w:spacing w:after="0" w:line="7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considers a contract with a customer to exist under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 certain transactions with commercial clients and with the U.S. government,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evaluates each service deliverable contracted with the customer to determine whether they represent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70"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Contracts with the U.S. government are subject to the Federal Acquisition Regulation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the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5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generally contain FAR provisions that enable the customer to terminate a contract for default or for the convenience of the U.S. government.</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includes both funded and unfunded portions of customer contracts in this estimation process.</w:t>
      </w:r>
    </w:p>
    <w:p>
      <w:pPr>
        <w:spacing w:after="0" w:line="6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 forward-pricing rates, will be recorded in the interim financial reporting period when such changes are identified. This change relates to the interim financial reporting period differences between the actual indirect cost incurred and allocated to customer contracts compared to the estimated amounts allocated to contracts using the estimated annual forward-pricing rates established with the U.S. government.</w:t>
      </w:r>
    </w:p>
    <w:p>
      <w:pPr>
        <w:spacing w:after="0" w:line="5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the right-to-invoice practical expedient discussed above, the Company applied certain other practical expedients permitted by Topic 606, which include: a) using the portfolio approach where contracts with similar characteristics were assessed collectively to evaluate risk of being impacted by the adoption of Topic 606; b) applying the practical expedient allowing the Company to not restate completed contracts which began and ended in the same fiscal year prior to the date of the initial adoption; and c) electing to omit the disclosure related to remaining performance obligations for reporting periods presented before the date of the initial adoption.</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the three-month periods ended June 30, 2018 and 2017, respectively, the aggregate impact of adjustments in contract estimates was not material.</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54" w:right="239" w:bottom="1440" w:gutter="0" w:footer="0" w:header="0"/>
        </w:sectPr>
      </w:pPr>
    </w:p>
    <w:bookmarkStart w:id="11" w:name="page12"/>
    <w:bookmarkEnd w:id="11"/>
    <w:p>
      <w:pPr>
        <w:ind w:right="220" w:firstLine="405"/>
        <w:spacing w:after="0" w:line="264" w:lineRule="auto"/>
        <w:rPr>
          <w:sz w:val="20"/>
          <w:szCs w:val="20"/>
          <w:color w:val="auto"/>
        </w:rPr>
      </w:pPr>
      <w:r>
        <w:rPr>
          <w:rFonts w:ascii="Arial" w:cs="Arial" w:eastAsia="Arial" w:hAnsi="Arial"/>
          <w:sz w:val="18"/>
          <w:szCs w:val="18"/>
          <w:color w:val="auto"/>
        </w:rPr>
        <w:t>As of June 30, 2018, the Company had $6.0 billion of remaining performance obligations and we expect to recognize more than half of the remaining performance obligations as revenue over the next 12 months, and approximately three quarters over the next 24 months. The remainder is expected to be recognized thereafter.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940" w:hanging="655"/>
        <w:spacing w:after="0" w:line="342"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380" w:hanging="655"/>
        <w:spacing w:after="0" w:line="259"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8" w:lineRule="exact"/>
        <w:rPr>
          <w:rFonts w:ascii="Arial" w:cs="Arial" w:eastAsia="Arial" w:hAnsi="Arial"/>
          <w:sz w:val="18"/>
          <w:szCs w:val="18"/>
          <w:color w:val="auto"/>
        </w:rPr>
      </w:pPr>
    </w:p>
    <w:p>
      <w:pPr>
        <w:ind w:left="1960" w:right="220" w:hanging="655"/>
        <w:spacing w:after="0" w:line="264"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63"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13335</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7" w:lineRule="exact"/>
        <w:rPr>
          <w:sz w:val="20"/>
          <w:szCs w:val="20"/>
          <w:color w:val="auto"/>
        </w:rPr>
      </w:pPr>
    </w:p>
    <w:tbl>
      <w:tblPr>
        <w:tblLayout w:type="fixed"/>
        <w:tblInd w:w="2000" w:type="dxa"/>
        <w:tblCellMar>
          <w:top w:w="0" w:type="dxa"/>
          <w:left w:w="0" w:type="dxa"/>
          <w:bottom w:w="0" w:type="dxa"/>
          <w:right w:w="0" w:type="dxa"/>
        </w:tblCellMar>
      </w:tblPr>
      <w:tr>
        <w:trPr>
          <w:trHeight w:val="192"/>
        </w:trPr>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859,884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770,095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240" w:type="dxa"/>
            <w:vAlign w:val="bottom"/>
          </w:tcPr>
          <w:p>
            <w:pPr>
              <w:spacing w:after="0"/>
              <w:rPr>
                <w:sz w:val="21"/>
                <w:szCs w:val="21"/>
                <w:color w:val="auto"/>
              </w:rPr>
            </w:pPr>
          </w:p>
        </w:tc>
        <w:tc>
          <w:tcPr>
            <w:tcW w:w="1360" w:type="dxa"/>
            <w:vAlign w:val="bottom"/>
          </w:tcPr>
          <w:p>
            <w:pPr>
              <w:jc w:val="right"/>
              <w:ind w:right="434"/>
              <w:spacing w:after="0"/>
              <w:rPr>
                <w:sz w:val="20"/>
                <w:szCs w:val="20"/>
                <w:color w:val="auto"/>
              </w:rPr>
            </w:pPr>
            <w:r>
              <w:rPr>
                <w:rFonts w:ascii="Arial" w:cs="Arial" w:eastAsia="Arial" w:hAnsi="Arial"/>
                <w:sz w:val="18"/>
                <w:szCs w:val="18"/>
                <w:color w:val="auto"/>
              </w:rPr>
              <w:t>405,584</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434"/>
              <w:spacing w:after="0"/>
              <w:rPr>
                <w:sz w:val="20"/>
                <w:szCs w:val="20"/>
                <w:color w:val="auto"/>
              </w:rPr>
            </w:pPr>
            <w:r>
              <w:rPr>
                <w:rFonts w:ascii="Arial" w:cs="Arial" w:eastAsia="Arial" w:hAnsi="Arial"/>
                <w:sz w:val="18"/>
                <w:szCs w:val="18"/>
                <w:color w:val="auto"/>
              </w:rPr>
              <w:t>382,227</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381,380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370,688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2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color w:val="auto"/>
              </w:rPr>
              <w:t>1,646,848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color w:val="auto"/>
              </w:rPr>
              <w:t>1,523,010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Customer Type:</w:t>
      </w:r>
    </w:p>
    <w:p>
      <w:pPr>
        <w:spacing w:after="0" w:line="325"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13335</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7" w:lineRule="exact"/>
        <w:rPr>
          <w:sz w:val="20"/>
          <w:szCs w:val="20"/>
          <w:color w:val="auto"/>
        </w:rPr>
      </w:pPr>
    </w:p>
    <w:tbl>
      <w:tblPr>
        <w:tblLayout w:type="fixed"/>
        <w:tblInd w:w="2000" w:type="dxa"/>
        <w:tblCellMar>
          <w:top w:w="0" w:type="dxa"/>
          <w:left w:w="0" w:type="dxa"/>
          <w:bottom w:w="0" w:type="dxa"/>
          <w:right w:w="0" w:type="dxa"/>
        </w:tblCellMar>
      </w:tblPr>
      <w:tr>
        <w:trPr>
          <w:trHeight w:val="192"/>
        </w:trPr>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160"/>
              <w:spacing w:after="0"/>
              <w:rPr>
                <w:sz w:val="20"/>
                <w:szCs w:val="20"/>
                <w:color w:val="auto"/>
              </w:rPr>
            </w:pPr>
            <w:r>
              <w:rPr>
                <w:rFonts w:ascii="Arial" w:cs="Arial" w:eastAsia="Arial" w:hAnsi="Arial"/>
                <w:sz w:val="18"/>
                <w:szCs w:val="18"/>
                <w:color w:val="auto"/>
              </w:rPr>
              <w:t>Defense Clients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13"/>
              <w:spacing w:after="0"/>
              <w:rPr>
                <w:sz w:val="20"/>
                <w:szCs w:val="20"/>
                <w:color w:val="auto"/>
              </w:rPr>
            </w:pPr>
            <w:r>
              <w:rPr>
                <w:rFonts w:ascii="Arial" w:cs="Arial" w:eastAsia="Arial" w:hAnsi="Arial"/>
                <w:sz w:val="18"/>
                <w:szCs w:val="18"/>
                <w:color w:val="auto"/>
              </w:rPr>
              <w:t>757,982</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33"/>
              <w:spacing w:after="0"/>
              <w:rPr>
                <w:sz w:val="20"/>
                <w:szCs w:val="20"/>
                <w:color w:val="auto"/>
              </w:rPr>
            </w:pPr>
            <w:r>
              <w:rPr>
                <w:rFonts w:ascii="Arial" w:cs="Arial" w:eastAsia="Arial" w:hAnsi="Arial"/>
                <w:sz w:val="18"/>
                <w:szCs w:val="18"/>
                <w:color w:val="auto"/>
              </w:rPr>
              <w:t>711,739</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Intelligence Clients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397,480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368,469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2640" w:type="dxa"/>
            <w:vAlign w:val="bottom"/>
          </w:tcPr>
          <w:p>
            <w:pPr>
              <w:ind w:left="160"/>
              <w:spacing w:after="0"/>
              <w:rPr>
                <w:sz w:val="20"/>
                <w:szCs w:val="20"/>
                <w:color w:val="auto"/>
              </w:rPr>
            </w:pPr>
            <w:r>
              <w:rPr>
                <w:rFonts w:ascii="Arial" w:cs="Arial" w:eastAsia="Arial" w:hAnsi="Arial"/>
                <w:sz w:val="18"/>
                <w:szCs w:val="18"/>
                <w:color w:val="auto"/>
              </w:rPr>
              <w:t>Civil Clients</w:t>
            </w:r>
          </w:p>
        </w:tc>
        <w:tc>
          <w:tcPr>
            <w:tcW w:w="240" w:type="dxa"/>
            <w:vAlign w:val="bottom"/>
          </w:tcPr>
          <w:p>
            <w:pPr>
              <w:spacing w:after="0"/>
              <w:rPr>
                <w:sz w:val="21"/>
                <w:szCs w:val="21"/>
                <w:color w:val="auto"/>
              </w:rPr>
            </w:pPr>
          </w:p>
        </w:tc>
        <w:tc>
          <w:tcPr>
            <w:tcW w:w="1360" w:type="dxa"/>
            <w:vAlign w:val="bottom"/>
          </w:tcPr>
          <w:p>
            <w:pPr>
              <w:jc w:val="right"/>
              <w:ind w:right="413"/>
              <w:spacing w:after="0"/>
              <w:rPr>
                <w:sz w:val="20"/>
                <w:szCs w:val="20"/>
                <w:color w:val="auto"/>
              </w:rPr>
            </w:pPr>
            <w:r>
              <w:rPr>
                <w:rFonts w:ascii="Arial" w:cs="Arial" w:eastAsia="Arial" w:hAnsi="Arial"/>
                <w:sz w:val="18"/>
                <w:szCs w:val="18"/>
                <w:color w:val="auto"/>
              </w:rPr>
              <w:t>435,526</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color w:val="auto"/>
              </w:rPr>
              <w:t>405,284</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government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1,590,988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1,485,492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Global Commercial Clients</w:t>
            </w:r>
          </w:p>
        </w:tc>
        <w:tc>
          <w:tcPr>
            <w:tcW w:w="240" w:type="dxa"/>
            <w:vAlign w:val="bottom"/>
          </w:tcPr>
          <w:p>
            <w:pPr>
              <w:spacing w:after="0"/>
              <w:rPr>
                <w:sz w:val="21"/>
                <w:szCs w:val="21"/>
                <w:color w:val="auto"/>
              </w:rPr>
            </w:pPr>
          </w:p>
        </w:tc>
        <w:tc>
          <w:tcPr>
            <w:tcW w:w="1360" w:type="dxa"/>
            <w:vAlign w:val="bottom"/>
          </w:tcPr>
          <w:p>
            <w:pPr>
              <w:jc w:val="right"/>
              <w:ind w:right="413"/>
              <w:spacing w:after="0"/>
              <w:rPr>
                <w:sz w:val="20"/>
                <w:szCs w:val="20"/>
                <w:color w:val="auto"/>
              </w:rPr>
            </w:pPr>
            <w:r>
              <w:rPr>
                <w:rFonts w:ascii="Arial" w:cs="Arial" w:eastAsia="Arial" w:hAnsi="Arial"/>
                <w:sz w:val="18"/>
                <w:szCs w:val="18"/>
                <w:color w:val="auto"/>
              </w:rPr>
              <w:t>55,860</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color w:val="auto"/>
              </w:rPr>
              <w:t>37,518</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1,646,848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1,523,010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163"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13335</wp:posOffset>
            </wp:positionV>
            <wp:extent cx="3044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7" w:lineRule="exact"/>
        <w:rPr>
          <w:sz w:val="20"/>
          <w:szCs w:val="20"/>
          <w:color w:val="auto"/>
        </w:rPr>
      </w:pPr>
    </w:p>
    <w:tbl>
      <w:tblPr>
        <w:tblLayout w:type="fixed"/>
        <w:tblInd w:w="2000" w:type="dxa"/>
        <w:tblCellMar>
          <w:top w:w="0" w:type="dxa"/>
          <w:left w:w="0" w:type="dxa"/>
          <w:bottom w:w="0" w:type="dxa"/>
          <w:right w:w="0" w:type="dxa"/>
        </w:tblCellMar>
      </w:tblPr>
      <w:tr>
        <w:trPr>
          <w:trHeight w:val="192"/>
        </w:trPr>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1,507,182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1,388,039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240" w:type="dxa"/>
            <w:vAlign w:val="bottom"/>
          </w:tcPr>
          <w:p>
            <w:pPr>
              <w:spacing w:after="0"/>
              <w:rPr>
                <w:sz w:val="21"/>
                <w:szCs w:val="21"/>
                <w:color w:val="auto"/>
              </w:rPr>
            </w:pPr>
          </w:p>
        </w:tc>
        <w:tc>
          <w:tcPr>
            <w:tcW w:w="1360" w:type="dxa"/>
            <w:vAlign w:val="bottom"/>
          </w:tcPr>
          <w:p>
            <w:pPr>
              <w:jc w:val="right"/>
              <w:ind w:right="414"/>
              <w:spacing w:after="0"/>
              <w:rPr>
                <w:sz w:val="20"/>
                <w:szCs w:val="20"/>
                <w:color w:val="auto"/>
              </w:rPr>
            </w:pPr>
            <w:r>
              <w:rPr>
                <w:rFonts w:ascii="Arial" w:cs="Arial" w:eastAsia="Arial" w:hAnsi="Arial"/>
                <w:sz w:val="18"/>
                <w:szCs w:val="18"/>
                <w:color w:val="auto"/>
              </w:rPr>
              <w:t>139,666</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434"/>
              <w:spacing w:after="0"/>
              <w:rPr>
                <w:sz w:val="20"/>
                <w:szCs w:val="20"/>
                <w:color w:val="auto"/>
              </w:rPr>
            </w:pPr>
            <w:r>
              <w:rPr>
                <w:rFonts w:ascii="Arial" w:cs="Arial" w:eastAsia="Arial" w:hAnsi="Arial"/>
                <w:sz w:val="18"/>
                <w:szCs w:val="18"/>
                <w:color w:val="auto"/>
              </w:rPr>
              <w:t>134,971</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1,646,848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1,523,010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394"/>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854"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Topic 606.</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condensed consolidated balance sheets:</w:t>
      </w:r>
    </w:p>
    <w:p>
      <w:pPr>
        <w:spacing w:after="0" w:line="2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777,885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738,646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59,883</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59,633</w:t>
            </w: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837,768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798,279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2"/>
              </w:rPr>
              <w:t>Advance payments, billings in excess of costs incurred and deferred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27,522</w:t>
            </w:r>
          </w:p>
        </w:tc>
      </w:tr>
    </w:tbl>
    <w:p>
      <w:pPr>
        <w:spacing w:after="0" w:line="121"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Changes in contract assets and contract liabilities are primarily due to the timing difference between the Company’s performance of services and payments from customers. In the first quarters of fiscal 2019 and 2018, we recognized revenue of $18.8 million and $11.3 million related to our contract liabilities on April 1, 2018 and 2017,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quarter of fiscal 2019 and 2018.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3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1869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ectPr>
          <w:pgSz w:w="11900" w:h="16838" w:orient="portrait"/>
          <w:cols w:equalWidth="0" w:num="1">
            <w:col w:w="11340"/>
          </w:cols>
          <w:pgMar w:left="240" w:top="854" w:right="319" w:bottom="1440" w:gutter="0" w:footer="0" w:header="0"/>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for basic computations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93801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Weighted-average common shares outstanding for basic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93801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for diluted computations (1)</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Dilutive stock options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3801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Weighted-average common shares outstanding for diluted computations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common share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103,572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70,093</w:t>
            </w:r>
          </w:p>
        </w:tc>
      </w:tr>
      <w:tr>
        <w:trPr>
          <w:trHeight w:val="270"/>
        </w:trPr>
        <w:tc>
          <w:tcPr>
            <w:tcW w:w="2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143,273,387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147,714,993</w:t>
            </w:r>
          </w:p>
        </w:tc>
      </w:tr>
      <w:tr>
        <w:trPr>
          <w:trHeight w:val="27"/>
        </w:trPr>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103,576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70,098</w:t>
            </w:r>
          </w:p>
        </w:tc>
      </w:tr>
      <w:tr>
        <w:trPr>
          <w:trHeight w:val="270"/>
        </w:trPr>
        <w:tc>
          <w:tcPr>
            <w:tcW w:w="2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1,420,186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2,153,280</w:t>
            </w:r>
          </w:p>
        </w:tc>
      </w:tr>
      <w:tr>
        <w:trPr>
          <w:trHeight w:val="27"/>
        </w:trPr>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144,693,573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149,868,273</w:t>
            </w:r>
          </w:p>
        </w:tc>
      </w:tr>
      <w:tr>
        <w:trPr>
          <w:trHeight w:val="27"/>
        </w:trPr>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70" w:lineRule="exact"/>
        <w:rPr>
          <w:sz w:val="20"/>
          <w:szCs w:val="20"/>
          <w:color w:val="auto"/>
        </w:rPr>
      </w:pPr>
    </w:p>
    <w:p>
      <w:pPr>
        <w:sectPr>
          <w:pgSz w:w="11900" w:h="16838" w:orient="portrait"/>
          <w:cols w:equalWidth="0" w:num="2">
            <w:col w:w="7260" w:space="720"/>
            <w:col w:w="3360"/>
          </w:cols>
          <w:pgMar w:left="240" w:top="854" w:right="31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560" w:hanging="332"/>
        <w:spacing w:after="0" w:line="277" w:lineRule="auto"/>
        <w:tabs>
          <w:tab w:leader="none" w:pos="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three months ended June 30, 2018 and 2017, approximately 0.9 million and 1.1 million participating securities, respectively, were paid dividends totaling $0.2 million and $0.2 million, respectively. For the three months ended June 30,</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854" w:right="319" w:bottom="1440" w:gutter="0" w:footer="0" w:header="0"/>
          <w:type w:val="continuous"/>
        </w:sectPr>
      </w:pPr>
    </w:p>
    <w:bookmarkStart w:id="13" w:name="page14"/>
    <w:bookmarkEnd w:id="13"/>
    <w:p>
      <w:pPr>
        <w:ind w:left="340" w:right="200"/>
        <w:spacing w:after="0" w:line="312" w:lineRule="auto"/>
        <w:rPr>
          <w:sz w:val="20"/>
          <w:szCs w:val="20"/>
          <w:color w:val="auto"/>
        </w:rPr>
      </w:pPr>
      <w:r>
        <w:rPr>
          <w:rFonts w:ascii="Arial" w:cs="Arial" w:eastAsia="Arial" w:hAnsi="Arial"/>
          <w:sz w:val="16"/>
          <w:szCs w:val="16"/>
          <w:color w:val="auto"/>
        </w:rPr>
        <w:t>2018 and 2017, there were undistributed earnings of $0.5 million and $0.3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months ended June 30, 2018 and 2017.</w:t>
      </w:r>
    </w:p>
    <w:p>
      <w:pPr>
        <w:spacing w:after="0" w:line="25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EPS calculation for the three months ended June 30, 2018 and 2017 excludes 0.1 million and 0.2 million options, respectively, as their impact was anti-dilutive.</w:t>
      </w:r>
    </w:p>
    <w:p>
      <w:pPr>
        <w:spacing w:after="0" w:line="275" w:lineRule="exact"/>
        <w:rPr>
          <w:sz w:val="20"/>
          <w:szCs w:val="20"/>
          <w:color w:val="auto"/>
        </w:rPr>
      </w:pPr>
    </w:p>
    <w:p>
      <w:pPr>
        <w:ind w:left="420" w:right="6280" w:hanging="412"/>
        <w:spacing w:after="0" w:line="445" w:lineRule="auto"/>
        <w:tabs>
          <w:tab w:leader="none" w:pos="19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497,450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395,136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777,885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738,646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1,275,221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1,133,705</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59,633</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1,335,104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1,193,338</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Unbilled amounts represent revenues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(benefit) provision for doubtful accounts (including certain unbilled reserves) of $0.04 million and $0.8 million for the three months ended June 30, 2018 and 2017, respectively.</w:t>
      </w:r>
    </w:p>
    <w:p>
      <w:pPr>
        <w:spacing w:after="0" w:line="6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9" w:lineRule="exact"/>
        <w:rPr>
          <w:sz w:val="20"/>
          <w:szCs w:val="20"/>
          <w:color w:val="auto"/>
        </w:rPr>
      </w:pPr>
    </w:p>
    <w:p>
      <w:pPr>
        <w:ind w:left="440" w:right="5680" w:hanging="432"/>
        <w:spacing w:after="0" w:line="428" w:lineRule="auto"/>
        <w:tabs>
          <w:tab w:leader="none" w:pos="18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339,993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260,537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217,566</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581,246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557,559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5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51,065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35,743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131,519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28,395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27,671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240,335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DEBT</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Debt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Interest</w:t>
            </w:r>
          </w:p>
        </w:tc>
        <w:tc>
          <w:tcPr>
            <w:tcW w:w="1480" w:type="dxa"/>
            <w:vAlign w:val="bottom"/>
            <w:gridSpan w:val="3"/>
          </w:tcPr>
          <w:p>
            <w:pPr>
              <w:jc w:val="right"/>
              <w:ind w:right="350"/>
              <w:spacing w:after="0" w:line="153" w:lineRule="exact"/>
              <w:rPr>
                <w:sz w:val="20"/>
                <w:szCs w:val="20"/>
                <w:color w:val="auto"/>
              </w:rPr>
            </w:pPr>
            <w:r>
              <w:rPr>
                <w:rFonts w:ascii="Arial" w:cs="Arial" w:eastAsia="Arial" w:hAnsi="Arial"/>
                <w:sz w:val="14"/>
                <w:szCs w:val="14"/>
                <w:b w:val="1"/>
                <w:bCs w:val="1"/>
                <w:color w:val="auto"/>
              </w:rPr>
              <w:t>Outstanding</w:t>
            </w:r>
          </w:p>
        </w:tc>
        <w:tc>
          <w:tcPr>
            <w:tcW w:w="142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400" w:type="dxa"/>
            <w:vAlign w:val="bottom"/>
          </w:tcPr>
          <w:p>
            <w:pPr>
              <w:spacing w:after="0"/>
              <w:rPr>
                <w:sz w:val="16"/>
                <w:szCs w:val="16"/>
                <w:color w:val="auto"/>
              </w:rPr>
            </w:pPr>
          </w:p>
        </w:tc>
        <w:tc>
          <w:tcPr>
            <w:tcW w:w="108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w w:val="96"/>
              </w:rPr>
              <w:t>Balance</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394,013</w:t>
            </w: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(19,648)</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1,803,853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1,818,579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(63,100)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1,740,753</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 and Revolving Credit Facility</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March 7, 2018, Booz Allen Hamilton Inc. ("Booz Allen Hamilton") and Booz Allen Hamilton Investor Corporation ("Investor"), and certain wholly-owned subsidiaries of Booz Allen Hamilton, entered into the Fifth Amendment (the "Fifth Amendment") to the Credit Agreement (as amended, the "Credit Agreement"), dated as of July 31, 2012 among Booz Allen Hamilton, Investor, certain wholly owned subsidiaries of Booz Allen Hamilton and Bank of America, N.A., as Administrative Agent, Collateral Agent, Exchanging Lender and New Refinancing Tranche B Term Lender, and the other lenders and financial institutions from time to time party thereto (as previously amended by the First Amendment to Credit Agreement, dated as of August 16, 2013, the Second Amendment to Credit Agreement, date as of May 7, 2014, the Third Amendment to the Credit Agreement, dated as of July 13, 2016, and the Fourth Amendment to the Credit Agreement, dated as of February 6, 2017). Pursuant to the Fifth Amendment, Booz Allen Hamilton reduced the interest rate spread applicable to Term Loan B ("Term Loan B" and, together with Term Loan A, the "Term Loans") from 2.25% to 2.00%. The interest rate applicable to Term Loan A ("Term Loan A") remained unchanged.</w:t>
      </w:r>
    </w:p>
    <w:p>
      <w:pPr>
        <w:spacing w:after="0" w:line="74"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Prior to the Fifth Amendment, $395.0 million was outstanding under Term Loan B. Pursuant to the Fifth Amendment, certain lenders converted their existing Term Loan B loans into a new tranche of Term Loan B loans in an aggregate amount, along with Term Loan B loans advanced by certain new lenders, of approximately $395.0 million. The proceeds from the new lenders were used to prepay in full all of the existing Term B Loans that were not converted into the new Term Loan B tranche.</w:t>
      </w:r>
    </w:p>
    <w:p>
      <w:pPr>
        <w:spacing w:after="0" w:line="7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of June 30, 2018, the Credit Agreement provided Booz Allen Hamilton with a $1,079.5 million Term Loan A, a $394.0 million Term Loan B, and a $500.0 million revolving credit facility (the “Revolving Credit Facility") with a sub-limit for letters of credit of $100.0 million. As of June 30, 2018, the maturity date of Term Loan A and the termination date for the Revolving Credit Facility was June 30, 2021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5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(ii) the aggregate principal amount under which pro forma consolidated net secured leverage remains less than or equal to 3.50:1.00.</w:t>
      </w:r>
    </w:p>
    <w:p>
      <w:pPr>
        <w:spacing w:after="0" w:line="117"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20" w:firstLine="8"/>
        <w:spacing w:after="0" w:line="25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1.50% to 2.25% for LIBOR loans and 0.50% to 1.25%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0.30% to 0.40% based on Booz Allen Hamilton’s consolidated total net leverage ratio.</w:t>
      </w:r>
    </w:p>
    <w:p>
      <w:pPr>
        <w:spacing w:after="0" w:line="86"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Under the Fifth Amendment, the rate at which Term Loan B bears interest is based either on LIBOR (adjusted for maximum reserves and subject to a floor of zero plus 2.00% for the applicable interest period) or a base rate (equal to the highest of (x) the corporate base rate established by the administrative agent, (y) the overnight federal funds rate plus 0.50%, or (z) three-month LIBOR (adjusted for maximum reserves) plus 1.00%, plus, in each case, 1.25%), payable at the end of the applicable interest period; provided, that if such rate shall be less than zero, such rate shall be deemed to be zero.</w:t>
      </w:r>
    </w:p>
    <w:p>
      <w:pPr>
        <w:spacing w:after="0" w:line="46"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quarter of fiscal 2019, Booz Allen Hamilton accessed a total of $60.0 million of the $500.0 million Revolving Credit Facility. As of June 30, 2018 and March 31, 2018, there were no amounts outstanding under the Revolving Credit Facility.</w:t>
      </w:r>
    </w:p>
    <w:p>
      <w:pPr>
        <w:spacing w:after="0" w:line="7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60" w:firstLine="8"/>
        <w:spacing w:after="0" w:line="268"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color w:val="auto"/>
        </w:rPr>
        <w:t>transactions with affiliates; (vii) sale and lease back transactions; (viii) change in fiscal periods; (ix) negative pledges; (x) restrictive agreements; (xi) line of business; and (xii)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June 30, 2018 and March 31, 2018, Booz Allen Hamilton was in compliance with all financial covenants associated with its debt and debt-like instruments.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or the Senior Notes, under an Indenture, dated as of April 25, 2017, among Booz Allen Hamilton, certain subsidiaries of Booz Allen Hamilton, as guarantors, or the Subsidiary Guarantors, and Wilmington Trust, National Association, as trustee, or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will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During the first quarter of fiscal 2019, interest payments of $9.0 million were made for the Senior Notes.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54" w:right="239" w:bottom="1440" w:gutter="0" w:footer="0" w:header="0"/>
        </w:sectPr>
      </w:pPr>
    </w:p>
    <w:bookmarkStart w:id="16" w:name="page17"/>
    <w:bookmarkEnd w:id="16"/>
    <w:p>
      <w:pPr>
        <w:ind w:firstLine="392"/>
        <w:spacing w:after="0" w:line="302"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May 24, 2017, Booz Allen Hamilton executed a series of interest rate swaps. These instruments hedge the variability of cash outflows for interest payments on the floating portion of the term loan debt. The Company's objectives in using cash flow hedges are to reduce volatility due to interest rate movements and to add stability to interest expense (See Note 9 in our condensed consolidated financial statements).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63"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13335</wp:posOffset>
            </wp:positionV>
            <wp:extent cx="1869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r>
      <w:tr>
        <w:trPr>
          <w:trHeight w:val="256"/>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10,842</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8,777</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Term Loan B Interest Expense</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3,917</w:t>
            </w:r>
          </w:p>
        </w:tc>
        <w:tc>
          <w:tcPr>
            <w:tcW w:w="5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3,273</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Senior Notes Interest Expense</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4,484</w:t>
            </w:r>
          </w:p>
        </w:tc>
        <w:tc>
          <w:tcPr>
            <w:tcW w:w="5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3,289</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2,011</w:t>
            </w:r>
          </w:p>
        </w:tc>
      </w:tr>
      <w:tr>
        <w:trPr>
          <w:trHeight w:val="270"/>
        </w:trPr>
        <w:tc>
          <w:tcPr>
            <w:tcW w:w="7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Debt Issuance Cost (DIC) and Original Issue Discount (OID)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1,360</w:t>
            </w:r>
          </w:p>
        </w:tc>
        <w:tc>
          <w:tcPr>
            <w:tcW w:w="58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1,289</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Interest Rate Swaps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357</w:t>
            </w:r>
          </w:p>
        </w:tc>
        <w:tc>
          <w:tcPr>
            <w:tcW w:w="5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108</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23,074</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18,747</w:t>
            </w: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Interest payments on the deferred payment obligation are made twice a year in January and July.</w:t>
      </w:r>
    </w:p>
    <w:p>
      <w:pPr>
        <w:spacing w:after="0" w:line="98" w:lineRule="exact"/>
        <w:rPr>
          <w:rFonts w:ascii="Arial" w:cs="Arial" w:eastAsia="Arial" w:hAnsi="Arial"/>
          <w:sz w:val="23"/>
          <w:szCs w:val="23"/>
          <w:color w:val="auto"/>
          <w:vertAlign w:val="superscript"/>
        </w:rPr>
      </w:pPr>
    </w:p>
    <w:p>
      <w:pPr>
        <w:ind w:firstLine="8"/>
        <w:spacing w:after="0" w:line="260"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to interest expense. During the first quarter of fiscal 2018, the Company entered into several forward starting floating-to-fixed interest rate swap agreements with multiple financial institutions with a start date of April 30, 2018. The aggregate notional amount of these interest rate swap agreements was $450 million as of June 30, 2018. The swaps have staggered maturities, ranging from June 30, 2021 to June 30, 2022. These swaps mature within the last tranche of the Company's floating rate debt (June 30, 2023).</w:t>
      </w:r>
    </w:p>
    <w:p>
      <w:pPr>
        <w:spacing w:after="0" w:line="8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Derivative instruments are recorded in the condensed consolidated balance sheet on a gross basis at estimated fair value. As of June 30, 2018, $1.8 million and $8.7 million were classified as other current assets and other long-term assets, respectively, on the condensed consolidated balance sheet. As of March 31, 2018, $0.7 million and $7.2 million were classified as other current assets and other long-term assets, respectively, on the condensed consolidated balance sheet.</w:t>
      </w:r>
    </w:p>
    <w:p>
      <w:pPr>
        <w:spacing w:after="0" w:line="7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For interest rate swaps designated as cash flow hedges, the changes in the fair value of derivatives is recorded in Accumulated Other Comprehensive Income, or AOCI, net of taxes, and is subsequently reclassified into interest expense in the period that the hedged forecasted interest payments are made on the Company's variable-rate debt. For the three months ended June 30, 2018, a $1.9 million gain was recognized in AOCI, and $0.03 million was reclassified into interest expense. For the three months ended June 30, 2017, a $0.8 million loss was recognized in AOCI, and there were no amounts reclassified into interest expense. The ineffective portion of the change in fair value of the derivatives is recognized directly in earnings. As of June 30, 2018, there was no ineffectiveness recognized in earnings.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854" w:right="279" w:bottom="1440" w:gutter="0" w:footer="0" w:header="0"/>
        </w:sectPr>
      </w:pPr>
    </w:p>
    <w:bookmarkStart w:id="17" w:name="page18"/>
    <w:bookmarkEnd w:id="17"/>
    <w:p>
      <w:pPr>
        <w:ind w:right="400" w:firstLine="405"/>
        <w:spacing w:after="0" w:line="342" w:lineRule="auto"/>
        <w:rPr>
          <w:sz w:val="20"/>
          <w:szCs w:val="20"/>
          <w:color w:val="auto"/>
        </w:rPr>
      </w:pPr>
      <w:r>
        <w:rPr>
          <w:rFonts w:ascii="Arial" w:cs="Arial" w:eastAsia="Arial" w:hAnsi="Arial"/>
          <w:sz w:val="16"/>
          <w:szCs w:val="16"/>
          <w:color w:val="auto"/>
        </w:rPr>
        <w:t>Over the next 12 months, the Company estimates that $1.8 million will be reclassified as a decrease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2017 Tax Act was enacted on December 22, 2017. The 2017 Tax Act reduced the U.S. federal corporate tax rate from 35% to 21% effective January 1, 2018. At June 30, 2018, the Company's assessment for the following elements was not complete: (1) the acceleration of depreciation; and (2) the limitation on the deductibility of certain executive compensation. The Company will continue to make and refine the calculations as additional analysis is completed and our estimates may be materially affected by additional clarifications and interpretations of the legislation. Additionally, the tax accounting method change filed in March 2018 associated with unbilled receivables is still under the IRS review and the Company will continue to monitor it in future quarters of fiscal 2019. The Company expects to finalize its assessment of all provisional amounts within the allowed one-year measurement period provided for under SAB 118. The Company made no changes to fiscal 2018 provisional amounts during the three months ended June 30, 2018.</w:t>
      </w:r>
    </w:p>
    <w:p>
      <w:pPr>
        <w:spacing w:after="0" w:line="59"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Company’s effective income tax rates were 24.1% and 33.9% for the three months ended June 30, 2018 and 2017, respectively. The decrease in the effective tax rate as compared to the same period last fiscal year was primarily due to the 2017 Tax Act's reduction of the U.S. federal corporate tax rate. The effective tax rates of 24.1% and 33.9% for the three months ended June 30, 2018 and 2017, respectively, differ from the federal statutory rate of 21.0% and 35%, respectively, primarily because of the inclusion of state income taxes and permanent rate differences, partially offset by discrete tax items.</w:t>
      </w:r>
    </w:p>
    <w:p>
      <w:pPr>
        <w:spacing w:after="0" w:line="46"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$11.5 million, net of associated tax benefits as of June 30, 2018. The Company has taken similar tax positions with respect to subsequent fiscal years, totaling in aggregate $22.3 million. As of June 30, 2018, the Company does not maintain reserves for any uncertain tax positions related to the contested tax benefits, and, given the recoverable nature of the state tax expense, it does not believe the resolution of these matters will have a material adverse effect on its results of operations, cash flows or financial condition.</w:t>
      </w:r>
    </w:p>
    <w:p>
      <w:pPr>
        <w:spacing w:after="0" w:line="8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Company continues to carry a reserve of $10.2 million for income tax uncertainties created with the business acquisition of eGov Holdings, Inc. (d/b/a Aquilent) in the fourth quarter of fiscal 2017 resulting from uncertainty in the sustainability of the acquiree's prior tax-return positions under examination with the relevant tax authorities.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79,913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133,483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131,526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50,855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48,443</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261,241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259,882</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at June 30, 2018 and March 31, 2018 include the Company's long-term disability obligation of $22.8 million for both periods as well as contingent consideration related to the Company's business acquisition of an acquiree in the fourth quarter of fiscal 2017 of $3.3 million and $3.6 million,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5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12. EMPLOYEE BENEFIT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international employees. ECAP provides for distributions, subject to certain vesting provisions, to participants by reason of retirement, death, disability,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termination of employment. Effective April 1, 2014, the Company transitioned from a discretionary employer contribution to an annual matching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contribution of up to 6% of eligible annual income as determined by the Internal Revenue Code for the ECAP. Total expense recognized under ECAP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$32.6 million and $31.1 million for the three months ended June 30, 2018 and 2017, respectively. The Company-paid contributions were $17.5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$15.6 million for the three months ended June 30, 2018 and 2017, respectively.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1,252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3,297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2,936</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condensed consolidated statements of operations.</w:t>
      </w:r>
    </w:p>
    <w:p>
      <w:pPr>
        <w:spacing w:after="0" w:line="28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June 30, 2018 and March 31, 2018, the unfunded status of the post-retirement medical plan was $128.7 million and $126.9 million, respectively, which is included in other long-term liabilities in the accompanying condensed consolidated balance sheets.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became effective in the current period.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4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June 30, 2018, $3.1 million of plan investments and obligations were recorded in other long term assets and in other long term liabilities, respectively, in the condensed consolidated balance sheets, representing the fair value related to the deferred compensation plan.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5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(1)</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1,887</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2,327</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$0.7 million for the three months ended June 30,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90"/>
              </w:rPr>
              <w:t>Three Months Ended June 30, 2017</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(2)</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(17,224)</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$0.3 million for the three months ended June 30, 2017.</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Post-retirement plans (Note 12):</w:t>
            </w:r>
          </w:p>
        </w:tc>
        <w:tc>
          <w:tcPr>
            <w:tcW w:w="2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w w:val="93"/>
              </w:rPr>
              <w:t>Amortization of net actuarial loss included in net periodic benefit cost</w:t>
            </w:r>
          </w:p>
        </w:tc>
        <w:tc>
          <w:tcPr>
            <w:tcW w:w="38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2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552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282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vMerge w:val="restart"/>
          </w:tcPr>
          <w:p>
            <w:pPr>
              <w:jc w:val="right"/>
              <w:ind w:right="2450"/>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55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20" w:name="page21"/>
    <w:bookmarkEnd w:id="20"/>
    <w:p>
      <w:pPr>
        <w:ind w:left="340" w:right="8820" w:hanging="332"/>
        <w:spacing w:after="0" w:line="378" w:lineRule="auto"/>
        <w:tabs>
          <w:tab w:leader="none" w:pos="28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Treasury</w:t>
            </w:r>
          </w:p>
        </w:tc>
      </w:tr>
      <w:tr>
        <w:trPr>
          <w:trHeight w:val="192"/>
        </w:trPr>
        <w:tc>
          <w:tcPr>
            <w:tcW w:w="83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93"/>
              <w:spacing w:after="0"/>
              <w:rPr>
                <w:sz w:val="20"/>
                <w:szCs w:val="20"/>
                <w:color w:val="auto"/>
              </w:rPr>
            </w:pPr>
            <w:r>
              <w:rPr>
                <w:rFonts w:ascii="Arial" w:cs="Arial" w:eastAsia="Arial" w:hAnsi="Arial"/>
                <w:sz w:val="14"/>
                <w:szCs w:val="14"/>
                <w:b w:val="1"/>
                <w:bCs w:val="1"/>
                <w:color w:val="auto"/>
              </w:rPr>
              <w:t>Stock</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155,901,485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7,013,777</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866,099</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1,261,089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Repurchase of common stock (1)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7,568,357</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158,028,673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14,582,134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320,275</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445,067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1,089,945</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158,794,015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15,672,079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fiscal 2018, the Company purchased 7.2 million shares of the Company’s Class A Common Stock in a series of open market transactions for</w:t>
      </w:r>
    </w:p>
    <w:p>
      <w:pPr>
        <w:spacing w:after="0" w:line="46" w:lineRule="exact"/>
        <w:rPr>
          <w:rFonts w:ascii="Arial" w:cs="Arial" w:eastAsia="Arial" w:hAnsi="Arial"/>
          <w:sz w:val="16"/>
          <w:szCs w:val="16"/>
          <w:color w:val="auto"/>
        </w:rPr>
      </w:pPr>
    </w:p>
    <w:p>
      <w:pPr>
        <w:ind w:left="340" w:right="220"/>
        <w:spacing w:after="0" w:line="277" w:lineRule="auto"/>
        <w:rPr>
          <w:rFonts w:ascii="Arial" w:cs="Arial" w:eastAsia="Arial" w:hAnsi="Arial"/>
          <w:sz w:val="16"/>
          <w:szCs w:val="16"/>
          <w:color w:val="auto"/>
        </w:rPr>
      </w:pPr>
      <w:r>
        <w:rPr>
          <w:rFonts w:ascii="Arial" w:cs="Arial" w:eastAsia="Arial" w:hAnsi="Arial"/>
          <w:sz w:val="17"/>
          <w:szCs w:val="17"/>
          <w:color w:val="auto"/>
        </w:rPr>
        <w:t>$257.6 million. Additionally, the Company repurchased shares during fiscal 2018 to cover the minimum statutory withholding taxes on restricted stock awards and restricted stock units that vested on June 30, 2017 and March 31, 2018. The Company also repurchased shares to cover the minimum statutory withholding taxes on restricted stock for departing officers, as they are no longer subject to a substantial risk of forfeiture.</w:t>
      </w:r>
    </w:p>
    <w:p>
      <w:pPr>
        <w:spacing w:after="0" w:line="6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fiscal 2019, the Company purchased 1.0 million shares of the Company’s Class A Common Stock in a series of open market transactions for</w:t>
      </w:r>
    </w:p>
    <w:p>
      <w:pPr>
        <w:spacing w:after="0" w:line="46" w:lineRule="exact"/>
        <w:rPr>
          <w:rFonts w:ascii="Arial" w:cs="Arial" w:eastAsia="Arial" w:hAnsi="Arial"/>
          <w:sz w:val="16"/>
          <w:szCs w:val="16"/>
          <w:color w:val="auto"/>
        </w:rPr>
      </w:pPr>
    </w:p>
    <w:p>
      <w:pPr>
        <w:ind w:left="340" w:right="100"/>
        <w:spacing w:after="0" w:line="261" w:lineRule="auto"/>
        <w:rPr>
          <w:rFonts w:ascii="Arial" w:cs="Arial" w:eastAsia="Arial" w:hAnsi="Arial"/>
          <w:sz w:val="16"/>
          <w:szCs w:val="16"/>
          <w:color w:val="auto"/>
        </w:rPr>
      </w:pPr>
      <w:r>
        <w:rPr>
          <w:rFonts w:ascii="Arial" w:cs="Arial" w:eastAsia="Arial" w:hAnsi="Arial"/>
          <w:sz w:val="18"/>
          <w:szCs w:val="18"/>
          <w:color w:val="auto"/>
        </w:rPr>
        <w:t>$44.2 million. Additionally, the Company repurchased shares during the first quarter of fiscal 2019 to cover the minimum statutory withholding taxes on restricted stock awards and restricted stock units that vested on June 30, 2018.</w:t>
      </w:r>
    </w:p>
    <w:p>
      <w:pPr>
        <w:spacing w:after="0" w:line="76" w:lineRule="exact"/>
        <w:rPr>
          <w:sz w:val="20"/>
          <w:szCs w:val="20"/>
          <w:color w:val="auto"/>
        </w:rPr>
      </w:pPr>
    </w:p>
    <w:p>
      <w:pPr>
        <w:ind w:right="800" w:firstLine="405"/>
        <w:spacing w:after="0" w:line="342" w:lineRule="auto"/>
        <w:rPr>
          <w:sz w:val="20"/>
          <w:szCs w:val="20"/>
          <w:color w:val="auto"/>
        </w:rPr>
      </w:pPr>
      <w:r>
        <w:rPr>
          <w:rFonts w:ascii="Arial" w:cs="Arial" w:eastAsia="Arial" w:hAnsi="Arial"/>
          <w:sz w:val="16"/>
          <w:szCs w:val="16"/>
          <w:color w:val="auto"/>
        </w:rPr>
        <w:t>For the quarterly offering period that closed on June 30, 2018, 62,212 Class A Common Stock shares were purchased by employees under the Company's Employee Stock Purchase Plan, or ESPP. Since the program's inception, 2,251,499 shares have been purchased by employees.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1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4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1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6,114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21" w:name="page22"/>
    <w:bookmarkEnd w:id="21"/>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08"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5,782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4,773</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6,114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As of June 30, 2018, there was $36.8 million of total unrecognized compensation cost related to unvested stock-based compensation agreements. The unrecognized compensation cost as of June 30, 2018 is expected to be fully amortized over the next 4.75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2018</w:t>
            </w:r>
          </w:p>
        </w:tc>
      </w:tr>
      <w:tr>
        <w:trPr>
          <w:trHeight w:val="152"/>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3,565</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4.00</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33,197</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2.36</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36,762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May 23, 2018, 203,040 options were granted under the Amended and Restated Equity Incentive Plan, or EIP. The estimated fair value of the per-option grant was $9.36, resulting in a total fair value of $1.9 million.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there were 2,525,328 EIP options outstanding, of which 719,308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On May 23, 2018, the Board of Directors granted 346,695 restricted stock units to certain newly hired individuals and current executives of the Company. The aggregate value of this award was estimated at $14.3 million based on the stock price of $41.28 on the grant date.</w:t>
      </w:r>
    </w:p>
    <w:p>
      <w:pPr>
        <w:spacing w:after="0" w:line="3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May 24, 2018, the Board of Directors granted 195,064 restricted stock units to current executives of the Company. The aggregate value of this award was estimated at $8.1 million based on the stock price of $41.65 on the grant date.</w:t>
      </w:r>
    </w:p>
    <w:p>
      <w:pPr>
        <w:spacing w:after="0" w:line="62"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As permitted under the terms of the EIP, the Compensation Committee, as Administrator of the EIP, authorized the withholding of taxes not to exceed the minimum statutory withholding amount, through the surrender of restricted stock units upon the vesting of restricted stock units and the surrender of shares of Class A Common Stock issuable upon the vesting of restricted stock. The participants surrendered 76,946 shares of Class A Common Stock issuable upon the vesting of restricted stock and recorded them as treasury shares at a cost of $3.4 million during the three months ended June 30, 2018.</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54" w:right="239" w:bottom="1440" w:gutter="0" w:footer="0" w:header="0"/>
        </w:sectPr>
      </w:pPr>
    </w:p>
    <w:bookmarkStart w:id="22" w:name="page23"/>
    <w:bookmarkEnd w:id="22"/>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as of June 30,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29,907</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Money market funds (1)</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119,815</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149,722</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 term derivative instruments (3)</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8,724</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(4)</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3,124</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13,650</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Contingent consideration liability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3,341</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(4)</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3,124</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3,341</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6,465</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90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51,870</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207,618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235,088</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259,488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286,958</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Long term derivative instruments (3)</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7,225</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7,925</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liability (2)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4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48" w:lineRule="exact"/>
        <w:rPr>
          <w:rFonts w:ascii="Arial" w:cs="Arial" w:eastAsia="Arial" w:hAnsi="Arial"/>
          <w:sz w:val="19"/>
          <w:szCs w:val="19"/>
          <w:color w:val="auto"/>
        </w:rPr>
      </w:pPr>
    </w:p>
    <w:p>
      <w:pPr>
        <w:ind w:right="140" w:firstLine="8"/>
        <w:spacing w:after="0" w:line="259"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its acquisition of Aquilent in fiscal 2017. As of June 30, 2018 and March 31, 2018, the estimated fair value of the contingent consideration liability was $3.3 million and $3.6 million, respectively, and was valued using probability-weighted cash flows, which is based on the use of Level 3 fair value measurement inputs. The liability is recorded in other long-term liabilities in the condensed consolidated balance sheet.</w:t>
      </w:r>
    </w:p>
    <w:p>
      <w:pPr>
        <w:spacing w:after="0" w:line="78" w:lineRule="exact"/>
        <w:rPr>
          <w:rFonts w:ascii="Arial" w:cs="Arial" w:eastAsia="Arial" w:hAnsi="Arial"/>
          <w:sz w:val="18"/>
          <w:szCs w:val="18"/>
          <w:color w:val="auto"/>
        </w:rPr>
      </w:pPr>
    </w:p>
    <w:p>
      <w:pPr>
        <w:ind w:right="10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for further discussion on the Company’s derivative instruments designated as cash flow hedges.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54" w:right="259" w:bottom="1440" w:gutter="0" w:footer="0" w:header="0"/>
        </w:sectPr>
      </w:pPr>
    </w:p>
    <w:bookmarkStart w:id="23" w:name="page24"/>
    <w:bookmarkEnd w:id="23"/>
    <w:p>
      <w:pPr>
        <w:ind w:right="100" w:firstLine="8"/>
        <w:spacing w:after="0" w:line="259"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fair value of the Company's debt instruments approximated its carrying value at June 30, 2018 and March 31, 2018.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33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of five of the Booz Allen Foundation's directors and consent rights regarding certain extraordinary corporate actions approved by the Company's Board of Directors. The Company has made a binding and irrevocable pledge of $5.0 million to the Booz Allen Foundation and recorded the pledge obligation in other current liabilities on the consolidated balance sheet of the Company in March 2017. As of June 30, 2018, $1.7 million of the pledge has been paid to the Booz Allen Foundation and is classified as operating activities in the condensed consolidated statement of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of June 30, 2018 and March 31, 2018, the Company was contingently liable under open standby letters of credit and bank guarantees issued by our banks in favor of third parties that totaled $7.4 million and $6.3 million, respectively. These letters of credit and bank guarantees primarily support insurance and bid and performance obligations. At June 30, 2018 and March 31, 2018, approximately $1.0 million and $1.4 million, respectively, of these instruments reduced the available borrowings under the Revolving Credit Facility. The remainder is guaranteed under a separate $15.0 million facility established in fiscal 2015 of which $8.5 million and $10.1 million were available to the Company at June 30, 2018 and March 31, 2018, respectively.</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For both three months ended June 30, 2018 and 2017,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June 30, 2018 and March 31, 2018, the Company had recorded liabilities of approximately $173.3 million and $168.6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854" w:right="27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June 30, 2018 and March 31, 2018, there were no material amounts accrued in the condensed consolidated financial statements related to these proceedings.</w:t>
      </w:r>
    </w:p>
    <w:p>
      <w:pPr>
        <w:spacing w:after="0" w:line="5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Securities Exchange Act of 1934, as amended (the "Exchange Act"). On April 25, 2018, the court entered an order postponing the deadline within which the defendants must answer or move to dismiss the amended complaint. A lead plaintiff has not been appointed. The defendants’ motion to dismiss the amended complaint is due August 2, 2018.</w:t>
      </w:r>
    </w:p>
    <w:p>
      <w:pPr>
        <w:spacing w:after="0" w:line="6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of June 30, 2018, the aggregate alleged damages that will be sought in the remaining suit is unknown. As of June 30, 2018,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73"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4" w:right="239" w:bottom="1440" w:gutter="0" w:footer="0" w:header="0"/>
        </w:sectPr>
      </w:pPr>
    </w:p>
    <w:bookmarkStart w:id="25" w:name="page26"/>
    <w:bookmarkEnd w:id="25"/>
    <w:p>
      <w:pPr>
        <w:ind w:right="120"/>
        <w:spacing w:after="0" w:line="293" w:lineRule="auto"/>
        <w:rPr>
          <w:sz w:val="20"/>
          <w:szCs w:val="20"/>
          <w:color w:val="auto"/>
        </w:rPr>
      </w:pPr>
      <w:r>
        <w:rPr>
          <w:rFonts w:ascii="Arial" w:cs="Arial" w:eastAsia="Arial" w:hAnsi="Arial"/>
          <w:sz w:val="16"/>
          <w:szCs w:val="16"/>
          <w:color w:val="auto"/>
        </w:rPr>
        <w:t>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7"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July 23, 2018, Booz Allen Hamilton entered into the Sixth Amendment (the "Sixth Amendment") to the Credit Agreement which refinanced the Tranche A Term Loan Facility and Revolving Credit Facilities. Pursuant to the Sixth Amendment, Booz Allen Hamilton reduced the interest rate spread applicable to the Tranche A Term Loan Facility and the Revolving Facility from 1.75% to 1.50% if the Company's Consolidated Net Total Leverage Ratio is less than 3:00 to 1:00 and greater than or equal to 2:00 to 1:00 and extended the maturity date applicable to the Tranche A Term Loan Facility and the Revolving Facility until the fifth anniversary of the Sixth Amendment. Additionally, the Sixth Amendment provides for a new delayed draw on the Tranche A Term Loan facility in the amount of up to $400 million for further investment in our business and returning value to shareholders. The interest rate applicable to the Tranche B Term Loan Facility remained unchanged.</w:t>
      </w:r>
    </w:p>
    <w:p>
      <w:pPr>
        <w:spacing w:after="0" w:line="3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2018 filed with the Securities and Exchange Commission on May 29, 2018,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24,600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58"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Through our dedication to our clients' missions, and a commitment to evolving our business to address clients' needs, we have long-standing relationships with our clients, some more than 75 years. We support critical missions for a diverse base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54" w:right="259" w:bottom="1440" w:gutter="0" w:footer="0" w:header="0"/>
        </w:sectPr>
      </w:pPr>
    </w:p>
    <w:bookmarkStart w:id="26" w:name="page27"/>
    <w:bookmarkEnd w:id="26"/>
    <w:p>
      <w:pPr>
        <w:spacing w:after="0" w:line="293" w:lineRule="auto"/>
        <w:rPr>
          <w:sz w:val="20"/>
          <w:szCs w:val="20"/>
          <w:color w:val="auto"/>
        </w:rPr>
      </w:pPr>
      <w:r>
        <w:rPr>
          <w:rFonts w:ascii="Arial" w:cs="Arial" w:eastAsia="Arial" w:hAnsi="Arial"/>
          <w:sz w:val="16"/>
          <w:szCs w:val="16"/>
          <w:color w:val="auto"/>
        </w:rPr>
        <w:t>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we have a growing presence in Southeast Asia.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 xml:space="preserve">Effective April 1, 2018, the Company adopted Accounting Standard Codification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Accounting Standard Updates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using the full retrospective method. All amounts, percentages and disclosures set forth in this Form 10-Q reflect these changes. See Note 2 to our accompanying condensed consolidated financial statements for more information on the impact of the adoption of these accounting standards on revenue and operating income.</w:t>
      </w:r>
    </w:p>
    <w:p>
      <w:pPr>
        <w:spacing w:after="0" w:line="8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During the first quarter of fiscal 2019, the Company generated year over year revenue growth, delivered improved earnings over the prior year period, increased client staff headcount, and achieved record first quarter funded and total backlog.</w:t>
      </w:r>
    </w:p>
    <w:p>
      <w:pPr>
        <w:spacing w:after="0" w:line="62" w:lineRule="exact"/>
        <w:rPr>
          <w:sz w:val="20"/>
          <w:szCs w:val="20"/>
          <w:color w:val="auto"/>
        </w:rPr>
      </w:pPr>
    </w:p>
    <w:p>
      <w:pPr>
        <w:jc w:val="both"/>
        <w:ind w:right="80" w:firstLine="405"/>
        <w:spacing w:after="0" w:line="342" w:lineRule="auto"/>
        <w:rPr>
          <w:sz w:val="20"/>
          <w:szCs w:val="20"/>
          <w:color w:val="auto"/>
        </w:rPr>
      </w:pPr>
      <w:r>
        <w:rPr>
          <w:rFonts w:ascii="Arial" w:cs="Arial" w:eastAsia="Arial" w:hAnsi="Arial"/>
          <w:sz w:val="16"/>
          <w:szCs w:val="16"/>
          <w:color w:val="auto"/>
        </w:rPr>
        <w:t>Revenue increased 8.1% from the three months ended June 30, 2017 to the three months ended June 30, 2018 primarily driven by continued strength in client demand, which led to increased client staff headcount and direct client staff labor over the prior year period, as well as improved contract performance.</w:t>
      </w:r>
    </w:p>
    <w:p>
      <w:pPr>
        <w:spacing w:after="0" w:line="1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Operating income increased 27.6% to $161.6 million in the three months ended June 30, 2018 from $126.7 million in the three months ended June 30, 2017, while operating margin increased to 9.8% from 8.3% in the comparable period. The increase in operating income was primarily driven by the same factors driving revenue as well as strong operating performance in the current quarter compared to the prior year quarter. The Company also incurred incremental legal costs during the three months ended June 30, 2018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85" w:lineRule="exact"/>
        <w:rPr>
          <w:sz w:val="20"/>
          <w:szCs w:val="20"/>
          <w:color w:val="auto"/>
        </w:rPr>
      </w:pPr>
    </w:p>
    <w:p>
      <w:pPr>
        <w:ind w:left="1300" w:right="1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100" w:hanging="644"/>
        <w:spacing w:after="0" w:line="25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resulting from the acquisition of our Company by The Carlyle Group (the “Carlyle Acquisition”),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right="80" w:hanging="644"/>
        <w:spacing w:after="0" w:line="272"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69" w:lineRule="exact"/>
        <w:rPr>
          <w:rFonts w:ascii="Arial" w:cs="Arial" w:eastAsia="Arial" w:hAnsi="Arial"/>
          <w:sz w:val="17"/>
          <w:szCs w:val="17"/>
          <w:color w:val="auto"/>
        </w:rPr>
      </w:pPr>
    </w:p>
    <w:p>
      <w:pPr>
        <w:ind w:left="1300" w:right="1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resulting from the Carlyle Acquisition, (ii) transaction costs, fees, losses, and expenses, including fees associated with debt prepayments, (iii) amortization or write-off of debt issuance costs and write-off of original issue discount, (iv) release of income tax reserves, and (v) re-measurement of deferred tax assets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50" w:right="259" w:bottom="1440" w:gutter="0" w:footer="0" w:header="0"/>
        </w:sectPr>
      </w:pPr>
    </w:p>
    <w:bookmarkStart w:id="28" w:name="page29"/>
    <w:bookmarkEnd w:id="28"/>
    <w:p>
      <w:pPr>
        <w:ind w:left="644" w:right="20"/>
        <w:spacing w:after="0" w:line="323" w:lineRule="auto"/>
        <w:rPr>
          <w:sz w:val="20"/>
          <w:szCs w:val="20"/>
          <w:color w:val="auto"/>
        </w:rPr>
      </w:pPr>
      <w:r>
        <w:rPr>
          <w:rFonts w:ascii="Arial" w:cs="Arial" w:eastAsia="Arial" w:hAnsi="Arial"/>
          <w:sz w:val="17"/>
          <w:szCs w:val="17"/>
          <w:color w:val="auto"/>
        </w:rPr>
        <w:t>liabilities as a result of the Tax Cuts and Jobs Act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42" w:lineRule="exact"/>
        <w:rPr>
          <w:sz w:val="20"/>
          <w:szCs w:val="20"/>
          <w:color w:val="auto"/>
        </w:rPr>
      </w:pPr>
    </w:p>
    <w:p>
      <w:pPr>
        <w:ind w:left="644" w:hanging="644"/>
        <w:spacing w:after="0" w:line="264" w:lineRule="auto"/>
        <w:tabs>
          <w:tab w:leader="none" w:pos="6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3" w:lineRule="exact"/>
        <w:rPr>
          <w:rFonts w:ascii="Arial" w:cs="Arial" w:eastAsia="Arial" w:hAnsi="Arial"/>
          <w:sz w:val="18"/>
          <w:szCs w:val="18"/>
          <w:color w:val="auto"/>
        </w:rPr>
      </w:pPr>
    </w:p>
    <w:p>
      <w:pPr>
        <w:ind w:left="644" w:hanging="644"/>
        <w:spacing w:after="0"/>
        <w:tabs>
          <w:tab w:leader="none" w:pos="6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6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4"/>
          </w:cols>
          <w:pgMar w:left="896" w:top="881" w:right="259" w:bottom="1440" w:gutter="0" w:footer="0" w:header="0"/>
        </w:sectPr>
      </w:pPr>
    </w:p>
    <w:bookmarkStart w:id="29" w:name="page30"/>
    <w:bookmarkEnd w:id="29"/>
    <w:p>
      <w:pPr>
        <w:ind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813"/>
              <w:spacing w:after="0"/>
              <w:rPr>
                <w:sz w:val="20"/>
                <w:szCs w:val="20"/>
                <w:color w:val="auto"/>
              </w:rPr>
            </w:pPr>
            <w:r>
              <w:rPr>
                <w:rFonts w:ascii="Arial" w:cs="Arial" w:eastAsia="Arial" w:hAnsi="Arial"/>
                <w:sz w:val="14"/>
                <w:szCs w:val="14"/>
                <w:b w:val="1"/>
                <w:bCs w:val="1"/>
                <w:color w:val="auto"/>
                <w:w w:val="89"/>
              </w:rPr>
              <w:t>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center"/>
              <w:ind w:left="813"/>
              <w:spacing w:after="0"/>
              <w:rPr>
                <w:sz w:val="20"/>
                <w:szCs w:val="20"/>
                <w:color w:val="auto"/>
              </w:rPr>
            </w:pPr>
            <w:r>
              <w:rPr>
                <w:rFonts w:ascii="Arial" w:cs="Arial" w:eastAsia="Arial" w:hAnsi="Arial"/>
                <w:sz w:val="14"/>
                <w:szCs w:val="14"/>
                <w:b w:val="1"/>
                <w:bCs w:val="1"/>
                <w:color w:val="auto"/>
                <w:w w:val="95"/>
              </w:rPr>
              <w:t>(Unaudited)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1,646,848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1,523,010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477,435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451,664</w:t>
            </w:r>
          </w:p>
        </w:tc>
        <w:tc>
          <w:tcPr>
            <w:tcW w:w="0" w:type="dxa"/>
            <w:vAlign w:val="bottom"/>
          </w:tcPr>
          <w:p>
            <w:pPr>
              <w:spacing w:after="0"/>
              <w:rPr>
                <w:sz w:val="1"/>
                <w:szCs w:val="1"/>
                <w:color w:val="auto"/>
              </w:rPr>
            </w:pP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1,169,413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1,071,346</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Operating Income &amp; Adjusted Operating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161,612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126,665</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2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b w:val="1"/>
                <w:bCs w:val="1"/>
                <w:i w:val="1"/>
                <w:iCs w:val="1"/>
                <w:color w:val="auto"/>
                <w:w w:val="99"/>
              </w:rPr>
              <w:t>EBITDA, Adjusted EBITDA, Adjusted EBITDA Margin on Revenue &amp; Adjusted EBITDA Margin on</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104,204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70,612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36,165</w:t>
            </w:r>
          </w:p>
        </w:tc>
        <w:tc>
          <w:tcPr>
            <w:tcW w:w="0" w:type="dxa"/>
            <w:vAlign w:val="bottom"/>
          </w:tcPr>
          <w:p>
            <w:pPr>
              <w:spacing w:after="0"/>
              <w:rPr>
                <w:sz w:val="1"/>
                <w:szCs w:val="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Interest and other, net (a)</w:t>
            </w: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24,245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16,153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15,449</w:t>
            </w:r>
          </w:p>
        </w:tc>
        <w:tc>
          <w:tcPr>
            <w:tcW w:w="0" w:type="dxa"/>
            <w:vAlign w:val="bottom"/>
          </w:tcPr>
          <w:p>
            <w:pPr>
              <w:spacing w:after="0"/>
              <w:rPr>
                <w:sz w:val="1"/>
                <w:szCs w:val="1"/>
                <w:color w:val="auto"/>
              </w:rPr>
            </w:pP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EBITDA &amp; 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177,765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142,114</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Adjusted EBITDA Margin on Revenue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8200" w:type="dxa"/>
            <w:vAlign w:val="bottom"/>
          </w:tcPr>
          <w:p>
            <w:pPr>
              <w:ind w:left="500"/>
              <w:spacing w:after="0"/>
              <w:rPr>
                <w:sz w:val="20"/>
                <w:szCs w:val="20"/>
                <w:color w:val="auto"/>
              </w:rPr>
            </w:pPr>
            <w:r>
              <w:rPr>
                <w:rFonts w:ascii="Arial" w:cs="Arial" w:eastAsia="Arial" w:hAnsi="Arial"/>
                <w:sz w:val="18"/>
                <w:szCs w:val="18"/>
                <w:color w:val="auto"/>
              </w:rPr>
              <w:t>Adjusted EBITDA Margin on Revenue, Excluding Billable Expenses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104,204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70,612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Adjustments for tax effect (b)</w:t>
            </w:r>
          </w:p>
        </w:tc>
        <w:tc>
          <w:tcPr>
            <w:tcW w:w="3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104,695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71,007</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144,693,573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5"/>
              </w:rPr>
              <w:t>149,868,273</w:t>
            </w:r>
          </w:p>
        </w:tc>
        <w:tc>
          <w:tcPr>
            <w:tcW w:w="0" w:type="dxa"/>
            <w:vAlign w:val="bottom"/>
          </w:tcPr>
          <w:p>
            <w:pPr>
              <w:spacing w:after="0"/>
              <w:rPr>
                <w:sz w:val="1"/>
                <w:szCs w:val="1"/>
                <w:color w:val="auto"/>
              </w:rPr>
            </w:pPr>
          </w:p>
        </w:tc>
      </w:tr>
      <w:tr>
        <w:trPr>
          <w:trHeight w:val="237"/>
        </w:trPr>
        <w:tc>
          <w:tcPr>
            <w:tcW w:w="8200" w:type="dxa"/>
            <w:vAlign w:val="bottom"/>
          </w:tcPr>
          <w:p>
            <w:pPr>
              <w:ind w:left="280"/>
              <w:spacing w:after="0"/>
              <w:rPr>
                <w:sz w:val="20"/>
                <w:szCs w:val="20"/>
                <w:color w:val="auto"/>
              </w:rPr>
            </w:pPr>
            <w:r>
              <w:rPr>
                <w:rFonts w:ascii="Arial" w:cs="Arial" w:eastAsia="Arial" w:hAnsi="Arial"/>
                <w:sz w:val="18"/>
                <w:szCs w:val="18"/>
                <w:color w:val="auto"/>
              </w:rPr>
              <w:t>Adjusted Net Income Per Diluted Share (c)</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(27,037)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(20,465)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Free Cash Flow</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(47,502)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pacing w:after="0" w:line="128" w:lineRule="exact"/>
        <w:rPr>
          <w:rFonts w:ascii="Arial" w:cs="Arial" w:eastAsia="Arial" w:hAnsi="Arial"/>
          <w:sz w:val="17"/>
          <w:szCs w:val="17"/>
          <w:color w:val="auto"/>
        </w:rPr>
      </w:pPr>
    </w:p>
    <w:p>
      <w:pPr>
        <w:jc w:val="both"/>
        <w:ind w:left="660" w:right="1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first quarter of fiscal 2018 reflects the tax effect of adjustments at an assumed effective tax rate of 40%. For fiscal 2019, with the enactment of the 2017 Tax Act, adjustments are reflected using an assumed effective tax rate of 26%, which approximates a blended federal and state tax rate for fiscal 2019, and consistently excludes the impact of other tax credits and incentive benefits realized.</w:t>
      </w:r>
    </w:p>
    <w:p>
      <w:pPr>
        <w:spacing w:after="0" w:line="73" w:lineRule="exact"/>
        <w:rPr>
          <w:rFonts w:ascii="Arial" w:cs="Arial" w:eastAsia="Arial" w:hAnsi="Arial"/>
          <w:sz w:val="18"/>
          <w:szCs w:val="18"/>
          <w:color w:val="auto"/>
        </w:rPr>
      </w:pPr>
    </w:p>
    <w:p>
      <w:pPr>
        <w:ind w:left="660" w:right="72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an adjustment of approximately $0.6 million and $0.5 million of net earnings for the three months ended June 30, 2018 and 2017, respectively, associated with the application of the two-class method for computing diluted earnings per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7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80" w:hanging="644"/>
        <w:spacing w:after="0" w:line="25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address the ability of Congress to determine how to allocate the available budget authority and pass appropriations bills to fund both U.S. government departments and agencies that are, and those that are not, subject to the caps;</w:t>
      </w:r>
    </w:p>
    <w:p>
      <w:pPr>
        <w:spacing w:after="0" w:line="8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20" w:hanging="644"/>
        <w:spacing w:after="0" w:line="28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50" w:right="259" w:bottom="1440" w:gutter="0" w:footer="0" w:header="0"/>
        </w:sectPr>
      </w:pPr>
    </w:p>
    <w:bookmarkStart w:id="31" w:name="page32"/>
    <w:bookmarkEnd w:id="31"/>
    <w:p>
      <w:pPr>
        <w:ind w:left="1300" w:right="3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3" w:lineRule="exact"/>
        <w:rPr>
          <w:rFonts w:ascii="Arial" w:cs="Arial" w:eastAsia="Arial" w:hAnsi="Arial"/>
          <w:sz w:val="18"/>
          <w:szCs w:val="18"/>
          <w:color w:val="auto"/>
        </w:rPr>
      </w:pPr>
    </w:p>
    <w:p>
      <w:pPr>
        <w:ind w:left="1300" w:right="180" w:hanging="644"/>
        <w:spacing w:after="0" w:line="31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3" w:lineRule="exact"/>
        <w:rPr>
          <w:rFonts w:ascii="Arial" w:cs="Arial" w:eastAsia="Arial" w:hAnsi="Arial"/>
          <w:sz w:val="18"/>
          <w:szCs w:val="18"/>
          <w:color w:val="auto"/>
        </w:rPr>
      </w:pPr>
    </w:p>
    <w:p>
      <w:pPr>
        <w:jc w:val="both"/>
        <w:ind w:left="1300" w:right="460" w:hanging="644"/>
        <w:spacing w:after="0" w:line="286"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(BCA) of 2011 (as amended by the American Taxpayer Relief Act of 2012, the Bipartisan Budget Act of 2013, the Bipartisan Budget Act of 2015, and the Bipartisan Budget Act of 2018), provides for automatic spending cuts (referred to as sequestration) totaling approximately $1.2 trillion between 2013 and 2021, including an estimated $500 billion in federal defense spending cuts over this time period. The Bipartisan Budget Act of 2018 raised BCA spending caps on defense spending by $80 billion for government fiscal 2018, and $85 billion for government fiscal 2019. For non-defense funding, the Bipartisan Budget Act of 2018 raised BCA spending caps by $63 billion for fiscal 2018 and $67 billion for government fiscal 2019. While the American Taxpayer Relief Act of 2012, the Bipartisan Budget Act of 2013, the Bipartisan Budget Act of 2015, and the Bipartisan Budget Act of 2018 all negated and raised budget limits put in place by the BCA for both defense and non-defense spending, those spending limits are due to return in fiscal 2020, and absent another budget deal, could result in significant cuts to the budget levels allowed by the Bipartisan Budget Act of 2018.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71" w:lineRule="auto"/>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854" w:right="279" w:bottom="1440" w:gutter="0" w:footer="0" w:header="0"/>
        </w:sectPr>
      </w:pPr>
    </w:p>
    <w:bookmarkStart w:id="32" w:name="page33"/>
    <w:bookmarkEnd w:id="32"/>
    <w:p>
      <w:pPr>
        <w:ind w:left="1960" w:right="260"/>
        <w:spacing w:after="0" w:line="324" w:lineRule="auto"/>
        <w:rPr>
          <w:sz w:val="20"/>
          <w:szCs w:val="20"/>
          <w:color w:val="auto"/>
        </w:rPr>
      </w:pPr>
      <w:r>
        <w:rPr>
          <w:rFonts w:ascii="Arial" w:cs="Arial" w:eastAsia="Arial" w:hAnsi="Arial"/>
          <w:sz w:val="18"/>
          <w:szCs w:val="18"/>
          <w:color w:val="auto"/>
        </w:rPr>
        <w:t>assessment of our performance against a predetermined set of criteria, such as targets for factors like cost, quality, schedule, and performance.</w:t>
      </w:r>
    </w:p>
    <w:p>
      <w:pPr>
        <w:spacing w:after="0" w:line="35" w:lineRule="exact"/>
        <w:rPr>
          <w:sz w:val="20"/>
          <w:szCs w:val="20"/>
          <w:color w:val="auto"/>
        </w:rPr>
      </w:pPr>
    </w:p>
    <w:p>
      <w:pPr>
        <w:ind w:left="1960" w:right="220" w:hanging="655"/>
        <w:spacing w:after="0" w:line="255" w:lineRule="auto"/>
        <w:tabs>
          <w:tab w:leader="none" w:pos="19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5" w:lineRule="exact"/>
        <w:rPr>
          <w:rFonts w:ascii="Arial" w:cs="Arial" w:eastAsia="Arial" w:hAnsi="Arial"/>
          <w:sz w:val="18"/>
          <w:szCs w:val="18"/>
          <w:i w:val="1"/>
          <w:iCs w:val="1"/>
          <w:color w:val="auto"/>
        </w:rPr>
      </w:pPr>
    </w:p>
    <w:p>
      <w:pPr>
        <w:ind w:left="1960" w:right="220" w:hanging="655"/>
        <w:spacing w:after="0" w:line="302" w:lineRule="auto"/>
        <w:tabs>
          <w:tab w:leader="none" w:pos="196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Under a fixed-price contract, we agree to perform the specified work for a pre-determined price.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w:t>
      </w:r>
    </w:p>
    <w:p>
      <w:pPr>
        <w:spacing w:after="0" w:line="46"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52"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13335</wp:posOffset>
            </wp:positionV>
            <wp:extent cx="1903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46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r>
      <w:tr>
        <w:trPr>
          <w:trHeight w:val="27"/>
        </w:trPr>
        <w:tc>
          <w:tcPr>
            <w:tcW w:w="46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ind w:left="1540" w:right="220"/>
        <w:spacing w:after="0" w:line="273" w:lineRule="auto"/>
        <w:rPr>
          <w:sz w:val="20"/>
          <w:szCs w:val="20"/>
          <w:color w:val="auto"/>
        </w:rPr>
      </w:pPr>
      <w:r>
        <w:rPr>
          <w:rFonts w:ascii="Arial" w:cs="Arial" w:eastAsia="Arial" w:hAnsi="Arial"/>
          <w:sz w:val="14"/>
          <w:szCs w:val="14"/>
          <w:i w:val="1"/>
          <w:iCs w:val="1"/>
          <w:color w:val="auto"/>
        </w:rPr>
        <w:t>Note: Upon the adoption of Topic 606 in the current period, the contract type descriptions noted above have been aligned to the Revenue by Contract Type descriptions found in Note 3 to our accompanying condensed consolidated financial statements.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81" w:right="23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June 30, 2018 and 2017, we employed approximately 24,600 and 23,400 people, respectively, of which approximately 22,100 and 21,100,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Priced Options</w:t>
      </w:r>
      <w:r>
        <w:rPr>
          <w:rFonts w:ascii="Arial" w:cs="Arial" w:eastAsia="Arial" w:hAnsi="Arial"/>
          <w:sz w:val="17"/>
          <w:szCs w:val="17"/>
          <w:color w:val="auto"/>
        </w:rPr>
        <w:t>. 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058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058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4576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8,309</w:t>
            </w:r>
          </w:p>
        </w:tc>
      </w:tr>
      <w:tr>
        <w:trPr>
          <w:trHeight w:val="27"/>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total backlog consists of remaining performance obligations and unexercised option periods and other unexercised optional orders. As of June 30, 2018, the Company had $6.0 billion of remaining performance obligations and we expect to recognize more than half of the remaining performance obligations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2018, we can give no assurance that we will be able to convert our backlog into revenue in any particular period, if at all.</w:t>
      </w:r>
    </w:p>
    <w:p>
      <w:pPr>
        <w:spacing w:after="0" w:line="5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21.4% from June 30, 2017 to June 30, 2018. Additions to funded backlog during the twelve months ended June 30, 2018 totaled $6.3 billion in comparison to $5.7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54" w:right="239" w:bottom="1440" w:gutter="0" w:footer="0" w:header="0"/>
        </w:sectPr>
      </w:pPr>
    </w:p>
    <w:bookmarkStart w:id="34" w:name="page35"/>
    <w:bookmarkEnd w:id="34"/>
    <w:p>
      <w:pPr>
        <w:ind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addition,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7.9% of funded backlog as of the end of any of the four fiscal quarters preceding the fiscal quarter ended June 30, 2018.</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indirect labor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functions, marketing and bid and proposal costs, legal expenses, and other discretionary spending.</w:t>
      </w:r>
    </w:p>
    <w:p>
      <w:pPr>
        <w:spacing w:after="0" w:line="38" w:lineRule="exact"/>
        <w:rPr>
          <w:rFonts w:ascii="Arial" w:cs="Arial" w:eastAsia="Arial" w:hAnsi="Arial"/>
          <w:sz w:val="17"/>
          <w:szCs w:val="17"/>
          <w:color w:val="auto"/>
        </w:rPr>
      </w:pPr>
    </w:p>
    <w:p>
      <w:pPr>
        <w:ind w:left="1300" w:right="20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5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2018. Effective April 1, 2018, we adopted Topic 606 and ASU 2017-07 using the full retrospective method. All amounts and disclosures set forth in this Form 10-Q reflect these changes. Refer to Note 2 and Note 3 to our accompanying condensed consolidated financial statements for information related to our adoption of new accounting standards and for additional information related to revenue recognition. There were no other material changes to our critical accounting policies, estimates or judgments, other than our revenue recognition policy, that occurred in the quarterly period covered by this report.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1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815"/>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7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1"/>
                <w:szCs w:val="21"/>
                <w:color w:val="auto"/>
              </w:rPr>
            </w:pPr>
          </w:p>
        </w:tc>
        <w:tc>
          <w:tcPr>
            <w:tcW w:w="1060" w:type="dxa"/>
            <w:vAlign w:val="bottom"/>
            <w:tcBorders>
              <w:right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1,646,848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1,523,010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785,812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735,793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477,435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451,664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193,439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15,449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1,485,236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1,396,345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161,612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126,665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106,777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33,163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36,165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104,204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70,612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474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June 30, 2018 Compared to Three Months Ended June 30, 2017 </w:t>
      </w:r>
      <w:r>
        <w:rPr>
          <w:rFonts w:ascii="Arial" w:cs="Arial" w:eastAsia="Arial" w:hAnsi="Arial"/>
          <w:sz w:val="18"/>
          <w:szCs w:val="18"/>
          <w:i w:val="1"/>
          <w:iCs w:val="1"/>
          <w:color w:val="auto"/>
        </w:rPr>
        <w:t>Revenue</w:t>
      </w:r>
    </w:p>
    <w:p>
      <w:pPr>
        <w:spacing w:after="0" w:line="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Revenue increased to $1,646.8 million from $1,523.0 million, or an 8.1% increase, primarily due to increased client demand which led to increased client staff headcount, and an increase in client staff labor as well as improved contract performance. Total headcount as of June 30, 2018 increased approximately 1,100 compared to June 30, 2017.</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Cost of revenue increased to $785.8 million from $735.8 million, or a 6.8% increase. The increase was primarily due to increases in salaries and salary-related benefits of $40.8 million driven by increased headcount and annual base salary increases. Cost of revenue as a percentage of revenue was 47.7% and 48.3% for the three months ended June 30, 2018 and 2017,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Billable expenses increased to $477.4 million from $451.7 million, or a 5.7% increase, primarily attributable to an increase in the use of subcontractors in the current year driven by client demand, as well as an increase in contracts which require the Company to travel and incur direct expenses on behalf of clients over the prior year period. Billable expenses as a percentage of revenue were 29.0% and 29.7% for the three months ended June 30, 2018 and 2017, respectively.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850" w:right="27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General and administrative expenses increased to $205.8 million from $193.4 million, or a 6.4% increase, primarily due to increases in salaries and salary-related benefits of $7.5 million, driven by an increase in headcount growth as well as annual base salary increases, and an increase in professional fees of $4.0 million, partially offset by a decrease in other business expenses of $5.8 million. General and administrative expenses as a percentage of revenue were 12.5% and 12.7% for the three months ended June 30, 2018 and 2017,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Depreciation and amortization increased to $16.2 million from $15.4 million, or a 4.6% increase, primarily due to increases in depreciation expense resulting from the effects of higher capital expenditures in fiscal 2018.</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Interest expense increased to $23.1 million from $18.7 million, or a 23.1% increase, primarily as a result of increases in interest expense related to our term loans, and the Senior Notes (as defined below).</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Income tax expense decreased to $33.2 million from $36.2 million, or a 8.3% decrease. The effective tax rate decreased to 24.1% from 33.9% primarily due to the 2017 Tax Act's reduction of the U.S. federal corporate tax rate.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presents selected financial information as of June 30, 2018 and March 31, 2018 and for the first three months of fiscal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400" w:type="dxa"/>
            <w:vAlign w:val="bottom"/>
          </w:tcPr>
          <w:p>
            <w:pPr>
              <w:jc w:val="center"/>
              <w:ind w:right="47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2018</w:t>
            </w:r>
          </w:p>
        </w:tc>
      </w:tr>
      <w:tr>
        <w:trPr>
          <w:trHeight w:val="244"/>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149,723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286,958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1,803,853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1,818,579</w:t>
            </w:r>
          </w:p>
        </w:tc>
      </w:tr>
      <w:tr>
        <w:trPr>
          <w:trHeight w:val="477"/>
        </w:trPr>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gridSpan w:val="4"/>
          </w:tcPr>
          <w:p>
            <w:pPr>
              <w:jc w:val="center"/>
              <w:ind w:right="237"/>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021"/>
              <w:spacing w:after="0"/>
              <w:rPr>
                <w:sz w:val="20"/>
                <w:szCs w:val="20"/>
                <w:color w:val="auto"/>
              </w:rPr>
            </w:pPr>
            <w:r>
              <w:rPr>
                <w:rFonts w:ascii="Arial" w:cs="Arial" w:eastAsia="Arial" w:hAnsi="Arial"/>
                <w:sz w:val="14"/>
                <w:szCs w:val="14"/>
                <w:b w:val="1"/>
                <w:bCs w:val="1"/>
                <w:color w:val="auto"/>
                <w:w w:val="92"/>
              </w:rPr>
              <w:t>June 30,</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(11,740)</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127,815</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(decrease) increase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(137,235)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120,070</w:t>
            </w:r>
          </w:p>
        </w:tc>
      </w:tr>
      <w:tr>
        <w:trPr>
          <w:trHeight w:val="27"/>
        </w:trPr>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w:t>
      </w:r>
    </w:p>
    <w:p>
      <w:pPr>
        <w:sectPr>
          <w:pgSz w:w="11900" w:h="16838" w:orient="portrait"/>
          <w:cols w:equalWidth="0" w:num="1">
            <w:col w:w="11420"/>
          </w:cols>
          <w:pgMar w:left="240" w:top="854"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854" w:right="239" w:bottom="1440" w:gutter="0" w:footer="0" w:header="0"/>
          <w:type w:val="continuous"/>
        </w:sectPr>
      </w:pPr>
    </w:p>
    <w:bookmarkStart w:id="37" w:name="page38"/>
    <w:bookmarkEnd w:id="37"/>
    <w:p>
      <w:pPr>
        <w:ind w:right="600"/>
        <w:spacing w:after="0" w:line="277" w:lineRule="auto"/>
        <w:rPr>
          <w:sz w:val="20"/>
          <w:szCs w:val="20"/>
          <w:color w:val="auto"/>
        </w:rPr>
      </w:pPr>
      <w:r>
        <w:rPr>
          <w:rFonts w:ascii="Arial" w:cs="Arial" w:eastAsia="Arial" w:hAnsi="Arial"/>
          <w:sz w:val="18"/>
          <w:szCs w:val="18"/>
          <w:color w:val="auto"/>
        </w:rPr>
        <w:t>activities, existing cash and cash equivalents, and borrowing capacity under our revolving credit facility will be sufficient to meet our anticipated cash requirements for the next twelve months, which primarily include:</w:t>
      </w:r>
    </w:p>
    <w:p>
      <w:pPr>
        <w:spacing w:after="0" w:line="17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U.S government customers generally pay our invoices within 30 days of the invoice date, while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 Total accounts receivable (billed and unbilled combined, net of allowance for doubtful accounts) days sales outstanding, or DSO, which we calculate by dividing total accounts receivable by revenue per day during the relevant fiscal quarter, was 74 as of June 30, 2018 and 66 as of March 31, 2018. DSO increased primarily due to delays in the billing and collection of our revenue growth, which includes administrative delays in client payment processing.</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used in operations was $27.0 million in the three months ended June 30, 2018 compared to cash provided by operations of $4.0 million in the prior year period. The decrease in operating cash flows was primarily due to the factors driving the increase in DSO and a decrease in accounts payable associated with the timing of vendor payments.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Net cash used in investing activities was $20.5 million in the three months ended June 30, 2018 compared to $11.7 million in the prior year period, or a 74.5% increase. The increase in net cash used in investing activities was due to an increase in capital expenditures over the prior year period primarily related to software purchased and developed for clients and for operating performance.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jc w:val="both"/>
        <w:ind w:right="320" w:firstLine="405"/>
        <w:spacing w:after="0" w:line="312" w:lineRule="auto"/>
        <w:rPr>
          <w:sz w:val="20"/>
          <w:szCs w:val="20"/>
          <w:color w:val="auto"/>
        </w:rPr>
      </w:pPr>
      <w:r>
        <w:rPr>
          <w:rFonts w:ascii="Arial" w:cs="Arial" w:eastAsia="Arial" w:hAnsi="Arial"/>
          <w:sz w:val="16"/>
          <w:szCs w:val="16"/>
          <w:color w:val="auto"/>
        </w:rPr>
        <w:t>Net cash used in financing activities was $89.7 million in the three months ended June 30, 2018 compared to $127.8 million of net cash provided by financing activities in the prior year period. The decrease in net cash provided by financing activities was primarily due to net proceeds of $343.3 million received in fiscal 2018 from the issuance of the Senior Notes, partially offset by $130.0 million in net borrowings on the Revolving Credit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54" w:right="2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On July 30, 2018, the Company announced a regular quarterly cash dividend in the amount of $0.19 per share. The quarterly dividend is payable on August 31, 2018 to stockholders of record on August 14, 2018.</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7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dividends (1)</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27,442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27,709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26,302</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represent quarterly dividends of $0.19 per share and $0.17 per share that were declared and paid during fiscal 2019 and fiscal 2018,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On December 12, 2011, the Board of Directors authorized the repurchase of up to $30.0 million of shares. On January 27, 2015, the share repurchase authorization was increased to $180.0 million. On January 25, 2017, the Board of Directors approved an increase to share repurchase authorization from $180.0 million to $410.0 million. On November 2, 2017, the Board of Directors approved an increase to our share repurchase authorization from $410.0 million to up to $610.0 million. On May 24, 2018, the Board of Directors approved an increase to our share repurchase authorization from $610.0 million to up to $910.0 million. The Company may repurchase shares pursuant to the program by means of open market repurchases, directly negotiated repurchases or through agents acting pursuant to negotiated repurchase agreements. During the first quarter of fiscal 2019, the Company purchased 1.0 million shares of the Company's Class A Common Stock for an aggregate of $44.2 million. Following the aforementioned repurchases, as of June 30, 2018, the Company had $453.7 million remaining under the repurchase program.</w:t>
      </w:r>
    </w:p>
    <w:p>
      <w:pPr>
        <w:spacing w:after="0" w:line="152"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and other factors deemed relevant by our Board of Directors.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March 7, 2018, Booz Allen Hamilton Inc. ("Booz Allen Hamilton") and Booz Allen Hamilton Investor, and certain wholly-owned subsidiaries of Booz Allen Hamilton, entered into the Fifth Amendment (the "Fifth Amendment") to the Credit Agreement (as amended, the "Credit Agreement"), dated as of July 31, 2012 among Booz Allen Hamilton, Booz Allen Hamilton Investor, certain wholly owned subsidiaries of Booz Allen Hamilton and Bank of America, N.A., as Administrative Agent, Collateral Agent, Exchanging Lender and New Refinancing Tranche B Term Lender, and the other lenders and financial institutions from time to time party thereto (as previously amended by the First Amendment to Credit Agreement, dated as of August 16, 2013, the Second Amendment to Credit Agreement, dated as of May 7, 2014, the Third Amendment to the Credit Agreement, dated as of July 13, 2016, and the Fourth Amendment to the Credit Agreement, dated as of February 6, 2017). Pursuant to the Fifth Amendment, Booz Allen Hamilton reduced the interest rate spread applicable to Term Loan B ("Term Loan B" and, together with Term Loan A, the "Term Loans") from 2.25% to 2.00%. The interest rate applicable to the Term Loan A ("Term Loan A") is unchanged.</w:t>
      </w:r>
    </w:p>
    <w:p>
      <w:pPr>
        <w:spacing w:after="0" w:line="74"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Prior to the Fifth Amendment, $395 million was outstanding under Term Loan B. Pursuant to the Fifth Amendment, certain lenders converted their existing Term Loan B loans into a new tranche of Term Loan B loans in an aggregate amount, along with Term Loan B loans advanced by certain new lenders, of approximately $395 million. The proceeds from the new lenders were used to prepay in full all of the existing Term B Loans that were not converted into the new Term Loan B tranche.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54" w:right="2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color w:val="auto"/>
        </w:rPr>
        <w:t>As of June 30, 2018, the Credit Agreement provided Booz Allen Hamilton with a $1,079.5 million Term Loan A ("Term Loan A"), a $394.0</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million Term Loan B, and a $500.0 million Revolving Credit Facility (the "Revolving Credit Facility"), with a sub-limit for letters of credit of $100.0 million. As of June 30, 2018, the maturity date of Term Loan A and the termination date for the Revolving Credit Facility was June 30, 2021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15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At Booz Allen Hamilton's option, borrowings under the Term Loan A and Revolving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140"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Under the Fifth Amendment, the rate at which Term Loan B bears interest is based either on LIBOR (adjusted for maximum reserves and subject to a floor of zero plus 2.00% for the applicable interest period) or a base rate (equal to the highest of (x) the corporate base rate established by the administrative agent, (y) the overnight federal funds rate plus 0.50%, and (z) three-month LIBOR (adjusted for maximum reserves) plus 1.00%, plus, in each case, 1.25%), payable at the end of the applicable interest period; provided, that if such rate shall be less than zero, such rate shall be deemed to be zero.</w:t>
      </w:r>
    </w:p>
    <w:p>
      <w:pPr>
        <w:spacing w:after="0" w:line="12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the first quarter of fiscal 2019, Booz Allen Hamilton accessed a total of $60.0 million of its $500.0 million Revolving Credit Facility. As of June 30, 2018 and March 31, 2018, there were no amounts outstanding under the Revolving Credit Facility.</w:t>
      </w:r>
    </w:p>
    <w:p>
      <w:pPr>
        <w:spacing w:after="0" w:line="7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4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Booz Allen Hamilton also has agreed to pay customary letter of credit and agency fees. As of June 30, 2018 and March 31, 2018, Booz Allen Hamilton was contingently liable under open standby letters of credit and bank guarantees issued by its banks in favor of third parties that totaled $7.4 million and $6.3 million, respectively. These letters of credit and bank guarantees primarily support insurance and bid and performance obligations. At June 30, 2018 and March 31, 2018, approximately $1.0 million and $1.4 million, respectively, of these instruments reduced the available borrowings under the Revolving Credit Facility. The remainder is guaranteed under a separate $15.0 million facility established in fiscal 2015 of which $8.5 million and $10.1 million, respectively, was available to Booz Allen Hamilton at June 30, 2018 and March 31, 2018. As of June 30, 2018, Booz Allen Hamilton had $499.0 million of capacity available for additional borrowings under the Revolving Credit Facility.</w:t>
      </w:r>
    </w:p>
    <w:p>
      <w:pPr>
        <w:spacing w:after="0" w:line="70"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20" w:firstLine="8"/>
        <w:spacing w:after="0" w:line="268" w:lineRule="auto"/>
        <w:tabs>
          <w:tab w:leader="none" w:pos="30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transactions with affiliates; (vii) sale and lease back transactions; (viii) change in fiscal periods; (ix) negative pledges; (x) restrictive agreements; (xi) line of business; and (xii)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June 30, 2018 and March 31, 2018, we were compliant with these covenants.</w:t>
      </w:r>
    </w:p>
    <w:p>
      <w:pPr>
        <w:spacing w:after="0" w:line="18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July 23, 2018, Booz Allen Hamilton entered into the Sixth Amendment (the "Sixth Amendment") to the Credit Agreement which refinanced the Tranche A Term Loan Facility and Revolving Credit Facilities. Pursuant to the Sixth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854" w:right="27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Amendment, Booz Allen Hamilton reduced the interest rate spread applicable to the Tranche A Term Loan Facility and the Revolving Facility from 1.75% to 1.50% if the Company's Consolidated Net Total Leverage Ratio is less than 3:00 to 1:00 and greater than or equal to 2:00 to 1:00 and extended the maturity date applicable to the Tranche A Term Loan Facility and the Revolving Facility until the fifth anniversary of the Sixth Amendment. Additionally, the Sixth Amendment provides for a new delayed draw on the Tranche A Term Loan facility in the amount of up to $400 million for further investment in our business and returning value to shareholders. The interest rate applicable to the Tranche B Term Loan Facility remained unchanged. Refer to Note 19 to our condensed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due 2025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We intend to use the remaining proceeds for working capital and other general corporate purposes, which may include the repayment of a portion or all of the outstanding DPO (See Note 8 in our condensed consolidated financial statements for additional information on our indebtedness).</w:t>
      </w:r>
    </w:p>
    <w:p>
      <w:pPr>
        <w:spacing w:after="0" w:line="16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Borrowings under the Term Loans and, if used, the Revolving Credit Facility, incur interest at a variable rate. In accordance with Booz Allen Hamilton's risk management strategy, between April 6, 2017 and May 24, 2017, Booz Allen Hamilton executed a series of interest rate swaps. As of June 30, 2018, Booz Allen Hamilton had interest rate swaps with an aggregate notional amount of $450 million. These instruments hedge the variability of cash outflows for interest payments on the floating portion of the term loan debt. The Company's objectives in using cash flow hedges are to reduce volatility due to interest rate movements and to add stability to interest expense (See Note 9 in our condensed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stockholders’ equity amounted to $607.5 million as of June 30, 2018, an increase of $45.0 million compared to stockholders’ equity of $562.5 million as of March 31, 2018. The increase was primarily due to net income of $104.2 million in the three months ended June 30, 2018, stock-based compensation expense of $6.1 million, and stock option exercises of $5.3 million, partially offset by a $48.1 million increase in treasury stock resulting from the repurchase of shares of our Class A Common Stock and $27.4 million in quarterly dividend payments during the three months ended June 30, 2018.</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three months ended June 30, 2018 and 2017 were $20.5 million and $11.5 million, respectively, and the majority of such capital expenditures related to facilities infrastructure, equipment, software purchased and developed, and information technology. The increase in capital expenditures over the prior year period primarily related to software purchased and developed for clients and for operating performance.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746" w:right="279" w:bottom="1440" w:gutter="0" w:footer="0" w:header="0"/>
        </w:sectPr>
      </w:pPr>
    </w:p>
    <w:bookmarkStart w:id="41" w:name="page42"/>
    <w:bookmarkEnd w:id="41"/>
    <w:p>
      <w:pPr>
        <w:jc w:val="both"/>
        <w:ind w:right="420"/>
        <w:spacing w:after="0" w:line="264" w:lineRule="auto"/>
        <w:rPr>
          <w:sz w:val="20"/>
          <w:szCs w:val="20"/>
          <w:color w:val="auto"/>
        </w:rPr>
      </w:pPr>
      <w:r>
        <w:rPr>
          <w:rFonts w:ascii="Arial" w:cs="Arial" w:eastAsia="Arial" w:hAnsi="Arial"/>
          <w:sz w:val="18"/>
          <w:szCs w:val="18"/>
          <w:color w:val="auto"/>
        </w:rPr>
        <w:t>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73" w:lineRule="exact"/>
        <w:rPr>
          <w:sz w:val="20"/>
          <w:szCs w:val="20"/>
          <w:color w:val="auto"/>
        </w:rPr>
      </w:pPr>
    </w:p>
    <w:p>
      <w:pPr>
        <w:jc w:val="both"/>
        <w:ind w:left="660" w:right="1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including automatic sequestration required by the Budget Control Act of 2011 (as subsequently amended) and the U.S. deficit, as well as associated uncertainty around the timing, extent, nature and effect of such efforts;</w:t>
      </w:r>
    </w:p>
    <w:p>
      <w:pPr>
        <w:spacing w:after="0" w:line="73" w:lineRule="exact"/>
        <w:rPr>
          <w:rFonts w:ascii="Arial" w:cs="Arial" w:eastAsia="Arial" w:hAnsi="Arial"/>
          <w:sz w:val="18"/>
          <w:szCs w:val="18"/>
          <w:color w:val="auto"/>
        </w:rPr>
      </w:pPr>
    </w:p>
    <w:p>
      <w:pPr>
        <w:ind w:left="660" w:right="32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 (including those resulting from or related to cuts associated with sequestration);</w:t>
      </w:r>
    </w:p>
    <w:p>
      <w:pPr>
        <w:spacing w:after="0" w:line="78"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660" w:right="3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fund the government;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128"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unallowable or payments being withheld as a result of U.S. government audit, review, or investigation;</w:t>
      </w:r>
    </w:p>
    <w:p>
      <w:pPr>
        <w:spacing w:after="0" w:line="73"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54" w:right="259" w:bottom="1440" w:gutter="0" w:footer="0" w:header="0"/>
        </w:sectPr>
      </w:pPr>
    </w:p>
    <w:bookmarkStart w:id="42" w:name="page43"/>
    <w:bookmarkEnd w:id="42"/>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anticipate or estimate the tax implications of changes in tax law, or utilize existing or future tax benefits;</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established a Rabbi trust to provide for the payment of benefits under our non-qualified deferred compensation plan that became effective in the current period. As of June 30, 2018, fund assets totaled $3.1 million which include mutual fund investments that are subject to fluctuations in market prices and interest rates. Cash distributions made to plan participants are recognized as operating cash flows in the condensed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condensed consolidated statements of operations for the period ended June 30, 2018. As of June 30, 2018, there were no distributions made and no changes in fair value were recognized. See Notes 12 and 16 to our condensed consolidated financial statements for further discussion.</w:t>
      </w:r>
    </w:p>
    <w:p>
      <w:pPr>
        <w:spacing w:after="0" w:line="5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With the exception of the Rabbi trust discussed above, 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2018 filed with the Securities and Exchange Commission on May 29, 2018.</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854" w:right="2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2018 and March 31, 2018, there were no material amounts accrued in the condensed consolidated financial statements related to these proceedings.</w:t>
      </w:r>
    </w:p>
    <w:p>
      <w:pPr>
        <w:spacing w:after="0" w:line="153"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April 25, 2018, the court entered an order postponing the deadline within which the defendants must answer or move to dismiss the amended complaint. A lead plaintiff has not been appointed. The defendants’ motion to dismiss the amended complaint is due August 2, 2018.</w:t>
      </w:r>
    </w:p>
    <w:p>
      <w:pPr>
        <w:spacing w:after="0" w:line="36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June 30, 2018, the aggregate alleged damages that will be sought in the remaining suit is unknown. As of June 30, 2018, although the outcome of any of these cases is inherently uncertain and may be materially adverse, based on current information, we do not expect them to have a material adverse effect on our financial condition and results of operations.</w:t>
      </w:r>
    </w:p>
    <w:p>
      <w:pPr>
        <w:spacing w:after="0" w:line="154" w:lineRule="exact"/>
        <w:rPr>
          <w:sz w:val="20"/>
          <w:szCs w:val="20"/>
          <w:color w:val="auto"/>
        </w:rPr>
      </w:pPr>
    </w:p>
    <w:p>
      <w:pPr>
        <w:ind w:firstLine="392"/>
        <w:spacing w:after="0" w:line="253" w:lineRule="auto"/>
        <w:rPr>
          <w:sz w:val="20"/>
          <w:szCs w:val="20"/>
          <w:color w:val="auto"/>
        </w:rPr>
      </w:pPr>
      <w:r>
        <w:rPr>
          <w:rFonts w:ascii="Arial" w:cs="Arial" w:eastAsia="Arial" w:hAnsi="Arial"/>
          <w:sz w:val="18"/>
          <w:szCs w:val="18"/>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4" w:name="page45"/>
    <w:bookmarkEnd w:id="44"/>
    <w:p>
      <w:pPr>
        <w:ind w:right="680"/>
        <w:spacing w:after="0" w:line="277" w:lineRule="auto"/>
        <w:rPr>
          <w:sz w:val="20"/>
          <w:szCs w:val="20"/>
          <w:color w:val="auto"/>
        </w:rPr>
      </w:pPr>
      <w:r>
        <w:rPr>
          <w:rFonts w:ascii="Arial" w:cs="Arial" w:eastAsia="Arial" w:hAnsi="Arial"/>
          <w:sz w:val="18"/>
          <w:szCs w:val="18"/>
          <w:color w:val="auto"/>
        </w:rPr>
        <w:t>these matters and any related findings. At this stage, the Company is not able to reasonably estimate the expected amount or range of cost or any loss associated with these matters.</w:t>
      </w:r>
    </w:p>
    <w:p>
      <w:pPr>
        <w:spacing w:after="0" w:line="62"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as amended,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2018 filed with the Securities and Exchange Commission on May 29, 2018.</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share repurchase activity during the three months ended June 30, 2018:</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6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Arial" w:cs="Arial" w:eastAsia="Arial" w:hAnsi="Arial"/>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98,440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$38.54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98,440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194,061,282</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May 2018</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10,248</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$38.85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10,248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680"/>
              <w:spacing w:after="0"/>
              <w:rPr>
                <w:sz w:val="20"/>
                <w:szCs w:val="20"/>
                <w:color w:val="auto"/>
              </w:rPr>
            </w:pPr>
            <w:r>
              <w:rPr>
                <w:rFonts w:ascii="Arial" w:cs="Arial" w:eastAsia="Arial" w:hAnsi="Arial"/>
                <w:sz w:val="18"/>
                <w:szCs w:val="18"/>
                <w:color w:val="auto"/>
                <w:w w:val="97"/>
              </w:rPr>
              <w:t>493,663,104</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892,508</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$44.82</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892,508</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453,663,123</w:t>
            </w:r>
          </w:p>
        </w:tc>
      </w:tr>
      <w:tr>
        <w:trPr>
          <w:trHeight w:val="257"/>
        </w:trPr>
        <w:tc>
          <w:tcPr>
            <w:tcW w:w="3760" w:type="dxa"/>
            <w:vAlign w:val="bottom"/>
            <w:gridSpan w:val="2"/>
          </w:tcPr>
          <w:p>
            <w:pPr>
              <w:ind w:left="326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1,001,196</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1,001,196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00" w:hanging="652"/>
        <w:spacing w:after="0" w:line="29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On November 2, 2017, the Board of Directors approved an increase to our share repurchase authorization from $410.0 million to up to $610.0 million. On May 24, 2018, the Board of Directors approved an increase to our share repurchase authorization from $610.0 million to up to $910.0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See Note 14 to our unaudited condensed consolidated financial statements in this Form 10-Q for further information about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54" w:right="239" w:bottom="1440" w:gutter="0" w:footer="0" w:header="0"/>
        </w:sectPr>
      </w:pPr>
    </w:p>
    <w:bookmarkStart w:id="45" w:name="page46"/>
    <w:bookmarkEnd w:id="45"/>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850"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080" w:type="dxa"/>
            <w:vAlign w:val="bottom"/>
            <w:gridSpan w:val="6"/>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320" w:type="dxa"/>
            <w:vAlign w:val="bottom"/>
          </w:tcPr>
          <w:p>
            <w:pPr>
              <w:spacing w:after="0"/>
              <w:rPr>
                <w:sz w:val="11"/>
                <w:szCs w:val="11"/>
                <w:color w:val="auto"/>
              </w:rPr>
            </w:pPr>
          </w:p>
        </w:tc>
        <w:tc>
          <w:tcPr>
            <w:tcW w:w="100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31.1</w:t>
            </w:r>
          </w:p>
        </w:tc>
        <w:tc>
          <w:tcPr>
            <w:tcW w:w="320" w:type="dxa"/>
            <w:vAlign w:val="bottom"/>
          </w:tcPr>
          <w:p>
            <w:pPr>
              <w:spacing w:after="0"/>
              <w:rPr>
                <w:sz w:val="24"/>
                <w:szCs w:val="24"/>
                <w:color w:val="auto"/>
              </w:rPr>
            </w:pPr>
          </w:p>
        </w:tc>
        <w:tc>
          <w:tcPr>
            <w:tcW w:w="512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Rule 13a-14(a)/15d-14(a) Certification of the Chief Executive Officer*</w:t>
              </w:r>
            </w:hyperlink>
          </w:p>
        </w:tc>
        <w:tc>
          <w:tcPr>
            <w:tcW w:w="4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31.2</w:t>
            </w:r>
          </w:p>
        </w:tc>
        <w:tc>
          <w:tcPr>
            <w:tcW w:w="320" w:type="dxa"/>
            <w:vAlign w:val="bottom"/>
          </w:tcPr>
          <w:p>
            <w:pPr>
              <w:spacing w:after="0"/>
              <w:rPr>
                <w:sz w:val="24"/>
                <w:szCs w:val="24"/>
                <w:color w:val="auto"/>
              </w:rPr>
            </w:pPr>
          </w:p>
        </w:tc>
        <w:tc>
          <w:tcPr>
            <w:tcW w:w="10080" w:type="dxa"/>
            <w:vAlign w:val="bottom"/>
            <w:gridSpan w:val="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United States Code (18 U.S.C. 1350)*</w:t>
              </w:r>
            </w:hyperlink>
          </w:p>
        </w:tc>
        <w:tc>
          <w:tcPr>
            <w:tcW w:w="7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32.2</w:t>
            </w:r>
          </w:p>
        </w:tc>
        <w:tc>
          <w:tcPr>
            <w:tcW w:w="320" w:type="dxa"/>
            <w:vAlign w:val="bottom"/>
          </w:tcPr>
          <w:p>
            <w:pPr>
              <w:spacing w:after="0"/>
              <w:rPr>
                <w:sz w:val="24"/>
                <w:szCs w:val="24"/>
                <w:color w:val="auto"/>
              </w:rPr>
            </w:pPr>
          </w:p>
        </w:tc>
        <w:tc>
          <w:tcPr>
            <w:tcW w:w="10080" w:type="dxa"/>
            <w:vAlign w:val="bottom"/>
            <w:gridSpan w:val="6"/>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hanging="925"/>
        <w:spacing w:after="0" w:line="288"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three months ended June 30, 2018 formatted in XBRL (eXtensible Business Reporting Language): (i) Condensed Consolidated Balance Sheets at June 30, 2018 and March 31, 2018; (ii) Condensed Consolidated Statements of Operations for the three months ended June 30, 2018 and 2017; (iii) Condensed Consolidated Statements of Comprehensive Income for the three months ended June 30, 2018 and 2017; (iv) Condensed Consolidated Statements of Cash Flows for the three months ended June 30, 2018 and 2017;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742" w:right="359" w:bottom="1440" w:gutter="0" w:footer="0" w:header="0"/>
        </w:sectPr>
      </w:pPr>
    </w:p>
    <w:bookmarkStart w:id="47" w:name="page48"/>
    <w:bookmarkEnd w:id="47"/>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40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60"/>
          </w:cols>
          <w:pgMar w:left="240" w:top="742" w:right="8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2018,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2018,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5"/>
    </w:lvl>
  </w:abstractNum>
  <w:abstractNum w:abstractNumId="5">
    <w:nsid w:val="8EDBDAB"/>
    <w:multiLevelType w:val="hybridMultilevel"/>
    <w:lvl w:ilvl="0">
      <w:lvlJc w:val="left"/>
      <w:lvlText w:val="%1."/>
      <w:numFmt w:val="decimal"/>
      <w:start w:val="6"/>
    </w:lvl>
  </w:abstractNum>
  <w:abstractNum w:abstractNumId="6">
    <w:nsid w:val="79838CB2"/>
    <w:multiLevelType w:val="hybridMultilevel"/>
    <w:lvl w:ilvl="0">
      <w:lvlJc w:val="left"/>
      <w:lvlText w:val="(%1)"/>
      <w:numFmt w:val="lowerLetter"/>
      <w:start w:val="25"/>
    </w:lvl>
  </w:abstractNum>
  <w:abstractNum w:abstractNumId="7">
    <w:nsid w:val="4353D0CD"/>
    <w:multiLevelType w:val="hybridMultilevel"/>
    <w:lvl w:ilvl="0">
      <w:lvlJc w:val="left"/>
      <w:lvlText w:val="(%1)"/>
      <w:numFmt w:val="lowerRoman"/>
      <w:start w:val="6"/>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2"/>
    </w:lvl>
  </w:abstractNum>
  <w:abstractNum w:abstractNumId="12">
    <w:nsid w:val="2CA88611"/>
    <w:multiLevelType w:val="hybridMultilevel"/>
    <w:lvl w:ilvl="0">
      <w:lvlJc w:val="left"/>
      <w:lvlText w:val="%1."/>
      <w:numFmt w:val="decimal"/>
      <w:start w:val="14"/>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4"/>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lowerRoman"/>
      <w:start w:val="6"/>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0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2019-12-28T20:48:47Z</dcterms:created>
  <dcterms:modified xsi:type="dcterms:W3CDTF">2019-12-28T20:48:47Z</dcterms:modified>
</cp:coreProperties>
</file>