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474980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2013</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760"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60" w:space="720"/>
            <w:col w:w="4620" w:space="720"/>
            <w:col w:w="2140" w:space="720"/>
            <w:col w:w="740"/>
          </w:cols>
          <w:pgMar w:left="240" w:top="76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760" w:space="720"/>
            <w:col w:w="160" w:space="100"/>
            <w:col w:w="4360" w:space="720"/>
            <w:col w:w="2140" w:space="720"/>
            <w:col w:w="740"/>
          </w:cols>
          <w:pgMar w:left="240" w:top="76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4">
            <w:col w:w="8180" w:space="220"/>
            <w:col w:w="260" w:space="100"/>
            <w:col w:w="160" w:space="180"/>
            <w:col w:w="2320"/>
          </w:cols>
          <w:pgMar w:left="240" w:top="760"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24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5320" w:type="dxa"/>
            <w:vAlign w:val="bottom"/>
          </w:tcPr>
          <w:p>
            <w:pPr>
              <w:spacing w:after="0"/>
              <w:rPr>
                <w:sz w:val="16"/>
                <w:szCs w:val="16"/>
                <w:color w:val="auto"/>
              </w:rPr>
            </w:pPr>
          </w:p>
        </w:tc>
        <w:tc>
          <w:tcPr>
            <w:tcW w:w="4240" w:type="dxa"/>
            <w:vAlign w:val="bottom"/>
          </w:tcPr>
          <w:p>
            <w:pPr>
              <w:jc w:val="right"/>
              <w:ind w:right="316"/>
              <w:spacing w:after="0"/>
              <w:rPr>
                <w:sz w:val="20"/>
                <w:szCs w:val="20"/>
                <w:color w:val="auto"/>
              </w:rPr>
            </w:pPr>
            <w:r>
              <w:rPr>
                <w:rFonts w:ascii="Arial" w:cs="Arial" w:eastAsia="Arial" w:hAnsi="Arial"/>
                <w:sz w:val="14"/>
                <w:szCs w:val="14"/>
                <w:b w:val="1"/>
                <w:bCs w:val="1"/>
                <w:color w:val="auto"/>
              </w:rPr>
              <w:t>as of January 29, 2014</w:t>
            </w: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142,644,028</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893,265</w:t>
            </w:r>
          </w:p>
        </w:tc>
      </w:tr>
      <w:tr>
        <w:trPr>
          <w:trHeight w:val="27"/>
        </w:trPr>
        <w:tc>
          <w:tcPr>
            <w:tcW w:w="532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955,336</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4,424,814</w:t>
            </w:r>
          </w:p>
        </w:tc>
      </w:tr>
    </w:tbl>
    <w:p>
      <w:pPr>
        <w:sectPr>
          <w:pgSz w:w="11900" w:h="16838" w:orient="portrait"/>
          <w:cols w:equalWidth="0" w:num="1">
            <w:col w:w="11420"/>
          </w:cols>
          <w:pgMar w:left="240" w:top="760"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7"/>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7"/>
          </w:tcPr>
          <w:p>
            <w:pPr>
              <w:ind w:left="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22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730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580" w:type="dxa"/>
            <w:vAlign w:val="bottom"/>
            <w:gridSpan w:val="15"/>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MANAGEMENT’S DISCUSSION AND ANALYSIS OF FINANCIAL CONDITION AND RESULTS OF</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16">
              <w:r>
                <w:rPr>
                  <w:rFonts w:ascii="Arial" w:cs="Arial" w:eastAsia="Arial" w:hAnsi="Arial"/>
                  <w:sz w:val="18"/>
                  <w:szCs w:val="18"/>
                  <w:b w:val="1"/>
                  <w:bCs w:val="1"/>
                  <w:color w:val="0000EE"/>
                  <w:w w:val="79"/>
                </w:rPr>
                <w:t>15</w:t>
              </w:r>
            </w:hyperlink>
          </w:p>
        </w:tc>
      </w:tr>
      <w:tr>
        <w:trPr>
          <w:trHeight w:val="196"/>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16">
              <w:r>
                <w:rPr>
                  <w:rFonts w:ascii="Arial" w:cs="Arial" w:eastAsia="Arial" w:hAnsi="Arial"/>
                  <w:sz w:val="18"/>
                  <w:szCs w:val="18"/>
                  <w:b w:val="1"/>
                  <w:bCs w:val="1"/>
                  <w:color w:val="0000EE"/>
                  <w:w w:val="97"/>
                </w:rPr>
                <w:t>OPERATIONS</w:t>
              </w:r>
            </w:hyperlink>
          </w:p>
        </w:tc>
        <w:tc>
          <w:tcPr>
            <w:tcW w:w="6900" w:type="dxa"/>
            <w:vAlign w:val="bottom"/>
            <w:tcBorders>
              <w:top w:val="single" w:sz="8" w:color="0000EE"/>
            </w:tcBorders>
            <w:gridSpan w:val="11"/>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646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QUANTITATIVE AND QUALITATIVE DISCLOSURES ABOUT MARKET RISK</w:t>
              </w:r>
            </w:hyperlink>
          </w:p>
        </w:tc>
        <w:tc>
          <w:tcPr>
            <w:tcW w:w="312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2740" w:type="dxa"/>
            <w:vAlign w:val="bottom"/>
            <w:tcBorders>
              <w:bottom w:val="single" w:sz="8" w:color="0000EE"/>
            </w:tcBorders>
            <w:gridSpan w:val="10"/>
          </w:tcPr>
          <w:p>
            <w:pPr>
              <w:spacing w:after="0"/>
              <w:rPr>
                <w:rFonts w:ascii="Arial" w:cs="Arial" w:eastAsia="Arial" w:hAnsi="Arial"/>
                <w:sz w:val="18"/>
                <w:szCs w:val="18"/>
                <w:b w:val="1"/>
                <w:bCs w:val="1"/>
                <w:color w:val="0000EE"/>
                <w:w w:val="98"/>
              </w:rPr>
            </w:pPr>
            <w:hyperlink w:anchor="page33">
              <w:r>
                <w:rPr>
                  <w:rFonts w:ascii="Arial" w:cs="Arial" w:eastAsia="Arial" w:hAnsi="Arial"/>
                  <w:sz w:val="18"/>
                  <w:szCs w:val="18"/>
                  <w:b w:val="1"/>
                  <w:bCs w:val="1"/>
                  <w:color w:val="0000EE"/>
                  <w:w w:val="98"/>
                </w:rPr>
                <w:t>CONTROLS AND PROCEDURES</w:t>
              </w:r>
            </w:hyperlink>
          </w:p>
        </w:tc>
        <w:tc>
          <w:tcPr>
            <w:tcW w:w="684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32</w:t>
              </w:r>
            </w:hyperlink>
          </w:p>
        </w:tc>
      </w:tr>
      <w:tr>
        <w:trPr>
          <w:trHeight w:val="372"/>
        </w:trPr>
        <w:tc>
          <w:tcPr>
            <w:tcW w:w="11220" w:type="dxa"/>
            <w:vAlign w:val="bottom"/>
            <w:gridSpan w:val="17"/>
          </w:tcPr>
          <w:p>
            <w:pPr>
              <w:ind w:left="40"/>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200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LEGAL PROCEEDINGS</w:t>
              </w:r>
            </w:hyperlink>
          </w:p>
        </w:tc>
        <w:tc>
          <w:tcPr>
            <w:tcW w:w="758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1340" w:type="dxa"/>
            <w:vAlign w:val="bottom"/>
            <w:tcBorders>
              <w:bottom w:val="single" w:sz="8" w:color="0000EE"/>
            </w:tcBorders>
            <w:gridSpan w:val="4"/>
          </w:tcPr>
          <w:p>
            <w:pPr>
              <w:spacing w:after="0"/>
              <w:rPr>
                <w:rFonts w:ascii="Arial" w:cs="Arial" w:eastAsia="Arial" w:hAnsi="Arial"/>
                <w:sz w:val="18"/>
                <w:szCs w:val="18"/>
                <w:b w:val="1"/>
                <w:bCs w:val="1"/>
                <w:color w:val="0000EE"/>
                <w:w w:val="97"/>
              </w:rPr>
            </w:pPr>
            <w:hyperlink w:anchor="page35">
              <w:r>
                <w:rPr>
                  <w:rFonts w:ascii="Arial" w:cs="Arial" w:eastAsia="Arial" w:hAnsi="Arial"/>
                  <w:sz w:val="18"/>
                  <w:szCs w:val="18"/>
                  <w:b w:val="1"/>
                  <w:bCs w:val="1"/>
                  <w:color w:val="0000EE"/>
                  <w:w w:val="97"/>
                </w:rPr>
                <w:t>RISK FACTORS</w:t>
              </w:r>
            </w:hyperlink>
          </w:p>
        </w:tc>
        <w:tc>
          <w:tcPr>
            <w:tcW w:w="824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400" w:type="dxa"/>
            <w:vAlign w:val="bottom"/>
            <w:tcBorders>
              <w:bottom w:val="single" w:sz="8" w:color="0000EE"/>
            </w:tcBorders>
            <w:gridSpan w:val="12"/>
          </w:tcPr>
          <w:p>
            <w:pPr>
              <w:spacing w:after="0"/>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UNREGISTERED SALES OF EQUITY SECURITIES AND USE OF PROCEEDS</w:t>
              </w:r>
            </w:hyperlink>
          </w:p>
        </w:tc>
        <w:tc>
          <w:tcPr>
            <w:tcW w:w="318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3360" w:type="dxa"/>
            <w:vAlign w:val="bottom"/>
            <w:tcBorders>
              <w:bottom w:val="single" w:sz="8" w:color="0000EE"/>
            </w:tcBorders>
            <w:gridSpan w:val="11"/>
          </w:tcPr>
          <w:p>
            <w:pPr>
              <w:spacing w:after="0"/>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DEFAULTS UPON SENIOR SECURITIES</w:t>
              </w:r>
            </w:hyperlink>
          </w:p>
        </w:tc>
        <w:tc>
          <w:tcPr>
            <w:tcW w:w="622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9580" w:type="dxa"/>
            <w:vAlign w:val="bottom"/>
            <w:gridSpan w:val="15"/>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MINE SAFETY DISCLOSURES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256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7020" w:type="dxa"/>
            <w:vAlign w:val="bottom"/>
            <w:gridSpan w:val="6"/>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33</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880" w:type="dxa"/>
            <w:vAlign w:val="bottom"/>
            <w:tcBorders>
              <w:top w:val="single" w:sz="8" w:color="0000EE"/>
              <w:bottom w:val="single" w:sz="8" w:color="0000EE"/>
            </w:tcBorders>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EXHIBITS</w:t>
              </w:r>
            </w:hyperlink>
          </w:p>
        </w:tc>
        <w:tc>
          <w:tcPr>
            <w:tcW w:w="1140" w:type="dxa"/>
            <w:vAlign w:val="bottom"/>
            <w:tcBorders>
              <w:top w:val="single" w:sz="8" w:color="0000EE"/>
            </w:tcBorders>
            <w:gridSpan w:val="6"/>
          </w:tcPr>
          <w:p>
            <w:pPr>
              <w:spacing w:after="0"/>
              <w:rPr>
                <w:sz w:val="24"/>
                <w:szCs w:val="24"/>
                <w:color w:val="auto"/>
              </w:rPr>
            </w:pPr>
          </w:p>
        </w:tc>
        <w:tc>
          <w:tcPr>
            <w:tcW w:w="756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34</w:t>
              </w:r>
            </w:hyperlink>
          </w:p>
        </w:tc>
      </w:tr>
    </w:tbl>
    <w:p>
      <w:pPr>
        <w:sectPr>
          <w:pgSz w:w="11900" w:h="16838" w:orient="portrait"/>
          <w:cols w:equalWidth="0" w:num="1">
            <w:col w:w="11400"/>
          </w:cols>
          <w:pgMar w:left="240" w:top="607"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54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7"/>
                <w:szCs w:val="17"/>
                <w:color w:val="auto"/>
              </w:rPr>
            </w:pPr>
          </w:p>
        </w:tc>
        <w:tc>
          <w:tcPr>
            <w:tcW w:w="1220" w:type="dxa"/>
            <w:vAlign w:val="bottom"/>
          </w:tcPr>
          <w:p>
            <w:pPr>
              <w:jc w:val="right"/>
              <w:ind w:right="35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(Amounts in thousands, except</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56"/>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350,384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886,260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1,029,586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44,382</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1,348,092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1,424,352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166,570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224,628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236,220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1,277,369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68,377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73,017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3,050,133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3,177,528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69,156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55,562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451,065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374,593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385,433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72,586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899,643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964,646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1,605,341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1,659,611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266,461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326,478</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2,771,445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2,950,735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16)</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143,162,505 shares at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7"/>
              </w:rPr>
              <w:t>December 31, 2013 and 136,457,444 shares at March 31, 2013; outstanding, 142,588,058 shares at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December 31, 2013 and 136,051,601 shares at March 31, 2013</w:t>
            </w:r>
          </w:p>
        </w:tc>
        <w:tc>
          <w:tcPr>
            <w:tcW w:w="22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Non-voting common stock, Class B — $0.01 par value — authorized, 16,000,000 shares; issued and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outstanding, 943,265 shares at December 31, 2013 and 1,451,600 shares at March 31, 2013</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Restricted common stock, Class C — $0.01 par value — authorized, 5,000,000 shares; issued and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outstanding, 955,336 shares at December 31, 2013 and 1,224,319 shares at March 31, 2013</w:t>
            </w:r>
          </w:p>
        </w:tc>
        <w:tc>
          <w:tcPr>
            <w:tcW w:w="22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4,424,814 shares at December 31, 2013 and 7,478,522 shares at March 31, 2013</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5"/>
              </w:rPr>
              <w:t>Treasury stock, at cost — 574,447 shares at December 31, 2013 and 405,843 shares at March 31, 2013</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120,836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123,240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124,775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278,688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226,793</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3,050,133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3,177,528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ind w:right="119"/>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OPERATIONS (UNAUDITED)</w:t>
      </w:r>
    </w:p>
    <w:tbl>
      <w:tblPr>
        <w:tblLayout w:type="fixed"/>
        <w:tblInd w:w="0" w:type="dxa"/>
        <w:tblCellMar>
          <w:top w:w="0" w:type="dxa"/>
          <w:left w:w="0" w:type="dxa"/>
          <w:bottom w:w="0" w:type="dxa"/>
          <w:right w:w="0" w:type="dxa"/>
        </w:tblCellMar>
      </w:tblPr>
      <w:tr>
        <w:trPr>
          <w:trHeight w:val="151"/>
        </w:trPr>
        <w:tc>
          <w:tcPr>
            <w:tcW w:w="4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20"/>
              <w:spacing w:after="0" w:line="151" w:lineRule="exact"/>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3"/>
                <w:szCs w:val="13"/>
                <w:color w:val="auto"/>
              </w:rPr>
            </w:pPr>
          </w:p>
        </w:tc>
        <w:tc>
          <w:tcPr>
            <w:tcW w:w="2600" w:type="dxa"/>
            <w:vAlign w:val="bottom"/>
            <w:gridSpan w:val="4"/>
          </w:tcPr>
          <w:p>
            <w:pPr>
              <w:jc w:val="center"/>
              <w:ind w:right="231"/>
              <w:spacing w:after="0" w:line="151"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40" w:type="dxa"/>
            <w:vAlign w:val="bottom"/>
          </w:tcPr>
          <w:p>
            <w:pPr>
              <w:spacing w:after="0"/>
              <w:rPr>
                <w:sz w:val="13"/>
                <w:szCs w:val="13"/>
                <w:color w:val="auto"/>
              </w:rPr>
            </w:pPr>
          </w:p>
        </w:tc>
        <w:tc>
          <w:tcPr>
            <w:tcW w:w="2600" w:type="dxa"/>
            <w:vAlign w:val="bottom"/>
            <w:gridSpan w:val="4"/>
          </w:tcPr>
          <w:p>
            <w:pPr>
              <w:jc w:val="center"/>
              <w:ind w:right="25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40" w:type="dxa"/>
            <w:vAlign w:val="bottom"/>
          </w:tcPr>
          <w:p>
            <w:pPr>
              <w:spacing w:after="0"/>
              <w:rPr>
                <w:sz w:val="16"/>
                <w:szCs w:val="16"/>
                <w:color w:val="auto"/>
              </w:rPr>
            </w:pPr>
          </w:p>
        </w:tc>
        <w:tc>
          <w:tcPr>
            <w:tcW w:w="260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1,273,150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1,392,695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4,078,861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4,212,769</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662,053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692,920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2,048,663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2,122,356</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320,370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382,520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1,083,890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1,114,424</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175,748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520,557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588,385</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17,945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18,127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54,377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54,243</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1,176,116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1,276,099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3,707,487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3,879,408</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97,034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116,596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371,374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333,361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(50,788)</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(7,692)</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309,994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274,881</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31,014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38,815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124,701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110,636</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56,184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185,293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164,245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67"/>
        </w:trPr>
        <w:tc>
          <w:tcPr>
            <w:tcW w:w="4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607" w:right="1440" w:bottom="1440" w:gutter="0" w:footer="0" w:header="0"/>
        </w:sectPr>
      </w:pPr>
    </w:p>
    <w:bookmarkStart w:id="4" w:name="page5"/>
    <w:bookmarkEnd w:id="4"/>
    <w:p>
      <w:pPr>
        <w:jc w:val="center"/>
        <w:ind w:left="260" w:right="1860"/>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1"/>
        </w:trPr>
        <w:tc>
          <w:tcPr>
            <w:tcW w:w="4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jc w:val="center"/>
              <w:ind w:right="440"/>
              <w:spacing w:after="0" w:line="151" w:lineRule="exact"/>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3"/>
                <w:szCs w:val="13"/>
                <w:color w:val="auto"/>
              </w:rPr>
            </w:pPr>
          </w:p>
        </w:tc>
        <w:tc>
          <w:tcPr>
            <w:tcW w:w="1780" w:type="dxa"/>
            <w:vAlign w:val="bottom"/>
            <w:gridSpan w:val="3"/>
          </w:tcPr>
          <w:p>
            <w:pPr>
              <w:jc w:val="center"/>
              <w:ind w:left="480"/>
              <w:spacing w:after="0" w:line="151" w:lineRule="exact"/>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3"/>
                <w:szCs w:val="13"/>
                <w:color w:val="auto"/>
              </w:rPr>
            </w:pPr>
          </w:p>
        </w:tc>
      </w:tr>
      <w:tr>
        <w:trPr>
          <w:trHeight w:val="192"/>
        </w:trPr>
        <w:tc>
          <w:tcPr>
            <w:tcW w:w="4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80"/>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4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4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21"/>
                <w:szCs w:val="21"/>
                <w:color w:val="auto"/>
              </w:rPr>
            </w:pPr>
          </w:p>
        </w:tc>
        <w:tc>
          <w:tcPr>
            <w:tcW w:w="266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0"/>
              </w:rPr>
              <w:t>(Amounts in thousands)</w:t>
            </w: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47,167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185,293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164,245</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
        </w:trPr>
        <w:tc>
          <w:tcPr>
            <w:tcW w:w="4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47,586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56,108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187,245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164,649</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0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60"/>
          </w:cols>
          <w:pgMar w:left="240" w:top="823" w:right="12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185,293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164,245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54,377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54,243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19,863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 and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sales of businesses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174,424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19,963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(54,913)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Transaction costs on acquisitions and dispositions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292,334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398,934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paid for business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(157,995)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sales of businesses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Escrow payments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36,844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26,297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(186,828)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(1,110,011)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Debt issuance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(981,625)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1,739,750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(387,697)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52,780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(166,790)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484,368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403,164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317,578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140,893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79,352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607" w:right="239" w:bottom="108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07" w:right="239" w:bottom="1084" w:gutter="0" w:footer="0" w:header="0"/>
          <w:type w:val="continuous"/>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left="300" w:right="2120"/>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December 31,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w:t>
      </w:r>
    </w:p>
    <w:p>
      <w:pPr>
        <w:spacing w:after="0" w:line="9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and technology consulting services primarily to the U.S. government in the defense, intelligence, and civil markets. The Company is also further developing the scope and scale of the engineering services capabilities that it provides to its U.S. government clients. The Company has expanded beyond its management consulting foundation to develop deep expertise in technology, engineering, and analytics. The Company reports operating results and financial data in one operating segment. The Company is headquartered in McLean, Virginia, with approximately 22,700 employees as of December 31,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GAAP, for interim financial information and with the instructions to Form 10-Q and Article 10 of Regulation S-X. As a result, certain information and footnote disclosures normally included in financial statements prepared in accordance with GAAP have been condensed or omitted. The Company followed the accounting policies used and disclosed in the consolidated financial statements included in the Annual Report on Form 10-K for the fiscal year ended March 31, 2013 filed with the Securities and Exchange Commission on May 23, 2013, or Annual Report, and policies stated within this Quarterly Report. The Company’s fiscal year ends on March 31 and unless otherwise noted, references to fiscal year or fiscal are for fiscal years ended March 31.</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nine months ended December 31, 2013 are not necessarily indicative of results to be expected for the full fiscal year.</w:t>
      </w:r>
    </w:p>
    <w:p>
      <w:pPr>
        <w:spacing w:after="0" w:line="12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valuation and lives of tangible and intangible assets,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Recent accounting pronouncements issued by the Financial Accounting Standards Board, or FASB, during the nine months ended December 31, 2013, and through the filing date did not or are not believed by management to have a material impact on the Company's present or historical condensed consolidated financial statements.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4"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 Unvested Class A Restricted Common Stock and unvested Class C Restricted Common Stock holders are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364" w:right="299" w:bottom="1440" w:gutter="0" w:footer="0" w:header="0"/>
        </w:sectPr>
      </w:pPr>
    </w:p>
    <w:bookmarkStart w:id="7" w:name="page8"/>
    <w:bookmarkEnd w:id="7"/>
    <w:p>
      <w:pPr>
        <w:ind w:right="120"/>
        <w:spacing w:after="0" w:line="259" w:lineRule="auto"/>
        <w:rPr>
          <w:sz w:val="20"/>
          <w:szCs w:val="20"/>
          <w:color w:val="auto"/>
        </w:rPr>
      </w:pPr>
      <w:r>
        <w:rPr>
          <w:rFonts w:ascii="Arial" w:cs="Arial" w:eastAsia="Arial" w:hAnsi="Arial"/>
          <w:sz w:val="18"/>
          <w:szCs w:val="18"/>
          <w:color w:val="auto"/>
        </w:rPr>
        <w:t>entitled to participate in non-forfeitable dividends or other distributions. These unvested shares participated in the Company's dividends declared and paid in the first, second, and third quarters of fiscal 2014 and 2013. As such, EPS is calculated using the two-class method whereby earnings are reduced by distributed earnings as well as any available undistributed earnings allocable to restricted shareholders. A reconciliation of the income used to compute basic and diluted EPS for the periods presented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4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55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183,605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155,285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Weighted-average Class A Common Stock outstanding</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140,948,396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w w:val="93"/>
              </w:rPr>
              <w:t>132,125,447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w w:val="93"/>
              </w:rPr>
              <w:t>138,540,878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w w:val="99"/>
              </w:rPr>
              <w:t>129,902,993</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Class B Non-Voting Common Stock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947,259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1,932,004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1,087,755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2,281,000</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Weighted-average Class C Restricted Common Stock outstanding</w:t>
            </w:r>
          </w:p>
        </w:tc>
        <w:tc>
          <w:tcPr>
            <w:tcW w:w="30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968,405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1,215,102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1,042,537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1,311,015</w:t>
            </w: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weighted-average common shares outstanding for basic</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computations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142,864,060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135,272,553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140,671,170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133,495,008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Earnings for diluted computations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45,689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55,734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183,605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155,285</w:t>
            </w: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5,971,223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9,790,962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7,494,020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10,621,049</w:t>
            </w:r>
          </w:p>
        </w:tc>
      </w:tr>
      <w:tr>
        <w:trPr>
          <w:trHeight w:val="209"/>
        </w:trPr>
        <w:tc>
          <w:tcPr>
            <w:tcW w:w="5500" w:type="dxa"/>
            <w:vAlign w:val="bottom"/>
          </w:tcPr>
          <w:p>
            <w:pPr>
              <w:ind w:left="380"/>
              <w:spacing w:after="0"/>
              <w:rPr>
                <w:sz w:val="20"/>
                <w:szCs w:val="20"/>
                <w:color w:val="auto"/>
              </w:rPr>
            </w:pPr>
            <w:r>
              <w:rPr>
                <w:rFonts w:ascii="Arial" w:cs="Arial" w:eastAsia="Arial" w:hAnsi="Arial"/>
                <w:sz w:val="18"/>
                <w:szCs w:val="18"/>
                <w:color w:val="auto"/>
              </w:rPr>
              <w:t>Average number of common shares outstanding for diluted</w:t>
            </w: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computations</w:t>
            </w:r>
          </w:p>
        </w:tc>
        <w:tc>
          <w:tcPr>
            <w:tcW w:w="30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148,835,283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w w:val="93"/>
              </w:rPr>
              <w:t>145,063,515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w w:val="93"/>
              </w:rPr>
              <w:t>148,165,190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w w:val="99"/>
              </w:rPr>
              <w:t>144,116,057</w:t>
            </w: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1.16</w:t>
            </w:r>
          </w:p>
        </w:tc>
      </w:tr>
      <w:tr>
        <w:trPr>
          <w:trHeight w:val="67"/>
        </w:trPr>
        <w:tc>
          <w:tcPr>
            <w:tcW w:w="55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55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8"/>
        <w:spacing w:after="0" w:line="291"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three months ended December 31, 2013 and 2012, approximately 1.3 million and 1.2 million participating securities were paid dividends totaling $1.5 million and $104,000, respectively. During the nine months ended December 31, 2013 and 2012, approximately 1.3 million and 1.2 million participating securities were paid dividends totaling $1.7 million and $9.0 million, respectively. For the three months ended December 31, 2012 there were undistributed earnings of $371,000 and $346,000 allocated to the participating class of securities in basic and diluted earnings per share, respectively. The undistributed and distributed earnings referenced above comprise the difference from net income presented on the condensed consolidated statements of operations for the three months ended December 31, 2012, while only the dividends paid comprise the difference in net income for the three and nine months ended December 31, 2013 and the nine months ended December 31, 2012, as there were no excess undistributed earnings.</w:t>
      </w:r>
    </w:p>
    <w:p>
      <w:pPr>
        <w:spacing w:after="0" w:line="3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the EPS calculation for the three and nine months ended December 31, 2013, 101,000 and 104,000 options respectively, were not included in the EPS calculation as their impact was anti-dilutive. For the three and nine months ended December 31, 2012, 782,000 and 328,000 options, respectively, were not included in the EPS calculation as their impact was anti-dilutive.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452,478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431,770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435,465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598,004</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2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886,260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1,029,586</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Long-term</w:t>
            </w:r>
          </w:p>
        </w:tc>
        <w:tc>
          <w:tcPr>
            <w:tcW w:w="2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28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19,779</w:t>
            </w:r>
          </w:p>
        </w:tc>
        <w:tc>
          <w:tcPr>
            <w:tcW w:w="0" w:type="dxa"/>
            <w:vAlign w:val="bottom"/>
          </w:tcPr>
          <w:p>
            <w:pPr>
              <w:spacing w:after="0"/>
              <w:rPr>
                <w:sz w:val="1"/>
                <w:szCs w:val="1"/>
                <w:color w:val="auto"/>
              </w:rPr>
            </w:pPr>
          </w:p>
        </w:tc>
      </w:tr>
      <w:tr>
        <w:trPr>
          <w:trHeight w:val="237"/>
        </w:trPr>
        <w:tc>
          <w:tcPr>
            <w:tcW w:w="38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8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907,703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1,049,365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800" w:type="dxa"/>
            <w:vAlign w:val="bottom"/>
            <w:vMerge w:val="restart"/>
          </w:tcPr>
          <w:p>
            <w:pPr>
              <w:jc w:val="right"/>
              <w:ind w:right="1650"/>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8" w:name="page9"/>
    <w:bookmarkEnd w:id="8"/>
    <w:p>
      <w:pPr>
        <w:jc w:val="both"/>
        <w:ind w:right="40" w:firstLine="648"/>
        <w:spacing w:after="0" w:line="259" w:lineRule="auto"/>
        <w:rPr>
          <w:sz w:val="20"/>
          <w:szCs w:val="20"/>
          <w:color w:val="auto"/>
        </w:rPr>
      </w:pPr>
      <w:r>
        <w:rPr>
          <w:rFonts w:ascii="Arial" w:cs="Arial" w:eastAsia="Arial" w:hAnsi="Arial"/>
          <w:sz w:val="18"/>
          <w:szCs w:val="18"/>
          <w:color w:val="auto"/>
        </w:rPr>
        <w:t>The Company recognized a provision (benefit) for doubtful accounts of $(302,000) and $(497,000) for the three months ended December 31, 2013 and 2012, respectively, and $1.2 million and $349,000 for the nine months ended December 31, 2013 and 2012, respectively. Long-term unbilled receivables related to retainage, holdbacks, and long-term rate settlements to be billed at contract closeout are included in other long-term assets as accounts receivable in the accompanying condensed consolidated balance sheets.</w:t>
      </w:r>
    </w:p>
    <w:p>
      <w:pPr>
        <w:spacing w:after="0" w:line="183" w:lineRule="exact"/>
        <w:rPr>
          <w:sz w:val="20"/>
          <w:szCs w:val="20"/>
          <w:color w:val="auto"/>
        </w:rPr>
      </w:pPr>
    </w:p>
    <w:p>
      <w:pPr>
        <w:ind w:left="440" w:right="5680" w:hanging="432"/>
        <w:spacing w:after="0" w:line="660" w:lineRule="auto"/>
        <w:tabs>
          <w:tab w:leader="none" w:pos="188"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248,471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218,863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202,594</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451,065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16 for further discussion of this reserve.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89,389</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118,079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83,071</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102,848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136,528</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13)</w:t>
            </w: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48,468</w:t>
            </w:r>
          </w:p>
        </w:tc>
      </w:tr>
      <w:tr>
        <w:trPr>
          <w:trHeight w:val="27"/>
        </w:trPr>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(1)</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ind w:right="194"/>
              <w:spacing w:after="0"/>
              <w:rPr>
                <w:sz w:val="20"/>
                <w:szCs w:val="20"/>
                <w:color w:val="auto"/>
              </w:rPr>
            </w:pPr>
            <w:r>
              <w:rPr>
                <w:rFonts w:ascii="Arial" w:cs="Arial" w:eastAsia="Arial" w:hAnsi="Arial"/>
                <w:sz w:val="18"/>
                <w:szCs w:val="18"/>
                <w:color w:val="auto"/>
                <w:w w:val="99"/>
              </w:rPr>
              <w:t>—</w:t>
            </w: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29,570</w:t>
            </w:r>
          </w:p>
        </w:tc>
        <w:tc>
          <w:tcPr>
            <w:tcW w:w="1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27,977</w:t>
            </w:r>
          </w:p>
        </w:tc>
      </w:tr>
      <w:tr>
        <w:trPr>
          <w:trHeight w:val="27"/>
        </w:trPr>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374,593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385,433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maintains a deferred compensation plan, or EPP, established in January 2009, for the benefit of certain employees. The EPP allows eligible participants to defer all or a portion of their annual performance bonus, reduced by amounts withheld for the payment of taxes or other deductions required by law. The Company makes no contributions to the EPP, but maintains participant accounts for deferred amounts and interest earned. Employees must leave the money in the EPP until 2014. The deferred balance generally will be paid within 180 days of the final determination of the interest to be accrued for 2014, upon retirement, or termination. The Company anticipates the deferred balance will be paid during the three months ending December 31, 2014, and as such, the entire deferred compensation balance of $27.4 million as of December 31, 2013 was reclassified from other long-term liabilities to a component of accrued compensation and benefits.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3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7. DEBT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835"/>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2013</w:t>
            </w:r>
          </w:p>
        </w:tc>
      </w:tr>
      <w:tr>
        <w:trPr>
          <w:trHeight w:val="152"/>
        </w:trPr>
        <w:tc>
          <w:tcPr>
            <w:tcW w:w="4900" w:type="dxa"/>
            <w:vAlign w:val="bottom"/>
          </w:tcPr>
          <w:p>
            <w:pPr>
              <w:spacing w:after="0"/>
              <w:rPr>
                <w:sz w:val="13"/>
                <w:szCs w:val="13"/>
                <w:color w:val="auto"/>
              </w:rPr>
            </w:pPr>
          </w:p>
        </w:tc>
        <w:tc>
          <w:tcPr>
            <w:tcW w:w="96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4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673,801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706,134</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Term Loan B</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1,000,696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4.50%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1,009,039</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1,674,497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1,715,173</w:t>
            </w:r>
          </w:p>
        </w:tc>
      </w:tr>
      <w:tr>
        <w:trPr>
          <w:trHeight w:val="243"/>
        </w:trPr>
        <w:tc>
          <w:tcPr>
            <w:tcW w:w="5860" w:type="dxa"/>
            <w:vAlign w:val="bottom"/>
            <w:gridSpan w:val="2"/>
          </w:tcPr>
          <w:p>
            <w:pPr>
              <w:ind w:left="70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(69,156)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(55,562)</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1,605,341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1,659,611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August 16, 2013, the Company consummated the First Amendment to its senior secured credit agreement, effective July 31, 2012, or Credit Agreement. As of December 31, 2013, the Credit Agreement, as amended, provided the Company with a $725.0 million Term Loan A and a $1,025.0 million Term Loan B, and a $500.0 million revolving credit facility, with a sublimit for letters of credit of $100.0 million. The outstanding obligations under the Credit Agreement, as amended, are secured by a security interest in substantially all of the assets of the Company, subject to certain exceptions set forth in the Credit Agreement, as amended, and related documentation.</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with annual incremental increases to 1.875%, 2.50%, 3.125%, and 13.0%, prior to Term Loan A's maturity date of December 31, 2017, and 0.25% of the stated principal amount of Term Loan B, with the remaining balance payable on Term Loan B's maturity date of July 31, 2019. The revolving credit facility matures on December 31, 2017, at which time any outstanding principal balance is due in full. As of December 31, 2013 and March 31, 2013, there were no amounts outstanding on the revolving credit facility.</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w:t>
      </w:r>
    </w:p>
    <w:p>
      <w:pPr>
        <w:ind w:right="200"/>
        <w:spacing w:after="0" w:line="261" w:lineRule="auto"/>
        <w:rPr>
          <w:sz w:val="20"/>
          <w:szCs w:val="20"/>
          <w:color w:val="auto"/>
        </w:rPr>
      </w:pPr>
      <w:r>
        <w:rPr>
          <w:rFonts w:ascii="Arial" w:cs="Arial" w:eastAsia="Arial" w:hAnsi="Arial"/>
          <w:sz w:val="18"/>
          <w:szCs w:val="18"/>
          <w:color w:val="auto"/>
        </w:rPr>
        <w:t>3.00% based upon either an ABR or LIBOR borrowing. The revolving credit facility margin and commitment fee are subject to the leveraged based pricing grid, as set forth in the Credit Agreement, as amended.</w:t>
      </w:r>
    </w:p>
    <w:p>
      <w:pPr>
        <w:spacing w:after="0" w:line="13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$12.8 million and $11.6 million as of December 31, 2013 and March 31, 2013, respectively.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2013 and March 31, 2013, the Company was in compliance with all of the debt covenants of the Credit Agreement, as amended.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Company’s effective income tax rate was 39.7% and 40.9% for the three months ended December 31, 2013 and 2012, respectively, and 40.2% for the nine months ended December 31, 2013 and 2012, respectively. The three and nine months effective tax rates of 39.7% and 40.2% differ from the statutory rate of 35.0% due to state income taxes, changes in uncertain tax positions, and the effect of permanent rate differences, which primarily relate to meals and entertainment.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4"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9.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7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reserve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57,018</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29,548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40,548</w:t>
            </w:r>
          </w:p>
        </w:tc>
      </w:tr>
      <w:tr>
        <w:trPr>
          <w:trHeight w:val="27"/>
        </w:trPr>
        <w:tc>
          <w:tcPr>
            <w:tcW w:w="7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24,118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50,625</w:t>
            </w:r>
          </w:p>
        </w:tc>
      </w:tr>
      <w:tr>
        <w:trPr>
          <w:trHeight w:val="27"/>
        </w:trPr>
        <w:tc>
          <w:tcPr>
            <w:tcW w:w="7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payment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61,473</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Postretirement benefit obligations</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88,005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83,761</w:t>
            </w:r>
          </w:p>
        </w:tc>
      </w:tr>
      <w:tr>
        <w:trPr>
          <w:trHeight w:val="27"/>
        </w:trPr>
        <w:tc>
          <w:tcPr>
            <w:tcW w:w="7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6,610</w:t>
            </w: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266,461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326,478</w:t>
            </w:r>
          </w:p>
        </w:tc>
      </w:tr>
      <w:tr>
        <w:trPr>
          <w:trHeight w:val="27"/>
        </w:trPr>
        <w:tc>
          <w:tcPr>
            <w:tcW w:w="7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8"/>
        <w:spacing w:after="0" w:line="342"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disclosed in Note 6, the Company anticipates paying the entire deferred compensation balance of the EPP during the three months ending December 31, 2014, and as such, the entire deferred compensation balance was reclassified from other long-term liabilities to accrued compensation and benefits.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Total expense recognized under ECAP was $36.4 million and $54.9 million for the three months ended December 31, 2013 and 2012, respectively, and $118.7 million and $173.7 million for the nine months ended December 31, 2013 and 2012, respectively. The Company-paid contributions were $19.3 million and $27.8 million for the three months ended December 31, 2013 and 2012, respectively, and $83.7 million and $99.1 million for the nine months ended December 31, 2013 and 2012, respectively.</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maintains and administers a postretirement medical plan and a defined benefit retirement plan for current, retired, and resigned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9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194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59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2,919</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2,360</w:t>
            </w:r>
          </w:p>
        </w:tc>
      </w:tr>
      <w:tr>
        <w:trPr>
          <w:trHeight w:val="27"/>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1,153</w:t>
            </w:r>
          </w:p>
        </w:tc>
      </w:tr>
      <w:tr>
        <w:trPr>
          <w:trHeight w:val="237"/>
        </w:trPr>
        <w:tc>
          <w:tcPr>
            <w:tcW w:w="5960" w:type="dxa"/>
            <w:vAlign w:val="bottom"/>
          </w:tcPr>
          <w:p>
            <w:pPr>
              <w:ind w:left="360"/>
              <w:spacing w:after="0"/>
              <w:rPr>
                <w:sz w:val="20"/>
                <w:szCs w:val="20"/>
                <w:color w:val="auto"/>
              </w:rPr>
            </w:pPr>
            <w:r>
              <w:rPr>
                <w:rFonts w:ascii="Arial" w:cs="Arial" w:eastAsia="Arial" w:hAnsi="Arial"/>
                <w:sz w:val="18"/>
                <w:szCs w:val="18"/>
                <w:color w:val="auto"/>
              </w:rPr>
              <w:t>Total postretirement medical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2,811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8,378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6,432</w:t>
            </w:r>
          </w:p>
        </w:tc>
      </w:tr>
      <w:tr>
        <w:trPr>
          <w:trHeight w:val="27"/>
        </w:trPr>
        <w:tc>
          <w:tcPr>
            <w:tcW w:w="5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As of December 31, 2013 and March 31, 2013, the unfunded status of the postretirement medical plan was $83.0 million and $78.7 million, respectively, which is included in other long-term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6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pension plan. The following table represents a rollforward of amounts recognized in accumulated other comprehensive loss, net of tax:</w:t>
      </w:r>
    </w:p>
    <w:p>
      <w:pPr>
        <w:spacing w:after="0" w:line="9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76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176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6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(12,254)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r>
      <w:tr>
        <w:trPr>
          <w:trHeight w:val="243"/>
        </w:trPr>
        <w:tc>
          <w:tcPr>
            <w:tcW w:w="612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r>
      <w:tr>
        <w:trPr>
          <w:trHeight w:val="237"/>
        </w:trPr>
        <w:tc>
          <w:tcPr>
            <w:tcW w:w="6120" w:type="dxa"/>
            <w:vAlign w:val="bottom"/>
          </w:tcPr>
          <w:p>
            <w:pPr>
              <w:ind w:left="340"/>
              <w:spacing w:after="0"/>
              <w:rPr>
                <w:sz w:val="20"/>
                <w:szCs w:val="20"/>
                <w:color w:val="auto"/>
              </w:rPr>
            </w:pPr>
            <w:r>
              <w:rPr>
                <w:rFonts w:ascii="Arial" w:cs="Arial" w:eastAsia="Arial" w:hAnsi="Arial"/>
                <w:sz w:val="18"/>
                <w:szCs w:val="18"/>
                <w:color w:val="auto"/>
              </w:rPr>
              <w:t>Net current-period other comprehensive income (loss)</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404</w:t>
            </w:r>
          </w:p>
        </w:tc>
      </w:tr>
      <w:tr>
        <w:trPr>
          <w:trHeight w:val="27"/>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150"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7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6"/>
                <w:szCs w:val="16"/>
                <w:color w:val="auto"/>
              </w:rPr>
            </w:pPr>
          </w:p>
        </w:tc>
        <w:tc>
          <w:tcPr>
            <w:tcW w:w="170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December 31,</w:t>
            </w:r>
          </w:p>
        </w:tc>
      </w:tr>
      <w:tr>
        <w:trPr>
          <w:trHeight w:val="263"/>
        </w:trPr>
        <w:tc>
          <w:tcPr>
            <w:tcW w:w="59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r>
      <w:tr>
        <w:trPr>
          <w:trHeight w:val="215"/>
        </w:trPr>
        <w:tc>
          <w:tcPr>
            <w:tcW w:w="5900" w:type="dxa"/>
            <w:vAlign w:val="bottom"/>
          </w:tcPr>
          <w:p>
            <w:pPr>
              <w:ind w:left="180"/>
              <w:spacing w:after="0"/>
              <w:rPr>
                <w:sz w:val="20"/>
                <w:szCs w:val="20"/>
                <w:color w:val="auto"/>
              </w:rPr>
            </w:pPr>
            <w:r>
              <w:rPr>
                <w:rFonts w:ascii="Arial" w:cs="Arial" w:eastAsia="Arial" w:hAnsi="Arial"/>
                <w:sz w:val="18"/>
                <w:szCs w:val="18"/>
                <w:color w:val="auto"/>
                <w:w w:val="96"/>
              </w:rPr>
              <w:t>Amortization of net actuarial loss included in net periodic benefit cost (See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Note 10)</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before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1,143</w:t>
            </w:r>
          </w:p>
        </w:tc>
      </w:tr>
      <w:tr>
        <w:trPr>
          <w:trHeight w:val="243"/>
        </w:trPr>
        <w:tc>
          <w:tcPr>
            <w:tcW w:w="5900" w:type="dxa"/>
            <w:vAlign w:val="bottom"/>
          </w:tcPr>
          <w:p>
            <w:pPr>
              <w:ind w:left="480"/>
              <w:spacing w:after="0"/>
              <w:rPr>
                <w:sz w:val="20"/>
                <w:szCs w:val="20"/>
                <w:color w:val="auto"/>
              </w:rPr>
            </w:pPr>
            <w:r>
              <w:rPr>
                <w:rFonts w:ascii="Arial" w:cs="Arial" w:eastAsia="Arial" w:hAnsi="Arial"/>
                <w:sz w:val="18"/>
                <w:szCs w:val="18"/>
                <w:color w:val="auto"/>
              </w:rPr>
              <w:t>Tax benefit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7"/>
        </w:trPr>
        <w:tc>
          <w:tcPr>
            <w:tcW w:w="5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5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of tax</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686</w:t>
            </w: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right="8820" w:hanging="332"/>
        <w:spacing w:after="0" w:line="346" w:lineRule="auto"/>
        <w:tabs>
          <w:tab w:leader="none" w:pos="28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Class 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Non-Voting</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2012</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128,726,324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2,487,125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10,140,067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333,775</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1,182,004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5,204,890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(2,661,545)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Pr>
          <w:p>
            <w:pPr>
              <w:jc w:val="right"/>
              <w:spacing w:after="0"/>
              <w:rPr>
                <w:sz w:val="20"/>
                <w:szCs w:val="20"/>
                <w:color w:val="auto"/>
              </w:rPr>
            </w:pPr>
            <w:r>
              <w:rPr>
                <w:rFonts w:ascii="Arial" w:cs="Arial" w:eastAsia="Arial" w:hAnsi="Arial"/>
                <w:sz w:val="18"/>
                <w:szCs w:val="18"/>
                <w:color w:val="auto"/>
              </w:rPr>
              <w:t>1,344,226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(1,035,525)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(308,701)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72,068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2013</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136,457,444</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1,451,600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1,224,319</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7,478,522</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405,843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985,308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4,942,435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(3,053,708)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777,318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(508,335)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(268,983)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5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168,604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2013</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143,162,505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943,265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955,336</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4,424,814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574,447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shares repurchased on July 2, 2012 to cover the withholding taxes on restricted stock awards that vested on June 30, 2012.</w:t>
      </w:r>
    </w:p>
    <w:p>
      <w:pPr>
        <w:spacing w:after="0" w:line="23" w:lineRule="exact"/>
        <w:rPr>
          <w:rFonts w:ascii="Arial" w:cs="Arial" w:eastAsia="Arial" w:hAnsi="Arial"/>
          <w:sz w:val="18"/>
          <w:szCs w:val="18"/>
          <w:color w:val="auto"/>
        </w:rPr>
      </w:pPr>
    </w:p>
    <w:p>
      <w:pPr>
        <w:ind w:left="660" w:right="460" w:hanging="652"/>
        <w:spacing w:after="0" w:line="29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Reflects shares repurchased on June 30, 2013 to cover the withholding taxes on restricted stock awards that vested on June 30, 2013 and shares repurchased on multiple dates for the withholding taxes on accelerated restricted stock vesting for departing officers.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2" w:name="page13"/>
    <w:bookmarkEnd w:id="12"/>
    <w:p>
      <w:pPr>
        <w:ind w:right="80" w:firstLine="648"/>
        <w:spacing w:after="0" w:line="342" w:lineRule="auto"/>
        <w:rPr>
          <w:sz w:val="20"/>
          <w:szCs w:val="20"/>
          <w:color w:val="auto"/>
        </w:rPr>
      </w:pPr>
      <w:r>
        <w:rPr>
          <w:rFonts w:ascii="Arial" w:cs="Arial" w:eastAsia="Arial" w:hAnsi="Arial"/>
          <w:sz w:val="16"/>
          <w:szCs w:val="16"/>
          <w:color w:val="auto"/>
        </w:rPr>
        <w:t>For the quarterly offering period that closed on December 31, 2013, 68,218 Class A Common Stock shares were purchased by employees under the Company's Employee Stock Purchase Plan, or ESPP. As of the program's inception, 1,233,218 shares have been purchased by employees.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stock-based compensation expense recognized in the condensed consolidated statements of operations:</w:t>
      </w:r>
    </w:p>
    <w:p>
      <w:pPr>
        <w:spacing w:after="0" w:line="35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35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2012</w:t>
            </w: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3,982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5,643</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21"/>
                <w:szCs w:val="21"/>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3,948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10,137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14,220</w:t>
            </w:r>
          </w:p>
        </w:tc>
      </w:tr>
      <w:tr>
        <w:trPr>
          <w:trHeight w:val="27"/>
        </w:trPr>
        <w:tc>
          <w:tcPr>
            <w:tcW w:w="3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4,778</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5,496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14,119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19,863</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2"/>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r>
      <w:tr>
        <w:trPr>
          <w:trHeight w:val="192"/>
        </w:trPr>
        <w:tc>
          <w:tcPr>
            <w:tcW w:w="3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35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2012</w:t>
            </w: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Stock</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Rollover Options</w:t>
            </w:r>
          </w:p>
        </w:tc>
        <w:tc>
          <w:tcPr>
            <w:tcW w:w="88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2,393</w:t>
            </w:r>
          </w:p>
        </w:tc>
      </w:tr>
      <w:tr>
        <w:trPr>
          <w:trHeight w:val="27"/>
        </w:trPr>
        <w:tc>
          <w:tcPr>
            <w:tcW w:w="3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Incentive Plan Options</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4,741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11,153</w:t>
            </w: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Class A Restricted Common Stock</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2,988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2,250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8,741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6,065</w:t>
            </w:r>
          </w:p>
        </w:tc>
      </w:tr>
      <w:tr>
        <w:trPr>
          <w:trHeight w:val="27"/>
        </w:trPr>
        <w:tc>
          <w:tcPr>
            <w:tcW w:w="3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5,496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3"/>
              </w:rPr>
              <w:t>14,119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19,863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2013, there was $21.4 million of total unrecognized compensation cost related to unvested stock-based compensation agreements. The unrecognized compensation cost as of December 31, 2013 is expected to be amortized over 4.5 years. Absent the effect of accelerating stock compensation cost for any departures of employees who may continue to vest in their equity awards, the following table summarizes the unrecognized compensation cost and the weighted average period the cost is expected to be amortized.</w:t>
      </w:r>
    </w:p>
    <w:p>
      <w:pPr>
        <w:spacing w:after="0" w:line="192"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5"/>
              </w:rPr>
              <w:t>Compensation Cost</w:t>
            </w:r>
          </w:p>
        </w:tc>
        <w:tc>
          <w:tcPr>
            <w:tcW w:w="1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 to be Recognized</w:t>
            </w: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9,824</w:t>
            </w:r>
          </w:p>
        </w:tc>
        <w:tc>
          <w:tcPr>
            <w:tcW w:w="22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5"/>
              </w:rPr>
              <w:t>3.23</w:t>
            </w:r>
          </w:p>
        </w:tc>
        <w:tc>
          <w:tcPr>
            <w:tcW w:w="0" w:type="dxa"/>
            <w:vAlign w:val="bottom"/>
          </w:tcPr>
          <w:p>
            <w:pPr>
              <w:spacing w:after="0"/>
              <w:rPr>
                <w:sz w:val="1"/>
                <w:szCs w:val="1"/>
                <w:color w:val="auto"/>
              </w:rPr>
            </w:pP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60" w:type="dxa"/>
            <w:vAlign w:val="bottom"/>
          </w:tcPr>
          <w:p>
            <w:pPr>
              <w:spacing w:after="0"/>
              <w:rPr>
                <w:sz w:val="21"/>
                <w:szCs w:val="21"/>
                <w:color w:val="auto"/>
              </w:rPr>
            </w:pPr>
          </w:p>
        </w:tc>
        <w:tc>
          <w:tcPr>
            <w:tcW w:w="1520" w:type="dxa"/>
            <w:vAlign w:val="bottom"/>
          </w:tcPr>
          <w:p>
            <w:pPr>
              <w:jc w:val="right"/>
              <w:ind w:right="19"/>
              <w:spacing w:after="0"/>
              <w:rPr>
                <w:sz w:val="20"/>
                <w:szCs w:val="20"/>
                <w:color w:val="auto"/>
              </w:rPr>
            </w:pPr>
            <w:r>
              <w:rPr>
                <w:rFonts w:ascii="Arial" w:cs="Arial" w:eastAsia="Arial" w:hAnsi="Arial"/>
                <w:sz w:val="18"/>
                <w:szCs w:val="18"/>
                <w:color w:val="auto"/>
              </w:rPr>
              <w:t>11,586</w:t>
            </w:r>
          </w:p>
        </w:tc>
        <w:tc>
          <w:tcPr>
            <w:tcW w:w="2280" w:type="dxa"/>
            <w:vAlign w:val="bottom"/>
            <w:gridSpan w:val="2"/>
          </w:tcPr>
          <w:p>
            <w:pPr>
              <w:jc w:val="center"/>
              <w:ind w:left="10"/>
              <w:spacing w:after="0"/>
              <w:rPr>
                <w:sz w:val="20"/>
                <w:szCs w:val="20"/>
                <w:color w:val="auto"/>
              </w:rPr>
            </w:pPr>
            <w:r>
              <w:rPr>
                <w:rFonts w:ascii="Arial" w:cs="Arial" w:eastAsia="Arial" w:hAnsi="Arial"/>
                <w:sz w:val="18"/>
                <w:szCs w:val="18"/>
                <w:color w:val="auto"/>
                <w:w w:val="85"/>
              </w:rPr>
              <w:t>2.22</w:t>
            </w:r>
          </w:p>
        </w:tc>
        <w:tc>
          <w:tcPr>
            <w:tcW w:w="0" w:type="dxa"/>
            <w:vAlign w:val="bottom"/>
          </w:tcPr>
          <w:p>
            <w:pPr>
              <w:spacing w:after="0"/>
              <w:rPr>
                <w:sz w:val="1"/>
                <w:szCs w:val="1"/>
                <w:color w:val="auto"/>
              </w:rPr>
            </w:pPr>
          </w:p>
        </w:tc>
      </w:tr>
      <w:tr>
        <w:trPr>
          <w:trHeight w:val="27"/>
        </w:trPr>
        <w:tc>
          <w:tcPr>
            <w:tcW w:w="592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19"/>
              <w:spacing w:after="0"/>
              <w:rPr>
                <w:sz w:val="20"/>
                <w:szCs w:val="20"/>
                <w:color w:val="auto"/>
              </w:rPr>
            </w:pPr>
            <w:r>
              <w:rPr>
                <w:rFonts w:ascii="Arial" w:cs="Arial" w:eastAsia="Arial" w:hAnsi="Arial"/>
                <w:sz w:val="18"/>
                <w:szCs w:val="18"/>
                <w:color w:val="auto"/>
              </w:rPr>
              <w:t>21,410</w:t>
            </w: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Equity Incentive Plan</w:t>
      </w:r>
    </w:p>
    <w:p>
      <w:pPr>
        <w:spacing w:after="0" w:line="9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November 21, 2013 151,362 options were granted under the Amended and Restated Equity Incentive Plan, or EIP. The estimated fair value of our Class A Common Stock on November 21, 2013 at the time of the option grant, was $17.67.</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there were 7,388,795 EIP options outstanding, of which 3,441,322 were unvested.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Grants of Class A Restricted Common Stock</w:t>
      </w:r>
    </w:p>
    <w:p>
      <w:pPr>
        <w:spacing w:after="0" w:line="17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On July 1, 2013, the Board of Directors granted 744,926 shares of Class A Restricted Stock in conjunction with the Annual Incentive Plan adopted on October 1, 2010. The amount of the annual incentive payment was determined based on performance targets established by the Compensation Committee and a portion of the bonus was paid in the form of Class A Restricted Stock. Equity awards will vest based on the passage of time, subject to the officer’s continued employment by the Company. The portion to be paid in the form of equity will be recognized in the accompanying condensed consolidated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530" w:right="299" w:bottom="1440" w:gutter="0" w:footer="0" w:header="0"/>
        </w:sectPr>
      </w:pPr>
    </w:p>
    <w:bookmarkStart w:id="13" w:name="page14"/>
    <w:bookmarkEnd w:id="13"/>
    <w:p>
      <w:pPr>
        <w:jc w:val="both"/>
        <w:ind w:right="80"/>
        <w:spacing w:after="0" w:line="264" w:lineRule="auto"/>
        <w:rPr>
          <w:sz w:val="20"/>
          <w:szCs w:val="20"/>
          <w:color w:val="auto"/>
        </w:rPr>
      </w:pPr>
      <w:r>
        <w:rPr>
          <w:rFonts w:ascii="Arial" w:cs="Arial" w:eastAsia="Arial" w:hAnsi="Arial"/>
          <w:sz w:val="18"/>
          <w:szCs w:val="18"/>
          <w:color w:val="auto"/>
        </w:rPr>
        <w:t>statements of operations based on grant date fair value over the vesting period of 3 years and the aggregate value was estimated at $13.1 million based on the stock price of $17.57 on the grant date. On August 21, 2013, the Board of Directors granted 25,705 shares of Class A Restricted Stock to certain members of the Board of Directors.</w:t>
      </w:r>
    </w:p>
    <w:p>
      <w:pPr>
        <w:spacing w:after="0" w:line="4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permitted under the terms of the EIP, the Compensation Committee as Administrator of the EIP, authorized the withholding of taxes not to exceed the minimum statutory withholding amount, through the surrender of shares of Class A Common Stock issuable upon the vesting or accelerated vesting of Class A Restricted Common Stock. For those holders who elected to participate, the trade date was October 7, 2013 for the vesting or accelerated vesting of the Class A Restricted Common Stock. As a result of this transaction the Company repurchased 4,162 shares at $18.59 and recorded them as treasury shares at a cost of $77,372.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9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Board of Directors, as the Administrator of the Officers' Rollover Stock Plan and the EIP, has the discretion in how to effect the required adjustment to keep option holders whole in the event of a distribution of dividends that triggers certain anti-dilution clauses within the respective plans. In the event the Board of Directors elects to grant option holders a cash payment equal to the amount of the special dividend, the Company accrues a stock-based compensation liability as the respective option's stock compensation expense is recorded in the condensed consolidated statement of operations. This obligation will be settled on the options' mandatory exercise date for Rollover options and on the later of the date the dividend is paid or vesting for the EIP options.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October 29, 2013, our Board of Directors authorized and declared a special cash dividend of $1.00 per share and a regular quarterly cash dividend in the amount of $0.10 per share. Both the quarterly and special dividend were paid on November 29, 2013 to stockholders of record on November 11, 2013. The Compensation Committee, as the Administrator of the Officers' Rollover Stock Plan and the EIP, made a required adjustment to the outstanding options under each plan by granting holders of the Rollover options a cash payment equal to the amount of the special dividend on the options' mandatory exercise date and by granting the holders of EIP options a dividend equivalent equal to the special dividend and payable on November 29, 2013 or the vesting of the EIP option, whichever is later.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compensation expense recorded in conjunction with the payment of the dividend equivalents to holders of</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unvested EIP options for the three and nine months ended December 31, 2013 was $873,000 and $1.1 million, respectively. Future compensation expense related to the payment of the dividend equivalents to holders of EIP options not yet recognized in the statement of operations is $1.0 million and is expected to be recognized over 3.5 years.</w:t>
      </w:r>
    </w:p>
    <w:p>
      <w:pPr>
        <w:spacing w:after="0" w:line="5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December 31, 2013 and March 31, 2013, the Company calculated a total recorded and unrecorded stock-based compensation liability of $65.3 million and $106.4 million, respectively, related to the special dividends paid in July 2009, December 2009, June 2012, August 2012, and November 2013. The total recorded stock-based compensation liability as of December 31, 2013 and March 31, 2013 is as follows: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4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90"/>
              </w:rPr>
              <w:t>December 31, 2013</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2013</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3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Rollover</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Rollover</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7"/>
              </w:rPr>
              <w:t>EIP 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Options</w:t>
            </w: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1"/>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Options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liability (1)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48,468</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Long-term portion of liability (2)</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24,118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24,118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50,625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50,625</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84,664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99,093</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accrued compensation and benefits (Note 6).</w:t>
      </w:r>
    </w:p>
    <w:p>
      <w:pPr>
        <w:spacing w:after="0" w:line="90" w:lineRule="exact"/>
        <w:rPr>
          <w:rFonts w:ascii="Arial" w:cs="Arial" w:eastAsia="Arial" w:hAnsi="Arial"/>
          <w:sz w:val="18"/>
          <w:szCs w:val="18"/>
          <w:color w:val="auto"/>
        </w:rPr>
      </w:pPr>
    </w:p>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other long-term liabilities.</w:t>
      </w:r>
    </w:p>
    <w:p>
      <w:pPr>
        <w:spacing w:after="0" w:line="3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December 31, 2013, $5.2 million related to EIP options will be recorded as liabilities as the related compensation expense is recognized over the next 4.5 years. There is no unrecorded liability related to Rollover options as of December 31, 2013. As of March 31, 2013, there were unrecognized liabilities of $2.8 million and $4.5 million related to Rollover options and EIP options,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w:t>
      </w:r>
    </w:p>
    <w:p>
      <w:pPr>
        <w:spacing w:after="0" w:line="12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30" w:right="259" w:bottom="1440" w:gutter="0" w:footer="0" w:header="0"/>
        </w:sectPr>
      </w:pPr>
    </w:p>
    <w:bookmarkStart w:id="14" w:name="page15"/>
    <w:bookmarkEnd w:id="14"/>
    <w:p>
      <w:pPr>
        <w:ind w:right="440"/>
        <w:spacing w:after="0" w:line="277" w:lineRule="auto"/>
        <w:rPr>
          <w:sz w:val="20"/>
          <w:szCs w:val="20"/>
          <w:color w:val="auto"/>
        </w:rPr>
      </w:pPr>
      <w:r>
        <w:rPr>
          <w:rFonts w:ascii="Arial" w:cs="Arial" w:eastAsia="Arial" w:hAnsi="Arial"/>
          <w:sz w:val="18"/>
          <w:szCs w:val="18"/>
          <w:color w:val="auto"/>
        </w:rPr>
        <w:t>other than quoted prices in active markets that are observable either directly or indirectly (Level 2); and unobservable inputs in which there is little or no market data, which requires the Company to develop its own assumptions (Level 3).</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financial instrument's level within the fair value hierarchy is based on the lowest level of input that is significant to the fair value measurement.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by level represent the fair value of the Company's cash and cash equivalents as of December 31, 2013.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Fair Value of Cash and Cash Equivalents as of December</w:t>
            </w:r>
          </w:p>
        </w:tc>
      </w:tr>
      <w:tr>
        <w:trPr>
          <w:trHeight w:val="234"/>
        </w:trPr>
        <w:tc>
          <w:tcPr>
            <w:tcW w:w="6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31, 2013</w:t>
            </w:r>
          </w:p>
        </w:tc>
        <w:tc>
          <w:tcPr>
            <w:tcW w:w="116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Level 1</w:t>
            </w:r>
          </w:p>
        </w:tc>
        <w:tc>
          <w:tcPr>
            <w:tcW w:w="1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Level 2</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Level 3</w:t>
            </w:r>
          </w:p>
        </w:tc>
        <w:tc>
          <w:tcPr>
            <w:tcW w:w="1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b w:val="1"/>
                <w:bCs w:val="1"/>
                <w:color w:val="auto"/>
              </w:rPr>
              <w:t>Total</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$91,004</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$91,004</w:t>
            </w:r>
          </w:p>
        </w:tc>
      </w:tr>
      <w:tr>
        <w:trPr>
          <w:trHeight w:val="27"/>
        </w:trPr>
        <w:tc>
          <w:tcPr>
            <w:tcW w:w="6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 (1)</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$312,160</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$312,160</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Total cash and cash equivalents</w:t>
            </w: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$91,004</w:t>
            </w: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$312,160</w:t>
            </w: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$403,164</w:t>
            </w:r>
          </w:p>
        </w:tc>
      </w:tr>
      <w:tr>
        <w:trPr>
          <w:trHeight w:val="20"/>
        </w:trPr>
        <w:tc>
          <w:tcPr>
            <w:tcW w:w="6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656"/>
        <w:spacing w:after="0" w:line="298" w:lineRule="auto"/>
        <w:tabs>
          <w:tab w:leader="none" w:pos="942" w:val="left"/>
        </w:tabs>
        <w:numPr>
          <w:ilvl w:val="0"/>
          <w:numId w:val="10"/>
        </w:numPr>
        <w:rPr>
          <w:rFonts w:ascii="Arial" w:cs="Arial" w:eastAsia="Arial" w:hAnsi="Arial"/>
          <w:sz w:val="20"/>
          <w:szCs w:val="20"/>
          <w:color w:val="auto"/>
        </w:rPr>
      </w:pPr>
      <w:r>
        <w:rPr>
          <w:rFonts w:ascii="Arial" w:cs="Arial" w:eastAsia="Arial" w:hAnsi="Arial"/>
          <w:sz w:val="18"/>
          <w:szCs w:val="18"/>
          <w:color w:val="auto"/>
        </w:rPr>
        <w:t>Level two cash and cash equivalents are invested in money market funds that are intended to maintain a stable net asset value of $1.00 per share by investing in liquid, high quality U.S. dollar-denominated money market instruments.</w:t>
      </w:r>
    </w:p>
    <w:p>
      <w:pPr>
        <w:spacing w:after="0" w:line="3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fair value of the Company's trade accounts receivable and accounts payable approximates its carrying value at December 31, 2013 and March 31, 2013 because of the short-term nature of these instruments. The fair value of the Company's debt instruments approximates its carrying value at December 31, 2013 and March 31, 2013. The fair value of debt is determined based on interest rates available for debt with terms and maturities similar to the Company's existing debt arrangements (Level 2 inputs).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94" w:lineRule="exact"/>
        <w:rPr>
          <w:sz w:val="20"/>
          <w:szCs w:val="20"/>
          <w:color w:val="auto"/>
        </w:rPr>
      </w:pPr>
    </w:p>
    <w:p>
      <w:pPr>
        <w:jc w:val="both"/>
        <w:ind w:right="100" w:firstLine="648"/>
        <w:spacing w:after="0" w:line="297" w:lineRule="auto"/>
        <w:rPr>
          <w:sz w:val="20"/>
          <w:szCs w:val="20"/>
          <w:color w:val="auto"/>
        </w:rPr>
      </w:pPr>
      <w:r>
        <w:rPr>
          <w:rFonts w:ascii="Arial" w:cs="Arial" w:eastAsia="Arial" w:hAnsi="Arial"/>
          <w:sz w:val="16"/>
          <w:szCs w:val="16"/>
          <w:color w:val="auto"/>
        </w:rPr>
        <w:t>The Company is an affiliate of Carlyle, and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December 31, 2013 were $70,000 and $61,000, respectively, and $237,000 and $201,000 for the nine months ended December 31, 2013, respectively. Revenue and cost associated with these related parties for the three months ended December 31, 2012 were $78,000 and $58,000, respectively, and $423,000 and $386,000 for the nine months ended December 31, 2012, respectively.</w:t>
      </w:r>
    </w:p>
    <w:p>
      <w:pPr>
        <w:spacing w:after="0" w:line="10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For the three months ended December 31, 2013 and 2012, the Company incurred $250,000 in advisory fees. For the nine months ended December 31, 2013 and 2012, the Company incurred $750,000 in advisory fees.</w:t>
      </w:r>
    </w:p>
    <w:p>
      <w:pPr>
        <w:spacing w:after="0" w:line="150" w:lineRule="exact"/>
        <w:rPr>
          <w:sz w:val="20"/>
          <w:szCs w:val="20"/>
          <w:color w:val="auto"/>
        </w:rPr>
      </w:pPr>
    </w:p>
    <w:p>
      <w:pPr>
        <w:ind w:left="340" w:right="7700" w:hanging="332"/>
        <w:spacing w:after="0" w:line="346" w:lineRule="auto"/>
        <w:tabs>
          <w:tab w:leader="none" w:pos="28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As a result of the July 2008 acquisition, as described in the Company’s Annual Report, the Company assigned a total of nine leases to Booz &amp; Co. The facilities are located in New York, New York; Troy, Michigan; Florham Park, New Jersey; Parsippany, New Jersey; Houston, Texas; Chicago, Illinois; Cleveland, Ohio; Dallas, Texas; and London, England. Except for the Florham Park, Parsippany, Troy, Houston, Cleveland and Dallas leases, which expired, the Company remains liable under the terms of the original leases should Booz &amp; Co. default on its obligations. There were no events of default under these leases as of December 31, 2013 or March 31, 2013. The maximum potential amount of undiscounted future payments is $17.3 million, and the leases expire at different dates between April 2014 and March 2017. Based on the Company’s assessment of the likelihood of future payment, no amounts have been recorded related to the Company’s contingent liability on such leases.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For the three and nine months ended December 31, 2013 approximately 98% of the Company’s revenue was generated from contracts with U.S. government agencies or other U.S. government contractors, and approximately 99% for the three and nine months ended December 31, 2012.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76" w:right="239" w:bottom="1440" w:gutter="0" w:footer="0" w:header="0"/>
        </w:sectPr>
      </w:pPr>
    </w:p>
    <w:bookmarkStart w:id="15" w:name="page16"/>
    <w:bookmarkEnd w:id="15"/>
    <w:p>
      <w:pPr>
        <w:ind w:right="40"/>
        <w:spacing w:after="0" w:line="253" w:lineRule="auto"/>
        <w:rPr>
          <w:sz w:val="20"/>
          <w:szCs w:val="20"/>
          <w:color w:val="auto"/>
        </w:rPr>
      </w:pPr>
      <w:r>
        <w:rPr>
          <w:rFonts w:ascii="Arial" w:cs="Arial" w:eastAsia="Arial" w:hAnsi="Arial"/>
          <w:sz w:val="18"/>
          <w:szCs w:val="18"/>
          <w:color w:val="auto"/>
        </w:rPr>
        <w:t>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2007. Audits of subsequent years may result in cost reductions and/or penalties. Management believes it has adequately reserved for any losses that may be experienced from any such reductions and/or penalties. As of December 31, 2013 and March 31, 2013, the Company has recorded a liability of approximately $184.5 million and $156.2 million, respectively, for its current best estimate of amounts to be refunded to customers for potential adjustments from such audits or reviews of contract costs incurred subsequent to fiscal year 2007.</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December 31, 2013, there are no material amounts accrued in the condensed consolidated financial statements related to these proceedings.</w:t>
      </w:r>
    </w:p>
    <w:p>
      <w:pPr>
        <w:spacing w:after="0" w:line="11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Six former officers and stockholders who had departed the firm prior to July 31, 2008, the date on which we became majority owned by Carlyle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As of December 31, 2013 and March 31, 2013, the aggregate alleged damages sought in the seven remaining suits was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43"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On January 31, 2014, the Company announced a regular quarterly cash dividend in the amount of $0.10 per share and a special cash dividend of $1.00 per share, each payable on February 28, 2014 to shareholders of record on February 10, 2014. The Board of Directors, acting as the Administrator of the Officers' Rollover Stock Plan and the Amended and Restated Equity Incentive Plan, made a determination to adjust the outstanding Rollover and EIP options for the special dividend to prevent the dilution of the options. The adjustment is in the form of a $1.00 dividend equivalent. Holders of the Rollover Options will receive a cash payment equal to the amount of the special dividend on the exercise of the option during the options' mandatory exercise period. Holders of EIP options will receive a cash payment equal to the amount of the special dividend payable on February 28, 2014 or the vesting of the EIP option, whichever is later.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49" w:right="25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2013 filed with the Securities and Exchange Commission on May 23, 2013,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fiscal year ends March 31 and, unless otherwise noted, references to years or fiscal are for fiscal years ended March 31. See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180"/>
        <w:spacing w:after="0" w:line="286" w:lineRule="auto"/>
        <w:rPr>
          <w:sz w:val="20"/>
          <w:szCs w:val="20"/>
          <w:color w:val="auto"/>
        </w:rPr>
      </w:pPr>
      <w:r>
        <w:rPr>
          <w:rFonts w:ascii="Arial" w:cs="Arial" w:eastAsia="Arial" w:hAnsi="Arial"/>
          <w:sz w:val="16"/>
          <w:szCs w:val="16"/>
          <w:color w:val="auto"/>
        </w:rPr>
        <w:t>We are a leading provider of management and technology consulting services to the U.S. government in the defense, intelligence, and civil markets. We are further developing the scope and scale of our engineering services capabilities that we provide to our U.S. government clients. Additionally, we provide our management and technology consulting services to major corporations, institutions, and not for profit organizations. As the needs of our clients have grown more complex, we have expanded beyond our management consulting foundation to develop deep expertise in technology, engineering, and analytics.</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Leveraging our 100-year consulting heritage and a talent base of approximately 22,700 people, we deploy our deep domain knowledge, functional expertise, and experience to help our clients achieve their objectives. Today,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General Services Administration. We support these clients in addressing complex and pressing challenges such as combating global terrorism, improving cyber capabilities, transforming the healthcare system, improving efficiency and managing change within the government, and protecting the environment. In the commercial sector, we serve U.S. clients primarily in the financial services, healthcare, and energy markets, and international clients, primarily in the Middle East.</w:t>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a collaborative culture, supported by our operating model, which helps our professionals identify and respond to emerging trends across the markets we serve and deliver enduring results for our clients.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three months ended December 31, 2013, our clients continued to face significant challenges due to the uncertainty of the federal budget. Lower demand in an uncertain federal budget environment resulted in a continuing reduction in headcount and billable hours, and a decline in the use of subcontractors during the third quarter of fiscal 2014 as compared to the first half of fiscal 2014. Congress did not pass a budget prior to the start of the U.S. government's 2014 fiscal year, which began October 1, 2013 and as a result the U.S. federal government shut down between October 1, 2013 and October 16, 2013. The government reopened on October 17, 2013 with the passage of a continuing resolution, which remained in effect through December 31, 2013. Revenue decreased 8.6% from the three months from December 31, 2012 to the three months ended December 31, 2013, and decreased 3.2% from the nine months ended December 31, 2012 to the nine months ended December 31, 2013.</w:t>
      </w:r>
    </w:p>
    <w:p>
      <w:pPr>
        <w:spacing w:after="0" w:line="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the anticipation of continued uncertainty in the federal budget environment the Company effectively managed indirect costs during the first half of fiscal 2014 to ensure financial strength and flexibility during the second half of fiscal 2014. This included a focus on management of our capacity, including balancing the supply of consulting staff with market demand, and the effective deployment and high level of productivity of our consulting staff to minimize the amount of time consulting staff spend on non-revenue producing activities. These efforts resulted in a lower ratio of indirect costs to direct labor during the first half of fiscal 2014 than what was provided for in our government approved provisional billing rates. Relative to government approved provisional billing rates, a lower ratio of indirect costs to direct labor will be reflected in higher margins on fixed-price and time-and materials contracts and will be reflected in relatively lower revenue on cost-reimbursable contracts. For further discussion of the sources of revenue and operating margins from the basic types of contracts, refer to the Contract Types section.</w:t>
      </w:r>
    </w:p>
    <w:p>
      <w:pPr>
        <w:spacing w:after="0" w:line="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financial strength and flexibility created in the first half of fiscal 2014 provided management the ability to respond to the government shutdown without terminating or furloughing any staff. Approximately 90% of our consulting staff continued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64" w:right="259" w:bottom="1440" w:gutter="0" w:footer="0" w:header="0"/>
        </w:sectPr>
      </w:pPr>
    </w:p>
    <w:bookmarkStart w:id="17" w:name="page18"/>
    <w:bookmarkEnd w:id="17"/>
    <w:p>
      <w:pPr>
        <w:ind w:right="340"/>
        <w:spacing w:after="0" w:line="277" w:lineRule="auto"/>
        <w:rPr>
          <w:sz w:val="20"/>
          <w:szCs w:val="20"/>
          <w:color w:val="auto"/>
        </w:rPr>
      </w:pPr>
      <w:r>
        <w:rPr>
          <w:rFonts w:ascii="Arial" w:cs="Arial" w:eastAsia="Arial" w:hAnsi="Arial"/>
          <w:sz w:val="18"/>
          <w:szCs w:val="18"/>
          <w:color w:val="auto"/>
        </w:rPr>
        <w:t>work on client assignments during the shutdown. Employees affected by the government shutdown worked primarily on non-revenue producing activities such as administrative tasks and training during the period of the shutdown.</w:t>
      </w:r>
    </w:p>
    <w:p>
      <w:pPr>
        <w:spacing w:after="0" w:line="3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Additionally, during the third quarter of fiscal 2014, we incurred additional investment costs in growth areas and building additional staffing capacity in the Defense market, and through continued investment in critical skill areas such as engineering, software and system development, and analytics. These actions contributed to higher indirect costs during the three months ended December 31, 2013.</w:t>
      </w:r>
    </w:p>
    <w:p>
      <w:pPr>
        <w:spacing w:after="0" w:line="46"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 third quarter ended December 31, 2013 was an unusually weak quarter for award following the government's 2013 fiscal year end given the effects of continued uncertainty in the budgetary environment for clients compounded by the government shutdown. As a result, award activity weakened during the third quarter of fiscal 2014, which is reflected in the contract backlog decline. With the passage of the $1.1 trillion Consolidated Appropriations Act in January 2014 which covers the omnibus spending bills for the government's fiscal year 2014, avoids another government shutdown, and provides a relief from automatic rescissions, we expect the pace of contract awards and funding obligations to increase.</w:t>
      </w:r>
    </w:p>
    <w:p>
      <w:pPr>
        <w:spacing w:after="0" w:line="3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decline in our revenue described above was partially offset by an increase in revenue during the three and nine months ended December 31, 2013 of $53.7 million and $200.8 million, respectively, from our acquisition of the Defense Systems Engineering and Support, or DSES, division of ARINC Incorporated, or ARINC, that closed on November 30, 2012.</w:t>
      </w:r>
    </w:p>
    <w:p>
      <w:pPr>
        <w:spacing w:after="0" w:line="127"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Operating income declined 16.8% to $97.0 million in the three months ended December 31, 2013 from $116.6 million in the three months ended December 31, 2012, which reflects an 80 basis point decrease in operating margin to 7.6% from 8.4% in the comparable period. Operating income grew</w:t>
      </w:r>
    </w:p>
    <w:p>
      <w:pPr>
        <w:spacing w:after="0" w:line="266" w:lineRule="auto"/>
        <w:rPr>
          <w:sz w:val="20"/>
          <w:szCs w:val="20"/>
          <w:color w:val="auto"/>
        </w:rPr>
      </w:pPr>
      <w:r>
        <w:rPr>
          <w:rFonts w:ascii="Arial" w:cs="Arial" w:eastAsia="Arial" w:hAnsi="Arial"/>
          <w:sz w:val="17"/>
          <w:szCs w:val="17"/>
          <w:color w:val="auto"/>
        </w:rPr>
        <w:t>11.4% to $371.4 million in the nine months ended December 31, 2013 from $333.4 million in the nine months ended December 31, 2012, which reflects a 120 basis point increase in operating margin to 9.1% from 7.9% in the comparable period. Due to our proactive planning and effective cost management during the first half of our fiscal 2014, we were able to substantially mitigate the impact to our operating margin as a result of the continued uncertainty in the federal government. The decline in earnings during the three months ended December 31, 2013 was in line with our expectations as we undertook activities which increased the ratio of indirect costs to direct labor. The Company absorbed approximately $9.0 million in unbillable time our consulting staff incurred during the shutdown. However our operating margin improved overall for the nine months ended December 31, 2013 compared to the nine months ended December 31, 2012 due to increased contract profitability due to disciplined cost management of indirect spending and recovery of additional allowable expenses throughout the fiscal year, as well as decreases in salaries and salary related benefits, and employer retirement plan contributions primarily due to the net decline in our headcount and, to a lesser extent, changes in our executives' compensation and our employer retirement plan discretionary contributions. In addition, the mix of revenue generated by our consulting staff and subcontractors affects our operating margin, as the portion of our operating income derived from fees we earn on services provided by our subcontractors is significantly less than the operating income derived from direct consulting staff labor. Substantially all of our revenue and backlog continues to be derived from services and solutions provided to client organizations across the U.S. government, primarily by our consulting staff and, to a lesser extent, our subcontractors. As discussed above, the effects of the government shutdown compounded by the lower demand in an uncertain federal budget environment resulted in a decline in the use of subcontractors during the three months ended December 31, 2013, which minimized the reduction in our operating margin. For the nine months ended December 31, 2013, our mix of revenue generated by our consulting staff and subcontractors has remained relatively stable.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w:t>
      </w:r>
    </w:p>
    <w:p>
      <w:pPr>
        <w:spacing w:after="0" w:line="8" w:lineRule="exact"/>
        <w:rPr>
          <w:sz w:val="20"/>
          <w:szCs w:val="20"/>
          <w:color w:val="auto"/>
        </w:rPr>
      </w:pPr>
    </w:p>
    <w:p>
      <w:pPr>
        <w:ind w:right="220" w:firstLine="8"/>
        <w:spacing w:after="0" w:line="261"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each adjustment in our reconciliation of operating and net income to Adjusted Operating Income, Adjusted EBITDA and Adjusted Net Income, and net cash provided by operating activities to Free Cash Flows, and the explanatory footnotes regarding those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9" w:right="23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t>adjustments, (ii) use Adjusted Operating Income, Adjusted EBITDA, Adjusted Net Income, and Adjusted Diluted EPS in addition to, and not as an alternative to, operating income, net income or diluted EPS, as a measure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200" w:lineRule="exact"/>
        <w:rPr>
          <w:sz w:val="20"/>
          <w:szCs w:val="20"/>
          <w:color w:val="auto"/>
        </w:rPr>
      </w:pPr>
    </w:p>
    <w:p>
      <w:pPr>
        <w:spacing w:after="0" w:line="257" w:lineRule="exact"/>
        <w:rPr>
          <w:sz w:val="20"/>
          <w:szCs w:val="20"/>
          <w:color w:val="auto"/>
        </w:rPr>
      </w:pPr>
    </w:p>
    <w:p>
      <w:pPr>
        <w:ind w:left="1300" w:right="40" w:hanging="644"/>
        <w:spacing w:after="0" w:line="302"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 (ii) 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08" w:lineRule="exact"/>
        <w:rPr>
          <w:rFonts w:ascii="Arial" w:cs="Arial" w:eastAsia="Arial" w:hAnsi="Arial"/>
          <w:sz w:val="16"/>
          <w:szCs w:val="16"/>
          <w:color w:val="auto"/>
        </w:rPr>
      </w:pPr>
    </w:p>
    <w:p>
      <w:pPr>
        <w:ind w:left="1300" w:right="20" w:hanging="644"/>
        <w:spacing w:after="0" w:line="297"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212" w:lineRule="exact"/>
        <w:rPr>
          <w:rFonts w:ascii="Arial" w:cs="Arial" w:eastAsia="Arial" w:hAnsi="Arial"/>
          <w:sz w:val="16"/>
          <w:szCs w:val="16"/>
          <w:color w:val="auto"/>
        </w:rPr>
      </w:pPr>
    </w:p>
    <w:p>
      <w:pPr>
        <w:ind w:left="1300" w:right="140" w:hanging="644"/>
        <w:spacing w:after="0" w:line="293"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218"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3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9" w:name="page20"/>
    <w:bookmarkEnd w:id="19"/>
    <w:p>
      <w:pPr>
        <w:ind w:right="240"/>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940" w:type="dxa"/>
            <w:vAlign w:val="bottom"/>
            <w:gridSpan w:val="3"/>
          </w:tcPr>
          <w:p>
            <w:pPr>
              <w:jc w:val="center"/>
              <w:ind w:left="592"/>
              <w:spacing w:after="0"/>
              <w:rPr>
                <w:sz w:val="20"/>
                <w:szCs w:val="20"/>
                <w:color w:val="auto"/>
              </w:rPr>
            </w:pPr>
            <w:r>
              <w:rPr>
                <w:rFonts w:ascii="Arial" w:cs="Arial" w:eastAsia="Arial" w:hAnsi="Arial"/>
                <w:sz w:val="14"/>
                <w:szCs w:val="14"/>
                <w:b w:val="1"/>
                <w:bCs w:val="1"/>
                <w:color w:val="auto"/>
                <w:w w:val="93"/>
              </w:rPr>
              <w:t>Nine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672"/>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572"/>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gridSpan w:val="3"/>
          </w:tcPr>
          <w:p>
            <w:pPr>
              <w:jc w:val="center"/>
              <w:ind w:left="692"/>
              <w:spacing w:after="0"/>
              <w:rPr>
                <w:sz w:val="20"/>
                <w:szCs w:val="20"/>
                <w:color w:val="auto"/>
              </w:rPr>
            </w:pPr>
            <w:r>
              <w:rPr>
                <w:rFonts w:ascii="Arial" w:cs="Arial" w:eastAsia="Arial" w:hAnsi="Arial"/>
                <w:sz w:val="14"/>
                <w:szCs w:val="14"/>
                <w:b w:val="1"/>
                <w:bCs w:val="1"/>
                <w:color w:val="auto"/>
                <w:w w:val="95"/>
              </w:rPr>
              <w:t>(Unaudited)</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gridSpan w:val="3"/>
          </w:tcPr>
          <w:p>
            <w:pPr>
              <w:jc w:val="center"/>
              <w:ind w:left="592"/>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97,034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116,596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371,374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333,361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3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6,337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(c)</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99,146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120,807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378,805</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350,414</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EBITDA &amp; Adjusted EBITDA</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47,167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56,184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185,293</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164,245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124,701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110,636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and other, net</w:t>
            </w:r>
          </w:p>
        </w:tc>
        <w:tc>
          <w:tcPr>
            <w:tcW w:w="3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18,853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21,597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61,380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58,480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17,945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54,377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54,243</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114,979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134,723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425,751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387,604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Transaction expenses (c)</w:t>
            </w:r>
          </w:p>
        </w:tc>
        <w:tc>
          <w:tcPr>
            <w:tcW w:w="3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114,979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135,809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426,845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395,273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47,167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185,293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164,245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3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(c)</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3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6,337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Amortization or write-off of debt issuance costs and write-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 of original issue discount</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Adjustments for tax effect (d)</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192,787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Weighted-average number of diluted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148,835,283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145,063,515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148,165,190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144,116,057</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Adjusted Net Income Per Diluted Share (e)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152,725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9,186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292,334</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398,934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(20,657)</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147,099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279,990</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378,277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80" w:hanging="652"/>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Equity Incentive Plan Class A Common Stock options issued in connection with the Acquisition under the Equity Incentive Plan.</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recapitalization transaction consummated on July 31, 2012.</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9" w:lineRule="exact"/>
        <w:rPr>
          <w:rFonts w:ascii="Arial" w:cs="Arial" w:eastAsia="Arial" w:hAnsi="Arial"/>
          <w:sz w:val="18"/>
          <w:szCs w:val="18"/>
          <w:color w:val="auto"/>
        </w:rPr>
      </w:pPr>
    </w:p>
    <w:p>
      <w:pPr>
        <w:ind w:left="660" w:right="360" w:hanging="652"/>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an adjustment of approximately $1.5 million and $1.7 million of net earnings for the three and nine months ended December 31, 2013, respectively, and excludes an adjustment of approximately $450,000 and $9.0 million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0" w:name="page21"/>
    <w:bookmarkEnd w:id="20"/>
    <w:p>
      <w:pPr>
        <w:ind w:left="660" w:right="520"/>
        <w:spacing w:after="0" w:line="324" w:lineRule="auto"/>
        <w:rPr>
          <w:sz w:val="20"/>
          <w:szCs w:val="20"/>
          <w:color w:val="auto"/>
        </w:rPr>
      </w:pPr>
      <w:r>
        <w:rPr>
          <w:rFonts w:ascii="Arial" w:cs="Arial" w:eastAsia="Arial" w:hAnsi="Arial"/>
          <w:sz w:val="18"/>
          <w:szCs w:val="18"/>
          <w:color w:val="auto"/>
        </w:rPr>
        <w:t>net earnings for the three and nine months ended December 31, 2012, respectively, associated with the application of the two-class method for computing diluted earnings per share.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recent development occurred after December 31, 2013, which may cause our future results of operations to differ from our historical results of operations discussed under “— Results of Operations.”</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January 31, 2013, we announced a regular quarterly cash dividend in the amount of $0.10 per share and a special cash dividend of $1.00 per share, each payable on February 28, 2014 to shareholders of record on February 10, 2014. The Board of Directors, acting as the Administrator of the Officers' Rollover Stock Plan and the EIP made a determination to adjust the outstanding Rollover and EIP options for the special dividend to prevent the dilution of the options. The adjustment is in the form of a $1.00 dividend equivalent. Holders of the Rollover Options will receive a cash payment equal to the amount of the special dividend on the exercise of the option during the options' mandatory exercise period. Holders of EIP options will receive a cash payment equal to the amount of the special dividend payable on February 28, 2014 or the vesting of the EIP option, whichever is later.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116" w:lineRule="exact"/>
        <w:rPr>
          <w:sz w:val="20"/>
          <w:szCs w:val="20"/>
          <w:color w:val="auto"/>
        </w:rPr>
      </w:pPr>
    </w:p>
    <w:p>
      <w:pPr>
        <w:ind w:left="1300" w:right="8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16"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127" w:lineRule="exact"/>
        <w:rPr>
          <w:rFonts w:ascii="Arial" w:cs="Arial" w:eastAsia="Arial" w:hAnsi="Arial"/>
          <w:sz w:val="18"/>
          <w:szCs w:val="18"/>
          <w:color w:val="auto"/>
        </w:rPr>
      </w:pPr>
    </w:p>
    <w:p>
      <w:pPr>
        <w:ind w:left="1300" w:right="60" w:hanging="644"/>
        <w:spacing w:after="0" w:line="270"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cost cutting and efficiency initiatives, current and future budget reductions, continued implementation of Congressionally mandated automatic spending cuts, and other efforts to reduce U.S. government spending, which could cause clients to reduce or delay funding for orders for services or invest appropriated funds on a less consistent or rapid basis or not at all, particularly when considering long-term initiatives and in light of uncertainty around Congressional efforts to craft a long-term agreement on the U.S. government's ability to incur indebtedness in excess of its current limits and generally in the current political environment,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127" w:lineRule="exact"/>
        <w:rPr>
          <w:rFonts w:ascii="Arial" w:cs="Arial" w:eastAsia="Arial" w:hAnsi="Arial"/>
          <w:sz w:val="17"/>
          <w:szCs w:val="17"/>
          <w:color w:val="auto"/>
        </w:rPr>
      </w:pPr>
    </w:p>
    <w:p>
      <w:pPr>
        <w:ind w:left="1300" w:right="20" w:hanging="644"/>
        <w:spacing w:after="0" w:line="25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and continued uncertainty around the timing, extent, nature and effect of Congressional and other U.S. government action to address budgetary constraints, the outcome of Congressional efforts to craft a long-term agreement on the U.S. government’s ability to incur indebtedness in excess of its current limits prior to February 7, 2014, the date on which legislation relating to the U.S. government’s debt limit expires and the U.S. deficit, including, the required reductions under the Budget Control Act of 2011 (as amended by the American Taxpayer Relief Act of 2012 and the Consolidated Appropriations Act, 2014), which provides for automatic spending cuts totaling approximately $1.2 trillion between 2013 and 2021;</w:t>
      </w:r>
    </w:p>
    <w:p>
      <w:pPr>
        <w:spacing w:after="0" w:line="139"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95" w:right="239" w:bottom="1440" w:gutter="0" w:footer="0" w:header="0"/>
        </w:sectPr>
      </w:pPr>
    </w:p>
    <w:bookmarkStart w:id="21" w:name="page22"/>
    <w:bookmarkEnd w:id="21"/>
    <w:p>
      <w:pPr>
        <w:ind w:left="13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116"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implementation by U.S. government agencies of approximately $64 billion in mandated 2014 sequestration spending cuts, including an estimated $30 billion in cuts to the Department of Defense;</w:t>
      </w:r>
    </w:p>
    <w:p>
      <w:pPr>
        <w:spacing w:after="0" w:line="116"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127"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16" w:lineRule="exact"/>
        <w:rPr>
          <w:rFonts w:ascii="Arial" w:cs="Arial" w:eastAsia="Arial" w:hAnsi="Arial"/>
          <w:sz w:val="18"/>
          <w:szCs w:val="18"/>
          <w:color w:val="auto"/>
        </w:rPr>
      </w:pPr>
    </w:p>
    <w:p>
      <w:pPr>
        <w:ind w:left="1300" w:right="200" w:hanging="644"/>
        <w:spacing w:after="0" w:line="31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92" w:lineRule="exact"/>
        <w:rPr>
          <w:rFonts w:ascii="Arial" w:cs="Arial" w:eastAsia="Arial" w:hAnsi="Arial"/>
          <w:sz w:val="16"/>
          <w:szCs w:val="16"/>
          <w:color w:val="auto"/>
        </w:rPr>
      </w:pPr>
    </w:p>
    <w:p>
      <w:pPr>
        <w:ind w:left="1300" w:right="36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116" w:lineRule="exact"/>
        <w:rPr>
          <w:rFonts w:ascii="Arial" w:cs="Arial" w:eastAsia="Arial" w:hAnsi="Arial"/>
          <w:sz w:val="18"/>
          <w:szCs w:val="18"/>
          <w:color w:val="auto"/>
        </w:rPr>
      </w:pPr>
    </w:p>
    <w:p>
      <w:pPr>
        <w:ind w:left="1300" w:right="28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result of the U.S. government's efforts to reduce outlays for contractor costs, we may see a continuing shift toward placement of our consulting staff at client site locations instead of our facilities, which generally results in lower billing rates and could have a negative impact on our revenue;</w:t>
      </w:r>
    </w:p>
    <w:p>
      <w:pPr>
        <w:spacing w:after="0" w:line="127" w:lineRule="exact"/>
        <w:rPr>
          <w:rFonts w:ascii="Arial" w:cs="Arial" w:eastAsia="Arial" w:hAnsi="Arial"/>
          <w:sz w:val="18"/>
          <w:szCs w:val="18"/>
          <w:color w:val="auto"/>
        </w:rPr>
      </w:pPr>
    </w:p>
    <w:p>
      <w:pPr>
        <w:ind w:left="1300" w:right="520" w:hanging="644"/>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127"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w:t>
      </w:r>
    </w:p>
    <w:p>
      <w:pPr>
        <w:spacing w:after="0" w:line="116" w:lineRule="exact"/>
        <w:rPr>
          <w:rFonts w:ascii="Arial" w:cs="Arial" w:eastAsia="Arial" w:hAnsi="Arial"/>
          <w:sz w:val="18"/>
          <w:szCs w:val="18"/>
          <w:color w:val="auto"/>
        </w:rPr>
      </w:pPr>
    </w:p>
    <w:p>
      <w:pPr>
        <w:ind w:left="1300" w:right="340" w:hanging="644"/>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relevant rules expected in or after June 2014, which substantially further reduce the amount of allowable executive compensation under these contracts and extend these limitations to a larger segment of our executive corps and our entire contract base; and</w:t>
      </w:r>
    </w:p>
    <w:p>
      <w:pPr>
        <w:spacing w:after="0" w:line="13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and the Consolidated Appropriations Act, 2014), which provides for automatic spending cuts totaling approximately $1.2 trillion between 2013 and 2021, requires an estimated $500 billion in federal defense spending cuts over this time period. Under the Budget Control Act, as amended, approximately $64 billion in spending cuts are mandated for fiscal 2014, and the Department of Defense has estimated that its share of these cuts at $30 billion. A reduction in the amount of services that we are contracted to provide to the Department of Defense could have a material adverse effect on our business and results of operations, and given the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30" w:right="25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uncertainty of when and how these automatic reductions may be applied, we are unable to predict the nature or magnitude of the potential adverse effect.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Types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hanging="655"/>
        <w:spacing w:after="0" w:line="270" w:lineRule="auto"/>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3" w:lineRule="exact"/>
        <w:rPr>
          <w:rFonts w:ascii="Arial" w:cs="Arial" w:eastAsia="Arial" w:hAnsi="Arial"/>
          <w:sz w:val="17"/>
          <w:szCs w:val="17"/>
          <w:color w:val="auto"/>
        </w:rPr>
      </w:pPr>
    </w:p>
    <w:p>
      <w:pPr>
        <w:ind w:left="1960" w:right="120" w:hanging="655"/>
        <w:spacing w:after="0" w:line="257" w:lineRule="auto"/>
        <w:tabs>
          <w:tab w:leader="none" w:pos="19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0" w:lineRule="exact"/>
        <w:rPr>
          <w:rFonts w:ascii="Arial" w:cs="Arial" w:eastAsia="Arial" w:hAnsi="Arial"/>
          <w:sz w:val="18"/>
          <w:szCs w:val="18"/>
          <w:i w:val="1"/>
          <w:iCs w:val="1"/>
          <w:color w:val="auto"/>
        </w:rPr>
      </w:pPr>
    </w:p>
    <w:p>
      <w:pPr>
        <w:ind w:left="1960" w:right="140" w:hanging="655"/>
        <w:spacing w:after="0" w:line="255" w:lineRule="auto"/>
        <w:tabs>
          <w:tab w:leader="none" w:pos="19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Over the last twelve months we have experienced a relatively stable contract mix, with a shift from from time-and-materials contracts and cost-reimbursable contracts to fixed-price contracts during the three months ended December 31, 2013.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220980</wp:posOffset>
            </wp:positionV>
            <wp:extent cx="3978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2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4"/>
                <w:szCs w:val="14"/>
                <w:color w:val="auto"/>
              </w:rPr>
            </w:pPr>
          </w:p>
        </w:tc>
        <w:tc>
          <w:tcPr>
            <w:tcW w:w="214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5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8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Pr>
          <w:p>
            <w:pPr>
              <w:spacing w:after="0"/>
              <w:rPr>
                <w:sz w:val="16"/>
                <w:szCs w:val="16"/>
                <w:color w:val="auto"/>
              </w:rPr>
            </w:pPr>
          </w:p>
        </w:tc>
        <w:tc>
          <w:tcPr>
            <w:tcW w:w="2140" w:type="dxa"/>
            <w:vAlign w:val="bottom"/>
            <w:gridSpan w:val="3"/>
          </w:tcPr>
          <w:p>
            <w:pPr>
              <w:jc w:val="center"/>
              <w:ind w:right="828"/>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516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center"/>
              <w:ind w:left="377"/>
              <w:spacing w:after="0"/>
              <w:rPr>
                <w:sz w:val="20"/>
                <w:szCs w:val="20"/>
                <w:color w:val="auto"/>
              </w:rPr>
            </w:pPr>
            <w:r>
              <w:rPr>
                <w:rFonts w:ascii="Arial" w:cs="Arial" w:eastAsia="Arial" w:hAnsi="Arial"/>
                <w:sz w:val="14"/>
                <w:szCs w:val="14"/>
                <w:b w:val="1"/>
                <w:bCs w:val="1"/>
                <w:color w:val="auto"/>
                <w:w w:val="89"/>
              </w:rPr>
              <w:t>2013</w:t>
            </w:r>
          </w:p>
        </w:tc>
        <w:tc>
          <w:tcPr>
            <w:tcW w:w="4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center"/>
              <w:ind w:left="474"/>
              <w:spacing w:after="0"/>
              <w:rPr>
                <w:sz w:val="20"/>
                <w:szCs w:val="20"/>
                <w:color w:val="auto"/>
              </w:rPr>
            </w:pPr>
            <w:r>
              <w:rPr>
                <w:rFonts w:ascii="Arial" w:cs="Arial" w:eastAsia="Arial" w:hAnsi="Arial"/>
                <w:sz w:val="14"/>
                <w:szCs w:val="14"/>
                <w:b w:val="1"/>
                <w:bCs w:val="1"/>
                <w:color w:val="auto"/>
                <w:w w:val="89"/>
              </w:rPr>
              <w:t>2013</w:t>
            </w:r>
          </w:p>
        </w:tc>
        <w:tc>
          <w:tcPr>
            <w:tcW w:w="5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Cost-reimbursable (1)</w:t>
            </w:r>
          </w:p>
        </w:tc>
        <w:tc>
          <w:tcPr>
            <w:tcW w:w="1020" w:type="dxa"/>
            <w:vAlign w:val="bottom"/>
            <w:tcBorders>
              <w:bottom w:val="single" w:sz="8" w:color="CCEEFF"/>
            </w:tcBorders>
            <w:shd w:val="clear" w:color="auto" w:fill="CCEEFF"/>
          </w:tcPr>
          <w:p>
            <w:pPr>
              <w:jc w:val="center"/>
              <w:ind w:left="377"/>
              <w:spacing w:after="0"/>
              <w:rPr>
                <w:sz w:val="20"/>
                <w:szCs w:val="20"/>
                <w:color w:val="auto"/>
              </w:rPr>
            </w:pPr>
            <w:r>
              <w:rPr>
                <w:rFonts w:ascii="Arial" w:cs="Arial" w:eastAsia="Arial" w:hAnsi="Arial"/>
                <w:sz w:val="18"/>
                <w:szCs w:val="18"/>
                <w:color w:val="auto"/>
                <w:w w:val="88"/>
              </w:rPr>
              <w:t>55%</w:t>
            </w:r>
          </w:p>
        </w:tc>
        <w:tc>
          <w:tcPr>
            <w:tcW w:w="2060" w:type="dxa"/>
            <w:vAlign w:val="bottom"/>
            <w:tcBorders>
              <w:bottom w:val="single" w:sz="8" w:color="CCEEFF"/>
            </w:tcBorders>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88"/>
              </w:rPr>
              <w:t>58%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88"/>
              </w:rPr>
              <w:t>55%</w:t>
            </w:r>
          </w:p>
        </w:tc>
        <w:tc>
          <w:tcPr>
            <w:tcW w:w="2140" w:type="dxa"/>
            <w:vAlign w:val="bottom"/>
            <w:tcBorders>
              <w:bottom w:val="single" w:sz="8" w:color="CCEEFF"/>
            </w:tcBorders>
            <w:gridSpan w:val="3"/>
            <w:shd w:val="clear" w:color="auto" w:fill="CCEEFF"/>
          </w:tcPr>
          <w:p>
            <w:pPr>
              <w:jc w:val="center"/>
              <w:ind w:left="577"/>
              <w:spacing w:after="0"/>
              <w:rPr>
                <w:sz w:val="20"/>
                <w:szCs w:val="20"/>
                <w:color w:val="auto"/>
              </w:rPr>
            </w:pPr>
            <w:r>
              <w:rPr>
                <w:rFonts w:ascii="Arial" w:cs="Arial" w:eastAsia="Arial" w:hAnsi="Arial"/>
                <w:sz w:val="18"/>
                <w:szCs w:val="18"/>
                <w:color w:val="auto"/>
                <w:w w:val="88"/>
              </w:rPr>
              <w:t>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Time-and-materials</w:t>
            </w:r>
          </w:p>
        </w:tc>
        <w:tc>
          <w:tcPr>
            <w:tcW w:w="1020" w:type="dxa"/>
            <w:vAlign w:val="bottom"/>
          </w:tcPr>
          <w:p>
            <w:pPr>
              <w:jc w:val="center"/>
              <w:ind w:left="377"/>
              <w:spacing w:after="0"/>
              <w:rPr>
                <w:sz w:val="20"/>
                <w:szCs w:val="20"/>
                <w:color w:val="auto"/>
              </w:rPr>
            </w:pPr>
            <w:r>
              <w:rPr>
                <w:rFonts w:ascii="Arial" w:cs="Arial" w:eastAsia="Arial" w:hAnsi="Arial"/>
                <w:sz w:val="18"/>
                <w:szCs w:val="18"/>
                <w:color w:val="auto"/>
                <w:w w:val="88"/>
              </w:rPr>
              <w:t>26%</w:t>
            </w:r>
          </w:p>
        </w:tc>
        <w:tc>
          <w:tcPr>
            <w:tcW w:w="2060" w:type="dxa"/>
            <w:vAlign w:val="bottom"/>
            <w:gridSpan w:val="3"/>
          </w:tcPr>
          <w:p>
            <w:pPr>
              <w:jc w:val="center"/>
              <w:ind w:left="494"/>
              <w:spacing w:after="0"/>
              <w:rPr>
                <w:sz w:val="20"/>
                <w:szCs w:val="20"/>
                <w:color w:val="auto"/>
              </w:rPr>
            </w:pPr>
            <w:r>
              <w:rPr>
                <w:rFonts w:ascii="Arial" w:cs="Arial" w:eastAsia="Arial" w:hAnsi="Arial"/>
                <w:sz w:val="18"/>
                <w:szCs w:val="18"/>
                <w:color w:val="auto"/>
                <w:w w:val="88"/>
              </w:rPr>
              <w:t>27%</w:t>
            </w:r>
          </w:p>
        </w:tc>
        <w:tc>
          <w:tcPr>
            <w:tcW w:w="120" w:type="dxa"/>
            <w:vAlign w:val="bottom"/>
          </w:tcPr>
          <w:p>
            <w:pPr>
              <w:spacing w:after="0"/>
              <w:rPr>
                <w:sz w:val="21"/>
                <w:szCs w:val="21"/>
                <w:color w:val="auto"/>
              </w:rPr>
            </w:pPr>
          </w:p>
        </w:tc>
        <w:tc>
          <w:tcPr>
            <w:tcW w:w="920" w:type="dxa"/>
            <w:vAlign w:val="bottom"/>
          </w:tcPr>
          <w:p>
            <w:pPr>
              <w:jc w:val="center"/>
              <w:ind w:left="474"/>
              <w:spacing w:after="0"/>
              <w:rPr>
                <w:sz w:val="20"/>
                <w:szCs w:val="20"/>
                <w:color w:val="auto"/>
              </w:rPr>
            </w:pPr>
            <w:r>
              <w:rPr>
                <w:rFonts w:ascii="Arial" w:cs="Arial" w:eastAsia="Arial" w:hAnsi="Arial"/>
                <w:sz w:val="18"/>
                <w:szCs w:val="18"/>
                <w:color w:val="auto"/>
                <w:w w:val="88"/>
              </w:rPr>
              <w:t>28%</w:t>
            </w:r>
          </w:p>
        </w:tc>
        <w:tc>
          <w:tcPr>
            <w:tcW w:w="2140" w:type="dxa"/>
            <w:vAlign w:val="bottom"/>
            <w:gridSpan w:val="3"/>
          </w:tcPr>
          <w:p>
            <w:pPr>
              <w:jc w:val="center"/>
              <w:ind w:left="577"/>
              <w:spacing w:after="0"/>
              <w:rPr>
                <w:sz w:val="20"/>
                <w:szCs w:val="20"/>
                <w:color w:val="auto"/>
              </w:rPr>
            </w:pPr>
            <w:r>
              <w:rPr>
                <w:rFonts w:ascii="Arial" w:cs="Arial" w:eastAsia="Arial" w:hAnsi="Arial"/>
                <w:sz w:val="18"/>
                <w:szCs w:val="18"/>
                <w:color w:val="auto"/>
                <w:w w:val="88"/>
              </w:rPr>
              <w:t>28%</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Fixed-price (2)</w:t>
            </w:r>
          </w:p>
        </w:tc>
        <w:tc>
          <w:tcPr>
            <w:tcW w:w="102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8"/>
              </w:rPr>
              <w:t>19%</w:t>
            </w:r>
          </w:p>
        </w:tc>
        <w:tc>
          <w:tcPr>
            <w:tcW w:w="206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88"/>
              </w:rPr>
              <w:t>15%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88"/>
              </w:rPr>
              <w:t>17%</w:t>
            </w:r>
          </w:p>
        </w:tc>
        <w:tc>
          <w:tcPr>
            <w:tcW w:w="2140" w:type="dxa"/>
            <w:vAlign w:val="bottom"/>
            <w:gridSpan w:val="3"/>
            <w:shd w:val="clear" w:color="auto" w:fill="CCEEFF"/>
          </w:tcPr>
          <w:p>
            <w:pPr>
              <w:jc w:val="center"/>
              <w:ind w:left="577"/>
              <w:spacing w:after="0"/>
              <w:rPr>
                <w:sz w:val="20"/>
                <w:szCs w:val="20"/>
                <w:color w:val="auto"/>
              </w:rPr>
            </w:pPr>
            <w:r>
              <w:rPr>
                <w:rFonts w:ascii="Arial" w:cs="Arial" w:eastAsia="Arial" w:hAnsi="Arial"/>
                <w:sz w:val="18"/>
                <w:szCs w:val="18"/>
                <w:color w:val="auto"/>
                <w:w w:val="88"/>
              </w:rPr>
              <w:t>15%</w:t>
            </w:r>
          </w:p>
        </w:tc>
      </w:tr>
      <w:tr>
        <w:trPr>
          <w:trHeight w:val="27"/>
        </w:trPr>
        <w:tc>
          <w:tcPr>
            <w:tcW w:w="5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49" w:right="239" w:bottom="1440" w:gutter="0" w:footer="0" w:header="0"/>
        </w:sectPr>
      </w:pPr>
    </w:p>
    <w:bookmarkStart w:id="23" w:name="page24"/>
    <w:bookmarkEnd w:id="23"/>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Diversity and Revenue Mix</w:t>
      </w:r>
    </w:p>
    <w:p>
      <w:pPr>
        <w:spacing w:after="0" w:line="9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1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clients.We seek to achieve that result through recruitment and management of capacity and compensation. As of December 31, 2013 and 2012, we employed approximately 22,700 and 24,800 people, respectively, of which approximately 20,600 and 22,400, respectively, were consulting staff.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333" w:lineRule="exact"/>
        <w:rPr>
          <w:sz w:val="20"/>
          <w:szCs w:val="20"/>
          <w:color w:val="auto"/>
        </w:rPr>
      </w:pPr>
    </w:p>
    <w:p>
      <w:pPr>
        <w:ind w:left="1300" w:right="7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27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278" w:lineRule="exact"/>
        <w:rPr>
          <w:rFonts w:ascii="Arial" w:cs="Arial" w:eastAsia="Arial" w:hAnsi="Arial"/>
          <w:sz w:val="18"/>
          <w:szCs w:val="18"/>
          <w:color w:val="auto"/>
        </w:rPr>
      </w:pPr>
    </w:p>
    <w:p>
      <w:pPr>
        <w:ind w:left="1300" w:right="200" w:hanging="644"/>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352"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2"/>
                <w:szCs w:val="22"/>
                <w:color w:val="auto"/>
              </w:rPr>
            </w:pPr>
          </w:p>
        </w:tc>
        <w:tc>
          <w:tcPr>
            <w:tcW w:w="3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(1)</w:t>
            </w:r>
          </w:p>
        </w:tc>
        <w:tc>
          <w:tcPr>
            <w:tcW w:w="24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380"/>
              <w:spacing w:after="0"/>
              <w:rPr>
                <w:sz w:val="20"/>
                <w:szCs w:val="20"/>
                <w:color w:val="auto"/>
              </w:rPr>
            </w:pPr>
            <w:r>
              <w:rPr>
                <w:rFonts w:ascii="Arial" w:cs="Arial" w:eastAsia="Arial" w:hAnsi="Arial"/>
                <w:sz w:val="18"/>
                <w:szCs w:val="18"/>
                <w:color w:val="auto"/>
              </w:rPr>
              <w:t>Funded</w:t>
            </w:r>
          </w:p>
        </w:tc>
        <w:tc>
          <w:tcPr>
            <w:tcW w:w="33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(2)</w:t>
            </w:r>
          </w:p>
        </w:tc>
        <w:tc>
          <w:tcPr>
            <w:tcW w:w="2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43"/>
        </w:trPr>
        <w:tc>
          <w:tcPr>
            <w:tcW w:w="2940" w:type="dxa"/>
            <w:vAlign w:val="bottom"/>
          </w:tcPr>
          <w:p>
            <w:pPr>
              <w:ind w:left="380"/>
              <w:spacing w:after="0"/>
              <w:rPr>
                <w:sz w:val="20"/>
                <w:szCs w:val="20"/>
                <w:color w:val="auto"/>
              </w:rPr>
            </w:pPr>
            <w:r>
              <w:rPr>
                <w:rFonts w:ascii="Arial" w:cs="Arial" w:eastAsia="Arial" w:hAnsi="Arial"/>
                <w:sz w:val="18"/>
                <w:szCs w:val="18"/>
                <w:color w:val="auto"/>
              </w:rPr>
              <w:t>Priced options (3)</w:t>
            </w:r>
          </w:p>
        </w:tc>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5,233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6,157</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338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10,367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894"/>
              <w:spacing w:after="0"/>
              <w:rPr>
                <w:sz w:val="20"/>
                <w:szCs w:val="20"/>
                <w:color w:val="auto"/>
              </w:rPr>
            </w:pPr>
            <w:r>
              <w:rPr>
                <w:rFonts w:ascii="Arial" w:cs="Arial" w:eastAsia="Arial" w:hAnsi="Arial"/>
                <w:sz w:val="18"/>
                <w:szCs w:val="18"/>
                <w:color w:val="auto"/>
              </w:rPr>
              <w:t>22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9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8" w:right="259" w:bottom="1440" w:gutter="0" w:footer="0" w:header="0"/>
        </w:sectPr>
      </w:pPr>
    </w:p>
    <w:bookmarkStart w:id="24" w:name="page25"/>
    <w:bookmarkEnd w:id="24"/>
    <w:p>
      <w:pPr>
        <w:ind w:left="1300" w:right="20" w:hanging="644"/>
        <w:spacing w:after="0" w:line="256"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Backlog presented in the above table includes backlog acquired from the Company's acquisition of ARINC's Defense Systems Engineering and Support (DSES) division on November 30, 2012. Total backlog acquired from DSES is approximately $662 million as of December 31, 2013.</w:t>
      </w:r>
    </w:p>
    <w:p>
      <w:pPr>
        <w:ind w:left="1300" w:right="640" w:hanging="644"/>
        <w:spacing w:after="0" w:line="281"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a reduction by management to the revenue value of orders for services under two existing single award ID/IQ contracts the Company has had for several years, based on an established pattern of funding under these contracts by the U.S. government.</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shown reflect 100% of the undiscounted revenue value of all priced options.</w:t>
      </w:r>
    </w:p>
    <w:p>
      <w:pPr>
        <w:spacing w:after="0" w:line="1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including backlog from Booz Allen Hamilton Engineering Services, LLC, or BES, of $662 million, decreased by 18.2% from December 31, 2012 to December 31, 2013. Funded backlog of $2.5 billion, including funded backlog from BES of $241 million, decreased by 20.7% from December 31, 2012 to December 31, 2013. Additions to funded backlog during the twelve months ended December 31, 2013, including backlog from BES, totaled $5.0 billion in comparison to $5.7 billion for the comparable period, with the decrease due to challenging and uncertain market conditions which is contributing to a lower conversion of unfunded backlog to funded backlog, the reduced award of new contracts and task orders under which funding was appropriated, and the decline in exercise and subsequent funding of priced options. With the passing of the $1.1 trillion Consolidated Appropriations Act in January 2014, we expect the pace of contract awards to increase throughout the remainder of the U.S. government’s fiscal year ending September 30, 2014. We report internally on our backlog on a monthly basis and review backlog upon occurrence of certain events to determine if any adjustments are necessary.</w:t>
      </w:r>
    </w:p>
    <w:p>
      <w:pPr>
        <w:spacing w:after="0" w:line="1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5.9% of funded backlog as of the end of any of the eight fiscal quarters preceding the fiscal quarter ended December 31, 2013.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279" w:lineRule="exact"/>
        <w:rPr>
          <w:sz w:val="20"/>
          <w:szCs w:val="20"/>
          <w:color w:val="auto"/>
        </w:rPr>
      </w:pPr>
    </w:p>
    <w:p>
      <w:pPr>
        <w:ind w:left="1300" w:right="58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7" w:right="239" w:bottom="1440" w:gutter="0" w:footer="0" w:header="0"/>
        </w:sectPr>
      </w:pPr>
    </w:p>
    <w:bookmarkStart w:id="25" w:name="page26"/>
    <w:bookmarkEnd w:id="25"/>
    <w:p>
      <w:pPr>
        <w:ind w:left="1300" w:right="4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224"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224" w:lineRule="exact"/>
        <w:rPr>
          <w:rFonts w:ascii="Arial" w:cs="Arial" w:eastAsia="Arial" w:hAnsi="Arial"/>
          <w:sz w:val="18"/>
          <w:szCs w:val="18"/>
          <w:color w:val="auto"/>
        </w:rPr>
      </w:pPr>
    </w:p>
    <w:p>
      <w:pPr>
        <w:ind w:left="1300" w:right="20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U.S. government's fiscal year ends on September 30 of each year. While not certain, it is not uncommon for U.S. government agencies to award extra tasks or complete other contract actions in the period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9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3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2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rPr>
              <w:t>(Unaudited)</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1,273,150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1,392,695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4,078,861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4,212,769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662,053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692,920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2,048,663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2,122,356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78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320,370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382,520</w:t>
            </w:r>
          </w:p>
        </w:tc>
        <w:tc>
          <w:tcPr>
            <w:tcW w:w="140" w:type="dxa"/>
            <w:vAlign w:val="bottom"/>
            <w:tcBorders>
              <w:right w:val="single" w:sz="8" w:color="auto"/>
            </w:tcBorders>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1,083,890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1,114,424</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175,748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182,532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520,557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588,385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2780" w:type="dxa"/>
            <w:vAlign w:val="bottom"/>
          </w:tcPr>
          <w:p>
            <w:pPr>
              <w:ind w:left="380"/>
              <w:spacing w:after="0"/>
              <w:rPr>
                <w:sz w:val="20"/>
                <w:szCs w:val="20"/>
                <w:color w:val="auto"/>
              </w:rPr>
            </w:pPr>
            <w:r>
              <w:rPr>
                <w:rFonts w:ascii="Arial" w:cs="Arial" w:eastAsia="Arial" w:hAnsi="Arial"/>
                <w:sz w:val="18"/>
                <w:szCs w:val="18"/>
                <w:color w:val="auto"/>
                <w:w w:val="99"/>
              </w:rPr>
              <w:t>Depreciation and amortization</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17,945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18,127</w:t>
            </w:r>
          </w:p>
        </w:tc>
        <w:tc>
          <w:tcPr>
            <w:tcW w:w="140" w:type="dxa"/>
            <w:vAlign w:val="bottom"/>
            <w:tcBorders>
              <w:right w:val="single" w:sz="8" w:color="auto"/>
            </w:tcBorders>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54,377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54,243</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costs and</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1,176,116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1,276,099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3,707,487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3,879,408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2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97,034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116,596</w:t>
            </w: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371,374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333,361</w:t>
            </w:r>
          </w:p>
        </w:tc>
        <w:tc>
          <w:tcPr>
            <w:tcW w:w="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(50,788)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40" w:type="dxa"/>
            <w:vAlign w:val="bottom"/>
            <w:tcBorders>
              <w:right w:val="single" w:sz="8" w:color="auto"/>
            </w:tcBorders>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(7,692)</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94,999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309,994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274,881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31,014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38,815</w:t>
            </w:r>
          </w:p>
        </w:tc>
        <w:tc>
          <w:tcPr>
            <w:tcW w:w="140" w:type="dxa"/>
            <w:vAlign w:val="bottom"/>
            <w:tcBorders>
              <w:right w:val="single" w:sz="8" w:color="auto"/>
            </w:tcBorders>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124,701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110,636</w:t>
            </w:r>
          </w:p>
        </w:tc>
        <w:tc>
          <w:tcPr>
            <w:tcW w:w="1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47,167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56,184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185,293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164,245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gridSpan w:val="3"/>
          </w:tcPr>
          <w:p>
            <w:pPr>
              <w:jc w:val="right"/>
              <w:ind w:right="116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8" w:right="239" w:bottom="1440" w:gutter="0" w:footer="0" w:header="0"/>
        </w:sectPr>
      </w:pPr>
    </w:p>
    <w:bookmarkStart w:id="26" w:name="page27"/>
    <w:bookmarkEnd w:id="26"/>
    <w:p>
      <w:pPr>
        <w:ind w:right="4260"/>
        <w:spacing w:after="0" w:line="305" w:lineRule="auto"/>
        <w:rPr>
          <w:sz w:val="20"/>
          <w:szCs w:val="20"/>
          <w:color w:val="auto"/>
        </w:rPr>
      </w:pPr>
      <w:r>
        <w:rPr>
          <w:rFonts w:ascii="Arial" w:cs="Arial" w:eastAsia="Arial" w:hAnsi="Arial"/>
          <w:sz w:val="18"/>
          <w:szCs w:val="18"/>
          <w:b w:val="1"/>
          <w:bCs w:val="1"/>
          <w:i w:val="1"/>
          <w:iCs w:val="1"/>
          <w:color w:val="auto"/>
        </w:rPr>
        <w:t xml:space="preserve">Three Months Ended December 31, 2013 Compared to Three Months Ended December 31, 2012 </w:t>
      </w:r>
      <w:r>
        <w:rPr>
          <w:rFonts w:ascii="Arial" w:cs="Arial" w:eastAsia="Arial" w:hAnsi="Arial"/>
          <w:sz w:val="18"/>
          <w:szCs w:val="18"/>
          <w:i w:val="1"/>
          <w:iCs w:val="1"/>
          <w:color w:val="auto"/>
        </w:rPr>
        <w:t>Revenue</w:t>
      </w:r>
    </w:p>
    <w:p>
      <w:pPr>
        <w:spacing w:after="0" w:line="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Revenue decreased to $1,273.2 million from $1,392.7 million, or an 8.6% decrease. The decrease was primarily driven by a reduction in billable hours and our management of subcontractors during the government shutdown in October 2013 and the continued uncertain federal budget environment. Lower billable hours combined with capacity and cost management efforts has resulted in reductions in headcount. The decrease in revenue was partially offset by an increase in revenue of $53.7 million from the Company's acquisition of BES. Conversions to funded backlog during the twelve months ended December 31, 2013 totaled $5.0 billion in comparison to $5.7 billion for the twelve months ended December 31, 2012, with the decrease due to challenging and uncertain market conditions, the reduced award of new contracts and task orders under which funding was appropriated, and the decline in exercise and subsequent funding of priced options during the twelve months ended December 31, 2013 due to the October government shutdown and delays in the government’s budgetary decisions. With the passing of the $1.1 trillion Consolidated Appropriations Act in January 2014, we expect the pace of contract awards and funding on our unfunded backlog and priced options to increase throughout the remainder of the U.S. government’s fiscal year ending September 30,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Cost of revenue decreased to $662.1 million from $692.9 million, or a 4.5% decrease. This decrease was primarily due to a decrease in salaries and salary-related benefits of $28.5 million, and a decrease in employer retirement plan contributions of $12.4 million. The decrease in salaries and salary-related benefits was primarily due to reduced headcount in senior direct consulting staff. The decrease in employer retirement plan contributions was due to a decrease in the Company's expected discretionary employer contribution for fiscal 2014 as well as the reduced headcount noted above. The above decreases were offset by an increase of $9.6 million in incentive compensation. Cost of revenue as a percentage of revenue was 52.0% and 49.8% in the three months ended December 31, 2013 and 2012,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Billable expenses decreased to $320.4 million from $382.5 million, or a 16.2% decrease. The overall decrease was primarily due to decreases in subcontractor-related expenses and other billable expenses of $90.6 million incurred to perform on contracts. Direct subcontractor related expenses and other billable expenses decreased period over period due to the Company's continued management of its use of subcontractors and a decline in equipment purchases from the government. The effects of uncertain market conditions and delays in the U.S. government's budgetary process delayed funding on our contracts which directly impacted funding to our subcontractors and other purchases made to perform on contracts. This decrease was partially offset by additional billable expenses from BES of $27.8M due to BES' large percentage of work from subcontractors. Billable expenses as a percentage of revenue were 25.2% and 27.5% in the three months ended December 31, 2013 and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General and administrative expenses decreased to $175.7 million from $182.5 million, or an 3.7% decrease. This decrease was due to decreases in salaries and salary-related benefits of $12.8 million and a decrease of $3.8 million in employer retirement plan contributions. The decrease in salaries and salary-related expenses was primarily driven by the net reduction in our headcount. The decrease in employer retirement plan contributions was due to a decrease in the Company's expected discretionary employer contribution percentage for fiscal 2014 as well as the reduced headcount noted above. The decrease was offset by an increase in incentive compensation of $3.9 million and an increase in other business related expenses and professional fees of $3.7 million. General and administrative expenses as a percentage of revenue were 13.8% and 13.1% for the three months ended December 31, 2013 and 2012,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decreased to $17.9 million from $18.1 million, or a 1.0% decrease.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Interest expense decreased to $18.9 million from $21.7 million, or a 13.1% decrease, primarily due to the debt refinancing transaction that took place in August 2013 which resulted in a lower interest rate on the outstanding principal balance.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Income tax expense decreased to $31.0 million from $38.8 million, or a 20.1% decrease, primarily due to a decrease in pre-tax income consistent with the declines in Operating Income, as described above.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7" w:name="page28"/>
    <w:bookmarkEnd w:id="27"/>
    <w:p>
      <w:pPr>
        <w:ind w:right="4420"/>
        <w:spacing w:after="0" w:line="305" w:lineRule="auto"/>
        <w:rPr>
          <w:sz w:val="20"/>
          <w:szCs w:val="20"/>
          <w:color w:val="auto"/>
        </w:rPr>
      </w:pPr>
      <w:r>
        <w:rPr>
          <w:rFonts w:ascii="Arial" w:cs="Arial" w:eastAsia="Arial" w:hAnsi="Arial"/>
          <w:sz w:val="18"/>
          <w:szCs w:val="18"/>
          <w:b w:val="1"/>
          <w:bCs w:val="1"/>
          <w:i w:val="1"/>
          <w:iCs w:val="1"/>
          <w:color w:val="auto"/>
        </w:rPr>
        <w:t xml:space="preserve">Nine Months Ended December 31, 2013 Compared to Nine Months Ended December 31, 2012 </w:t>
      </w:r>
      <w:r>
        <w:rPr>
          <w:rFonts w:ascii="Arial" w:cs="Arial" w:eastAsia="Arial" w:hAnsi="Arial"/>
          <w:sz w:val="18"/>
          <w:szCs w:val="18"/>
          <w:i w:val="1"/>
          <w:iCs w:val="1"/>
          <w:color w:val="auto"/>
        </w:rPr>
        <w:t>Revenue</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decreased to $4,078.9 million from $4,212.8 million, or a 3.2% decrease. The decrease was primarily driven by a reduction in billable hours due to modestly lower demand in an uncertain federal budget environment. Lower billable hours combined with capacity and cost management efforts has resulted in reductions in headcount. However, a continued high level of productivity of consulting staff minimized the impact on our revenue from headcount declines. The decrease in revenue was partially offset by an increase in revenue of $200.8 million from the Company's acquisition of BES. Conversions to funded backlog during the twelve months ended December 31, 2013 totaled $5.0 billion in comparison to $5.7 billion for the twelve months ended December 31, 2012. The decrease in revenue conversion was due to challenging and uncertain market conditions which contributed to a lower conversion of unfunded backlog to funded backlog, the reduced award of new contracts and task orders under which funding was appropriated, and the decline in exercise and subsequent funding of priced options.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Cost of revenue decreased to $2,048.7 million from $2,122.4 million, or a 3.5% decrease. This decrease was primarily due to a decrease in salaries and salary-related benefits of $47.5 million, a decrease in employer retirement plan contributions of $39.5 million, and a decrease in stock based compensation costs of $2.9 million. The decrease was partially offset by increases in incentive compensation of $9.1 million and other direct consulting staff expenses of $7.2 million. The decrease in salaries and salary-related benefits was primarily due to reduced headcount in senior direct consulting staff. The decrease in employer retirement plan contributions was due to a decrease in the Company's expected discretionary employer contribution for fiscal 2014 as well as the reduced headcount noted above. Cost of revenue as a percentage of revenue was 50.2% and 50.4% in the nine months ended December 31, 2013 and 2012,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Billable expenses decreased to $1,083.9 million from $1,114.4 million, or a 2.7% decrease. The overall decrease was primarily due to decreases in subcontractor-related expenses and other billable expenses of $145.5 million incurred to perform on contracts. Direct subcontractor related expenses decreased due to the Company's continued management of the use of subcontractors and a decline in equipment purchases from the government. However, this decrease was partially offset by additional billable expenses from BES of $107.7 million due to BES' large percentage of work from subcontractors. Billable expenses as a percentage of revenue were 26.6% and 26.5% in the nine months ended December 31, 2013 and 2012,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General and administrative expenses decreased to $520.6 million from $588.4 million, or a 11.5% decrease. This decrease was primarily due to a decrease in salaries and salary-related benefits of $45.1 million and a decrease of $11.5 million in employer retirement plan contributions. The decrease in salaries and salary-related expenses was primarily driven by the net reduction in our headcount. The decrease in employer retirement plan contributions was due to a decrease in the Company's expected discretionary employer contribution percentage for fiscal 2014 as well as the reduced headcount noted above. The remaining decrease was due to decreases in stock based compensation of $2.9 million and decreases in business-related transaction expenses, such as expenses incurred in the nine months ended December 31, 2012 associated with the Company's July 2012 debt recapitalization and acquisitions that occurred during fiscal 2013 and decreases in professional fees and other expenses due to the Company's continued focus on cost management. The decreases were offset by an increase in incentive compensation of $1.6 million. General and administrative expenses as a percentage of revenue were 12.8% and 14.0% for the nine months ended December 31, 2013 and 2012,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Depreciation and amortization increased to $54.4 million from $54.2 million, or a 0.2% increase. This increase was primarily due to increased amortization of intangible assets driven by the Company's acquisition of BES.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Interest expense increased to $59.8 million from $50.8 million, or an 17.7% increase, primarily due to additional principal incurred in connection with the Company's debt recapitalization consummated on July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Income tax expense increased to $124.7 million from $110.6 million, or a 12.7% increase, primarily due to an increase in pre-tax income consistent with the increase in Operating Income, as described above.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historically been able to generate sufficient cash to fund our operations, debt payments, capital expenditures, and discretionary funding needs. We had $403.2 million and $350.4 million in cash and cash equivalents as of December 31, 2013 and March 31, 2013, respectively, and our debt totaled $1,674.5 million and $1,715.2 million as of December 31, 2013 and March 31, 2013, respectively. However, due to fluctuations in cash flows and delays in the U.S. government's budgetary process, it may be necessary from time to 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219"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79"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cash distributions recognized in the consolidated statement of cash flows:</w:t>
      </w:r>
    </w:p>
    <w:p>
      <w:pPr>
        <w:spacing w:after="0" w:line="32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dividends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14,422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42,612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36,279</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Special dividends (2)</w:t>
            </w:r>
          </w:p>
        </w:tc>
        <w:tc>
          <w:tcPr>
            <w:tcW w:w="280" w:type="dxa"/>
            <w:vAlign w:val="bottom"/>
          </w:tcPr>
          <w:p>
            <w:pPr>
              <w:spacing w:after="0"/>
              <w:rPr>
                <w:sz w:val="21"/>
                <w:szCs w:val="21"/>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144,218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144,218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1,073,733</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equivalents (3)</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4,157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52,065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59,471</w:t>
            </w:r>
          </w:p>
        </w:tc>
      </w:tr>
      <w:tr>
        <w:trPr>
          <w:trHeight w:val="257"/>
        </w:trPr>
        <w:tc>
          <w:tcPr>
            <w:tcW w:w="4460" w:type="dxa"/>
            <w:vAlign w:val="bottom"/>
          </w:tcPr>
          <w:p>
            <w:pPr>
              <w:ind w:left="160"/>
              <w:spacing w:after="0"/>
              <w:rPr>
                <w:sz w:val="20"/>
                <w:szCs w:val="20"/>
                <w:color w:val="auto"/>
              </w:rPr>
            </w:pPr>
            <w:r>
              <w:rPr>
                <w:rFonts w:ascii="Arial" w:cs="Arial" w:eastAsia="Arial" w:hAnsi="Arial"/>
                <w:sz w:val="18"/>
                <w:szCs w:val="18"/>
                <w:color w:val="auto"/>
              </w:rPr>
              <w:t>Total distributions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162,797</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24,273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238,895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1,169,483</w:t>
            </w: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represent recurring dividends of $0.10 per share and $0.09 per share that were declared and paid for during each quarter of fiscal 2014 and fiscal 2013, respectively.</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represent special dividends of $1.00 per share and $8.00 per share that were declared and paid for during fiscal 2014 and 2013, respectively.</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special dividends declared and paid.</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For the special cash dividend of $1.00 per share declared during the three months ended December 31, 2013, the Board of Directors, acting as the Administrator of the Officers' Rollover Stock Plan and the EIP made a determination to adjust the outstanding Rollover and EIP options for the special dividend to prevent the dilution of the options. The adjustment was in the form of a $1.00 dividend equivalent. Holders of the Rollover options will receive a cash payment equal to the amount of the special dividend on the exercise of the option during the options' mandatory exercise period. Holders of EIP options will receive a cash payment equal to the amount of the special dividend paid on November 29, 2013 or the vesting of the EIP option, whichever is later.</w:t>
      </w:r>
    </w:p>
    <w:p>
      <w:pPr>
        <w:spacing w:after="0" w:line="15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Board of Directors, as the Administrator of the Officers' Rollover Stock Plan and the EIP has discretion in how to effect the required adjustment to keep option holders whole in the event of a distribution of dividends that triggers certain anti-dilution clauses within the respective plans. In the event the Board of Directors elects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 The stock-based compensation liability as of December 31, 2013 includes all special dividends declared through December 31, 2013. As of December 31, 2013 and March 31, 2013, the Company calculated a total recorded and unrecorded stock-based compensation</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607" w:right="27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liability of $65.3 million and $106.4 million, respectively, related to the special dividends paid in July 2009, December 2009, June 2012, and August 2012.</w:t>
      </w: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January 31, 2014, we announced a regular quarterly cash dividend in the amount of $0.10 per share and a special cash dividend of $1.00 per share, each payable on February 28, 2014 to shareholders of record on February 10, 2014. The Board of Directors, acting as the Administrator of the Officers' Rollover Stock Plan and the EIP made a determination to adjust the outstanding Rollover and EIP options for the special dividend to prevent the dilution of the options. The adjustment is in the form of a $1.00 dividend equivalent. Holders of the Rollover Options will receive a cash payment equal to the amount of the special dividend on the exercise of the option during the options' mandatory exercise period. Holders of EIP options will receive a cash payment equal to the amount of the special dividend payable on February 28, 2014 or the vesting of the EIP option, whichever is later.</w:t>
      </w:r>
    </w:p>
    <w:p>
      <w:pPr>
        <w:spacing w:after="0" w:line="12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we evaluate alternative uses for excess cash resources including debt prepayments, payment of recurring and special dividends, funding acquisitions or share repurchases up to the Board of Directors current approved amount of $30.0 million, of which no shares have been repurchased as of December 31, 2013.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66 as of December 31, 2013 and 61 as of March 31, 2013.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163"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470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2012</w:t>
            </w:r>
          </w:p>
        </w:tc>
      </w:tr>
      <w:tr>
        <w:trPr>
          <w:trHeight w:val="244"/>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292,334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398,934</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(178,027)</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(234,055)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(387,697)</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increase / (decrease) in cash and cash equivalents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52,780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(166,790)</w:t>
            </w: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from operations is primarily affected by the overall profitability of our contracts, our ability to invoice and collect from clients in a timely manner, and our ability to manage our vendor payments. Net cash provided by operations was $292.3 million in the nine months ended December 31, 2013 compared to $398.9 million in the same prior year period, or a 26.7% decrease. The decrease in net cash provided by operations was primarily due to lower cash collections resulting from less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30" w:name="page31"/>
    <w:bookmarkEnd w:id="30"/>
    <w:p>
      <w:pPr>
        <w:ind w:right="100"/>
        <w:spacing w:after="0" w:line="277" w:lineRule="auto"/>
        <w:rPr>
          <w:sz w:val="20"/>
          <w:szCs w:val="20"/>
          <w:color w:val="auto"/>
        </w:rPr>
      </w:pPr>
      <w:r>
        <w:rPr>
          <w:rFonts w:ascii="Arial" w:cs="Arial" w:eastAsia="Arial" w:hAnsi="Arial"/>
          <w:sz w:val="18"/>
          <w:szCs w:val="18"/>
          <w:color w:val="auto"/>
        </w:rPr>
        <w:t>timely payments by our customers than in the comparable prior year period, due in part to the government sequestration and shutdown, and staff furloughs in the government agency payment offices.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9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Net cash used in investing activities was $5.5 million in the nine months ended December 31, 2013 compared to $178.0 million in the same prior year period, or a 96.9% decrease. The decrease in net cash used in investing activities was primarily due to the $155.1 million in cash paid to ARINC for the acquisition of DSES during the nine months ended December 31, 2012; there was no similar transaction during the nine months ended December 31,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cash used in financing activities was $234.1 million in the nine months ended December 31, 2013 compared to $387.7 million in the same prior year period, or a 39.6% decrease. The decrease in net cash used in financing activities was primarily due to special cash dividends paid, partially offset by the proceeds from the July 31, 2012 Recapitalization Transaction. Special dividends paid during the nine months ended December 31, 2013 were $1.00 per share as compared to $8.00 per share for the nine months ended December 31, 2012. On October 15, 2013, we accessed $250 million of our $500 million revolving credit facility to safeguard against the possible consequences of a failure by Congress to increase the U.S. government's ability to incur indebtedness in excess of its current limit. On October 18, 2013, following the increase of the debt limit by Congress, we repaid the $250 million borrowed from the revolving credit facility.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debt totaled $1,674.5 million and $1,715.2 million as of December 31, 2013 and March 31, 2013, respectively. The interest rate in effect for Term Loan A was 2.67% and for Term Loan B was 3.75% as of December 31, 2013, and 2.70% for Term Loan A and 4.50% for Term Loan B as of March 31, 2013. As of December 31, 2013 and March 31, 2013, there were no amounts outstanding under our revolving credit facility of $500 million. As of December 31, 2013, the Company was in compliance with all of its financial covenants under its credit facilities.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August 16, 2013, the Company consummated a repricing of its outstanding Term Loan B indebtedness by entering into the First Amendment to its Credit Agreement. As of December 31, 2013, the Credit Agreement provided the Company with a $725.0 million Term Loan A and a $1,025.0 million Term Loan B, and a $500.0 million revolving credit facility with a $100.0 million sublimit for letters of credit.</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Absent any prepayment accelerations of Debt Issuance Costs, or DIC, or the effect of changes in interest rates, the following table summarizes the estimated annual amortization expense of DIC using the effective interest rate method:</w:t>
      </w:r>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DIC Amortization Expense</w:t>
            </w: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16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9,056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2,614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2,181</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B</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2,399</w:t>
            </w: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Revolver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8,857</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545</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2,213</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2,219</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1,667</w:t>
            </w:r>
          </w:p>
        </w:tc>
        <w:tc>
          <w:tcPr>
            <w:tcW w:w="2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27,329</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2,399</w:t>
            </w:r>
          </w:p>
        </w:tc>
      </w:tr>
      <w:tr>
        <w:trPr>
          <w:trHeight w:val="20"/>
        </w:trPr>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with annual incremental increases to 1.875%, 2.50%, 3.125%, and 13%, prior to Term Loan A's maturity date of December 31, 2017, and 0.25% of the stated principal amount of Term Loan B, with the remaining balance payable on Term Loan B's maturity date of July 31, 2019. The revolving credit facility matures on December 31, 2017, at which time any outstanding principal balance is due in full.</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1" w:name="page32"/>
    <w:bookmarkEnd w:id="31"/>
    <w:p>
      <w:pPr>
        <w:spacing w:after="0" w:line="271" w:lineRule="auto"/>
        <w:rPr>
          <w:sz w:val="20"/>
          <w:szCs w:val="20"/>
          <w:color w:val="auto"/>
        </w:rPr>
      </w:pPr>
      <w:r>
        <w:rPr>
          <w:rFonts w:ascii="Arial" w:cs="Arial" w:eastAsia="Arial" w:hAnsi="Arial"/>
          <w:sz w:val="17"/>
          <w:szCs w:val="17"/>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December 31, 2013, we were compliant with these covenants.</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15, 2013, we accessed $250 million of our $500 million revolving credit facility to safeguard against the possible consequences of a failure by Congress to increase the U.S. government's ability to incur indebtedness in excess of its current limit. On October 18, 2013, following the increase of the debt limit by Congress, we repaid the $250 million borrowed from the revolving credit facility.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stockholders’ equity amounted to $278.7 million as of December 31, 2013, an increase of $51.9 million compared to stockholders’ equity of $226.8 million as of March 31, 2013, primarily due to net income of $185.3 million in the nine months ended December 31, 2013, stock option exercises, common stock issuances, and stock-based compensation expense of $14.1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we did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nine months ended December 31, 2013 and 2012 were $12.3 million and $20.7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16 to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1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These risks and other factors include: 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and the Consolidated Appropriations Act, 2014), which have reduced and delayed contract awards and funding for orders for services especially in the current political environment or otherwise negatively affect our ability to generate revenue under contract awards, including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68" w:right="259" w:bottom="1440" w:gutter="0" w:footer="0" w:header="0"/>
        </w:sectPr>
      </w:pPr>
    </w:p>
    <w:bookmarkStart w:id="32" w:name="page33"/>
    <w:bookmarkEnd w:id="32"/>
    <w:p>
      <w:pPr>
        <w:spacing w:after="0" w:line="283" w:lineRule="auto"/>
        <w:rPr>
          <w:sz w:val="20"/>
          <w:szCs w:val="20"/>
          <w:color w:val="auto"/>
        </w:rPr>
      </w:pPr>
      <w:r>
        <w:rPr>
          <w:rFonts w:ascii="Arial" w:cs="Arial" w:eastAsia="Arial" w:hAnsi="Arial"/>
          <w:sz w:val="16"/>
          <w:szCs w:val="16"/>
          <w:color w:val="auto"/>
        </w:rPr>
        <w:t>as a result of reduced staffing and hours of operation at U.S. government clients; delayed funding of our contracts due to uncertainty relating to and a possible failure of Congressional efforts to craft a long-term agreement on the U.S. government’s ability to incur indebtedness in excess of its current limits prior to February 7, 2014, the date on which legislation relating to the U.S. government’s debt limit expires, or changes in the pattern or timing of government funding and spending (including those resulting from or related to cuts associated with sequestration or other budgetary cuts made in lieu of sequestration); current and continued uncertainty around the timing, extent, nature, and effect of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 any issue that compromises our relationships with the U.S. government or damages our professional reputation, including negative publicity concerning government contractors in general or us in particular; changes in U.S. government spending, including a continuation of efforts by the U.S. government to decrease spending for management support service contracts,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or losses of contract awards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and replenish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including the improper use or release of our clients' sensitive or classified information; increased insourcing by various U.S. government agencies due to changes in the definition of “inherently governmental” work, including proposals to limit contractor access to sensitive or classified information and work assignments;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or limits; risks related to completed and future acquisitions, including our ability to realize the expected benefits from such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34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3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2013 filed with the Securities and Exchange Commission on May 23, 2013.</w:t>
      </w:r>
    </w:p>
    <w:p>
      <w:pPr>
        <w:sectPr>
          <w:pgSz w:w="11900" w:h="16838" w:orient="portrait"/>
          <w:cols w:equalWidth="0" w:num="1">
            <w:col w:w="11420"/>
          </w:cols>
          <w:pgMar w:left="240" w:top="530" w:right="239" w:bottom="1440" w:gutter="0" w:footer="0" w:header="0"/>
        </w:sectPr>
      </w:pPr>
    </w:p>
    <w:bookmarkStart w:id="33" w:name="page34"/>
    <w:bookmarkEnd w:id="33"/>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580" w:right="35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On April 13, 2012, we entered into an Administrative Agreement with the U.S. Air Force, which lifted the proposed debarment of our San Antonio office and removed it from the U.S. government’s Excluded Parties List System. See our Form 10-K for the fiscal year ended March 31, 2012 for additional information.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$40.0 million or have a reasonably estimated outcome within that range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12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Six former officers and stockholders who had departed the firm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Two of these suits have been dismissed with all appeals exhausted. Five of the remaining suits are pending in the United States District Court for the Southern District of New York, the sixth is pending in New York state court, and the seventh is pending in the United States District Court for the Southern District of California. The aggregate alleged damages sought in these seven remaining suits is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have been no material changes during the period covered by this Quarterly Report on Form 10-Q to the risk factors disclosed in Part I,</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Item 1A, of our Annual Report on Form 10-K for the fiscal year ended March 31, 2013 filed with the Securities and Exchange Commission on May 23, 2013.</w:t>
      </w:r>
    </w:p>
    <w:p>
      <w:pPr>
        <w:spacing w:after="0" w:line="2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jc w:val="center"/>
        <w:ind w:right="8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364" w:right="2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56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Amended and Restated Stockholders Agreement of Booz Allen Hamilton Holding Corporation (Incorporated by reference to Exhibit 4.3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 ended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Management Agreement, by and among Booz Allen Hamilton Holding Corporation (formerly known as Explorer Holding Corporation), Booz</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Allen Hamilton Inc., and TC Group V US, LLC, dated as of July 31, 2008 (Incorporated by reference to Exhibit 10.6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Equity Incentive Plan of Booz Allen Hamilton Holding Corporation (Incorporated by reference to Exhibit 10.7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60" w:type="dxa"/>
            <w:vAlign w:val="bottom"/>
            <w:gridSpan w:val="3"/>
          </w:tcPr>
          <w:p>
            <w:pPr>
              <w:ind w:left="48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ectPr>
          <w:pgSz w:w="11900" w:h="16838" w:orient="portrait"/>
          <w:cols w:equalWidth="0" w:num="1">
            <w:col w:w="11360"/>
          </w:cols>
          <w:pgMar w:left="240" w:top="364" w:right="29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10.10</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Booz Allen Hamilton Holding Corporation Annual Incentive Plan (Incorporated by reference to Exhibit 10.15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10.11</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10.12</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Officer’s Comprehensive Medical and Dental Choice Plans (Incorporated by reference to Exhibit 10.17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10.13</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Retired Officer’s Comprehensive Medical and Dental Choice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10.14</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Excess ECAP Payment Program (Incorporated by reference to Exhibit 10.19 to the Company’s Registration Statement on Form S-1 (File No.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10.15</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Group Variable Universal Life Insurance (Incorporated by reference to Exhibit 10.20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10.16</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10.17</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Annual Performance Bonus Program (Incorporated by reference to Exhibit 10.22 to the Company’s Registration Statement on Form S-1 (File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10.18</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10.20</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10.21</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92"/>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10.22</w:t>
            </w:r>
          </w:p>
        </w:tc>
        <w:tc>
          <w:tcPr>
            <w:tcW w:w="10680" w:type="dxa"/>
            <w:vAlign w:val="bottom"/>
            <w:vMerge w:val="restart"/>
          </w:tcPr>
          <w:p>
            <w:pPr>
              <w:ind w:left="260"/>
              <w:spacing w:after="0"/>
              <w:rPr>
                <w:sz w:val="20"/>
                <w:szCs w:val="20"/>
                <w:color w:val="auto"/>
              </w:rPr>
            </w:pPr>
            <w:r>
              <w:rPr>
                <w:rFonts w:ascii="Arial" w:cs="Arial" w:eastAsia="Arial" w:hAnsi="Arial"/>
                <w:sz w:val="18"/>
                <w:szCs w:val="18"/>
                <w:color w:val="auto"/>
                <w:w w:val="94"/>
              </w:rPr>
              <w:t>Administrative Agreement, dated as of April 13, 2012, between Booz Allen Hamilton Inc. and the United States Department of the Air Force</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10.1 to the Company’s Periodic Report on Form 8-K filed on April 13, 2012 (File No. 001-34972))</w:t>
            </w:r>
          </w:p>
        </w:tc>
        <w:tc>
          <w:tcPr>
            <w:tcW w:w="0" w:type="dxa"/>
            <w:vAlign w:val="bottom"/>
          </w:tcPr>
          <w:p>
            <w:pPr>
              <w:spacing w:after="0"/>
              <w:rPr>
                <w:sz w:val="1"/>
                <w:szCs w:val="1"/>
                <w:color w:val="auto"/>
              </w:rPr>
            </w:pPr>
          </w:p>
        </w:tc>
      </w:tr>
      <w:tr>
        <w:trPr>
          <w:trHeight w:val="674"/>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10.23</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10.24</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Credit Agreement, by and among Booz Allen Hamilton Inc., as the Borrower, the several lenders from time to time parties thereto, Bank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America, N.A., as Administrative Agent, Collateral Agent and Issuing Lender, Merrill Lynch, Pierce, Fenner &amp; Smith Incorporated and Credit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Suisse Securities (USA) LLC, as Joint Lead Arrangers, Merrill Lynch, Pierce, Fenner &amp; Smith Incorporated, Credit Suisse Securities (USA)</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LLC, Barclays Bank PLC, Citigroup Global Markets Inc., HSBC Securities (USA) Inc., J.P. Morgan Securities LLC, Morgan Stanley Senior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Funding, Inc. and Sumimoto Mitsui Banking Corporation, as Joint Bookrunners, Credit Suisse Securities (USA) LLC, as Syndication Agent,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Inc., Sumimoto Mitsui Banking Corporation and The Bank of Tokyo-Mitsubishi UFJ, Ltd., as Co-Documentation Agents, dated as of July 31,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2012 (Incorporated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10.25</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10.26</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First Amendment to Credit Agreement, dated as of August 16, 2013, by and among Booz Allen Hamilton Inc., as Borrower, Booz Allen</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Hamilton Investor Corporation, Booz Allen Hamilton Engineering Holding Co., LLC, Booz Allen Hamilton Engineering Services, LLC, SDI</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Technology Corporation, ASE, Inc. and , Booz Allen Hamilton International, Inc., as Guarantors, Bank of America, N.A., as Administrative</w:t>
            </w:r>
          </w:p>
        </w:tc>
        <w:tc>
          <w:tcPr>
            <w:tcW w:w="0" w:type="dxa"/>
            <w:vAlign w:val="bottom"/>
          </w:tcPr>
          <w:p>
            <w:pPr>
              <w:spacing w:after="0"/>
              <w:rPr>
                <w:sz w:val="1"/>
                <w:szCs w:val="1"/>
                <w:color w:val="auto"/>
              </w:rPr>
            </w:pPr>
          </w:p>
        </w:tc>
      </w:tr>
    </w:tbl>
    <w:p>
      <w:pPr>
        <w:ind w:left="920" w:right="120"/>
        <w:spacing w:after="0" w:line="255" w:lineRule="auto"/>
        <w:rPr>
          <w:sz w:val="20"/>
          <w:szCs w:val="20"/>
          <w:color w:val="auto"/>
        </w:rPr>
      </w:pPr>
      <w:r>
        <w:rPr>
          <w:rFonts w:ascii="Arial" w:cs="Arial" w:eastAsia="Arial" w:hAnsi="Arial"/>
          <w:sz w:val="18"/>
          <w:szCs w:val="18"/>
          <w:color w:val="auto"/>
        </w:rPr>
        <w:t>Agent, Collateral Agent and New Refinancing Tranche B Term Lender, and the other Lenders and financial institutions from time to time party thereto (Incorporated by reference to Exhibit 10.1 to the Company’s Periodic Report on Form 8-K filed on August 20, 2013 (File No. 001-34972))</w:t>
      </w:r>
    </w:p>
    <w:p>
      <w:pPr>
        <w:sectPr>
          <w:pgSz w:w="11900" w:h="16838" w:orient="portrait"/>
          <w:cols w:equalWidth="0" w:num="1">
            <w:col w:w="11340"/>
          </w:cols>
          <w:pgMar w:left="280" w:top="530" w:right="27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340"/>
          </w:cols>
          <w:pgMar w:left="280" w:top="530" w:right="279" w:bottom="1440" w:gutter="0" w:footer="0" w:header="0"/>
          <w:type w:val="continuous"/>
        </w:sectPr>
      </w:pPr>
    </w:p>
    <w:bookmarkStart w:id="37" w:name="page38"/>
    <w:bookmarkEnd w:id="37"/>
    <w:tbl>
      <w:tblPr>
        <w:tblLayout w:type="fixed"/>
        <w:tblInd w:w="40" w:type="dxa"/>
        <w:tblCellMar>
          <w:top w:w="0" w:type="dxa"/>
          <w:left w:w="0" w:type="dxa"/>
          <w:bottom w:w="0" w:type="dxa"/>
          <w:right w:w="0" w:type="dxa"/>
        </w:tblCellMar>
      </w:tblPr>
      <w:tr>
        <w:trPr>
          <w:trHeight w:val="23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31.1</w:t>
            </w:r>
          </w:p>
        </w:tc>
        <w:tc>
          <w:tcPr>
            <w:tcW w:w="10380" w:type="dxa"/>
            <w:vAlign w:val="bottom"/>
          </w:tcPr>
          <w:p>
            <w:pPr>
              <w:ind w:left="30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92"/>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31.2</w:t>
            </w:r>
          </w:p>
        </w:tc>
        <w:tc>
          <w:tcPr>
            <w:tcW w:w="10380" w:type="dxa"/>
            <w:vAlign w:val="bottom"/>
          </w:tcPr>
          <w:p>
            <w:pPr>
              <w:ind w:left="30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77"/>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32.1</w:t>
            </w:r>
          </w:p>
        </w:tc>
        <w:tc>
          <w:tcPr>
            <w:tcW w:w="10380" w:type="dxa"/>
            <w:vAlign w:val="bottom"/>
          </w:tcPr>
          <w:p>
            <w:pPr>
              <w:ind w:left="300"/>
              <w:spacing w:after="0"/>
              <w:rPr>
                <w:sz w:val="20"/>
                <w:szCs w:val="20"/>
                <w:color w:val="auto"/>
              </w:rPr>
            </w:pPr>
            <w:r>
              <w:rPr>
                <w:rFonts w:ascii="Arial" w:cs="Arial" w:eastAsia="Arial" w:hAnsi="Arial"/>
                <w:sz w:val="18"/>
                <w:szCs w:val="18"/>
                <w:color w:val="auto"/>
                <w:w w:val="92"/>
              </w:rPr>
              <w:t>Certification of the Chief Executive Officer required by Rule 13a-14(b) or Rule 15d-14(b) and Section 1350 of Chapter 63 of Title 18 of the</w:t>
            </w:r>
          </w:p>
        </w:tc>
      </w:tr>
      <w:tr>
        <w:trPr>
          <w:trHeight w:val="230"/>
        </w:trPr>
        <w:tc>
          <w:tcPr>
            <w:tcW w:w="62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32.2</w:t>
            </w:r>
          </w:p>
        </w:tc>
        <w:tc>
          <w:tcPr>
            <w:tcW w:w="10380" w:type="dxa"/>
            <w:vAlign w:val="bottom"/>
          </w:tcPr>
          <w:p>
            <w:pPr>
              <w:ind w:left="300"/>
              <w:spacing w:after="0"/>
              <w:rPr>
                <w:sz w:val="20"/>
                <w:szCs w:val="20"/>
                <w:color w:val="auto"/>
              </w:rPr>
            </w:pPr>
            <w:r>
              <w:rPr>
                <w:rFonts w:ascii="Arial" w:cs="Arial" w:eastAsia="Arial" w:hAnsi="Arial"/>
                <w:sz w:val="18"/>
                <w:szCs w:val="18"/>
                <w:color w:val="auto"/>
                <w:w w:val="92"/>
              </w:rPr>
              <w:t>Certification of the Chief Financial Officer required by Rule 13a-14(b) or Rule 15d-14(b) and Section 1350 of Chapter 63 of Title 18 of the</w:t>
            </w:r>
          </w:p>
        </w:tc>
      </w:tr>
      <w:tr>
        <w:trPr>
          <w:trHeight w:val="230"/>
        </w:trPr>
        <w:tc>
          <w:tcPr>
            <w:tcW w:w="620" w:type="dxa"/>
            <w:vAlign w:val="bottom"/>
          </w:tcPr>
          <w:p>
            <w:pPr>
              <w:spacing w:after="0"/>
              <w:rPr>
                <w:sz w:val="20"/>
                <w:szCs w:val="20"/>
                <w:color w:val="auto"/>
              </w:rPr>
            </w:pPr>
          </w:p>
        </w:tc>
        <w:tc>
          <w:tcPr>
            <w:tcW w:w="10380" w:type="dxa"/>
            <w:vAlign w:val="bottom"/>
          </w:tcPr>
          <w:p>
            <w:pPr>
              <w:ind w:left="30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hanging="925"/>
        <w:spacing w:after="0" w:line="255"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and nine months ended December 31, 2013 formatted in XBRL (eXtensible Business Reporting Language): (i) Condensed Consolidated Balance Sheets at December 31, 2013 and March 31, 2013; (ii) Condensed Consolidated Statements of Operations for the three and nine months ended December 31, 2013 and 2012; (iii) Condensed Consolidated Statements of Comprehensive Income for the three and nine months ended December 31, 2013 and 2012; (iv) Condensed Consolidated Statements of Cash Flows for the nine months ended December 31, 2013 and 2012;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3" w:lineRule="exact"/>
        <w:rPr>
          <w:sz w:val="20"/>
          <w:szCs w:val="20"/>
          <w:color w:val="auto"/>
        </w:rPr>
      </w:pPr>
    </w:p>
    <w:p>
      <w:pPr>
        <w:ind w:left="660" w:right="40" w:hanging="652"/>
        <w:spacing w:after="0" w:line="277"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530" w:right="339" w:bottom="1440" w:gutter="0" w:footer="0" w:header="0"/>
        </w:sectPr>
      </w:pPr>
    </w:p>
    <w:bookmarkStart w:id="38" w:name="page39"/>
    <w:bookmarkEnd w:id="38"/>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January 31,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00"/>
          </w:cols>
          <w:pgMar w:left="240" w:top="364" w:right="3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71"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January 31,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Samuel R. Strickland, certify that:</w:t>
      </w:r>
    </w:p>
    <w:p>
      <w:pPr>
        <w:spacing w:after="0" w:line="171"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January 31,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Chief Administrative Officer and Director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2013, as filed with the Securities and Exchange Commission on the date hereof (the “Report”), the undersigned Chairman of the Board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440" w:val="left"/>
        </w:tabs>
        <w:rPr>
          <w:sz w:val="20"/>
          <w:szCs w:val="20"/>
          <w:color w:val="auto"/>
        </w:rPr>
      </w:pPr>
      <w:r>
        <w:rPr>
          <w:rFonts w:ascii="Arial" w:cs="Arial" w:eastAsia="Arial" w:hAnsi="Arial"/>
          <w:sz w:val="18"/>
          <w:szCs w:val="18"/>
          <w:color w:val="auto"/>
        </w:rPr>
        <w:t>Date: January 31, 2014</w:t>
      </w:r>
      <w:r>
        <w:rPr>
          <w:sz w:val="20"/>
          <w:szCs w:val="20"/>
          <w:color w:val="auto"/>
        </w:rPr>
        <w:tab/>
      </w:r>
      <w:r>
        <w:rPr>
          <w:rFonts w:ascii="Arial" w:cs="Arial" w:eastAsia="Arial" w:hAnsi="Arial"/>
          <w:sz w:val="16"/>
          <w:szCs w:val="16"/>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2013, as filed with the Securities and Exchange Commission on the date hereof (the “Report”), the undersigned Executive Vice President and Chief Financial Officer, Chief Administrative Officer and Director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January 31, 2014</w:t>
      </w:r>
      <w:r>
        <w:rPr>
          <w:sz w:val="20"/>
          <w:szCs w:val="20"/>
          <w:color w:val="auto"/>
        </w:rPr>
        <w:tab/>
      </w:r>
      <w:r>
        <w:rPr>
          <w:rFonts w:ascii="Arial" w:cs="Arial" w:eastAsia="Arial" w:hAnsi="Arial"/>
          <w:sz w:val="16"/>
          <w:szCs w:val="16"/>
          <w:color w:val="auto"/>
        </w:rPr>
        <w:t>By: /s/ Samuel R. Strickland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Samuel R. Strickland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Chief Administrative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5"/>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2"/>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6"/>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Letter"/>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2"/>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0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2019-12-07T19:49:23Z</dcterms:created>
  <dcterms:modified xsi:type="dcterms:W3CDTF">2019-12-07T19:49:23Z</dcterms:modified>
</cp:coreProperties>
</file>