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7274-4_424b2.htm"/>
        <w:bookmarkStart w:id="1" w:name="kstm2672744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contained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contained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126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424B2</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Nos. 333-297693 and 333-297693-01</w:t>
      </w:r>
      <w:r>
        <w:rPr>
          <w:rFonts w:ascii="Times New Roman;Times;serif" w:hAnsi="Times New Roman;Times;serif"/>
          <w:b/>
          <w:i w:val="false"/>
          <w:caps w:val="false"/>
          <w:smallCaps w:val="false"/>
          <w:color w:val="000000"/>
          <w:sz w:val="20"/>
        </w:rPr>
        <w:t>​</w:t>
      </w:r>
    </w:p>
    <w:p>
      <w:pPr>
        <w:pStyle w:val="TextBody"/>
        <w:bidi w:val="0"/>
        <w:spacing w:lineRule="atLeast" w:line="210" w:before="0" w:after="283"/>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Preliminary Prospectus Supplement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(To Prospectus dated July 24,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48" w:after="283"/>
        <w:jc w:val="center"/>
        <w:rPr>
          <w:rFonts w:ascii="Times New Roman;Times;serif" w:hAnsi="Times New Roman;Times;serif"/>
          <w:b/>
          <w:i w:val="false"/>
          <w:caps w:val="false"/>
          <w:smallCaps w:val="false"/>
          <w:color w:val="FC0014"/>
          <w:sz w:val="18"/>
        </w:rPr>
      </w:pPr>
      <w:r>
        <w:rPr>
          <w:rFonts w:ascii="Times New Roman;Times;serif" w:hAnsi="Times New Roman;Times;serif"/>
          <w:b/>
          <w:i w:val="false"/>
          <w:caps w:val="false"/>
          <w:smallCaps w:val="false"/>
          <w:color w:val="FC0014"/>
          <w:spacing w:val="-4"/>
          <w:sz w:val="18"/>
        </w:rPr>
        <w:t>SUBJECT TO COMPLETION, DATED JULY 28, 2026</w:t>
      </w:r>
      <w:r>
        <w:rPr>
          <w:rFonts w:ascii="Times New Roman;Times;serif" w:hAnsi="Times New Roman;Times;serif"/>
          <w:b/>
          <w:i w:val="false"/>
          <w:caps w:val="false"/>
          <w:smallCaps w:val="false"/>
          <w:color w:val="000000"/>
          <w:spacing w:val="4"/>
          <w:sz w:val="18"/>
        </w:rPr>
        <w:t xml:space="preserve"> </w:t>
      </w:r>
    </w:p>
    <w:p>
      <w:pPr>
        <w:pStyle w:val="TextBody"/>
        <w:bidi w:val="0"/>
        <w:spacing w:before="54" w:after="283"/>
        <w:jc w:val="center"/>
        <w:rPr>
          <w:caps w:val="false"/>
          <w:smallCaps w:val="false"/>
          <w:color w:val="000000"/>
        </w:rPr>
      </w:pPr>
      <w:r>
        <w:rPr>
          <w:caps w:val="false"/>
          <w:smallCaps w:val="false"/>
          <w:color w:val="000000"/>
        </w:rPr>
        <w:drawing>
          <wp:inline distT="0" distB="0" distL="0" distR="0">
            <wp:extent cx="2571750" cy="428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571750" cy="428625"/>
                    </a:xfrm>
                    <a:prstGeom prst="rect">
                      <a:avLst/>
                    </a:prstGeom>
                  </pic:spPr>
                </pic:pic>
              </a:graphicData>
            </a:graphic>
          </wp:inline>
        </w:drawing>
      </w:r>
      <w:r>
        <w:rPr>
          <w:caps w:val="false"/>
          <w:smallCaps w:val="false"/>
          <w:color w:val="000000"/>
        </w:rPr>
        <w:t xml:space="preserve"> </w:t>
      </w:r>
    </w:p>
    <w:p>
      <w:pPr>
        <w:pStyle w:val="TextBody"/>
        <w:bidi w:val="0"/>
        <w:spacing w:lineRule="atLeast" w:line="290" w:before="10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Booz Allen Hamilton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$              % Notes due 20  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$              % Notes due 20  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Fully and Unconditionally Guaranteed by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Booz Allen Hamilton Holding Corporation</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94"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are offering $      aggregate principal amount of    % Notes due 20   (the “20   notes”) and $     aggregate principal amount of    % Notes due 20   (the “20   notes” and, together with the 20   notes, the “notes”). The 20   notes will bear interest at the rate of    % per year, and the 20      notes will bear interest at the rate of    % per year. The 20   notes will mature on           , 20   and the 20   notes will mature on           , 20  . Interest on the notes will be payable on           and           of each year, beginning on           , 2027. </w:t>
      </w:r>
    </w:p>
    <w:p>
      <w:pPr>
        <w:pStyle w:val="TextBody"/>
        <w:bidi w:val="0"/>
        <w:spacing w:lineRule="atLeast" w:line="180" w:before="48"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may redeem the notes in whole or in part at any time prior to their maturity at the redemption prices described in this prospectus supplement, plus accrued and unpaid interest, if any, on the principal amount being redeemed, to, but excluding, the redemption date. If a Change of Control Triggering Event (as defined herein) occurs, we must offer to repurchase the notes at a redemption price equal to 101% of the principal amount of the notes, plus accrued and unpaid interest, if any, to, but excluding, the date of repurchase. We will also be required to redeem the 20   notes in certain circumstances. See “Description of Notes and Note Guarantee — Special mandatory redemption” in this prospectus supplement. </w:t>
      </w:r>
    </w:p>
    <w:p>
      <w:pPr>
        <w:pStyle w:val="TextBody"/>
        <w:bidi w:val="0"/>
        <w:spacing w:lineRule="atLeast" w:line="180" w:before="48"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notes will be unsecured and will rank equally with all our other unsecured senior indebtedness. The notes will be fully and unconditionally guaranteed (the “note guarantee”) on an unsecured and unsubordinated basis by Booz Allen Hamilton Holding Corporation (the “Parent Guarantor”), our parent company. The notes will rank senior in right of payment to all of the Issuer’s future subordinated indebtedness and will rank equally in right of payment with the Issuer’s existing and future senior indebtedness, including indebtedness under our credit agreement dated as of July 31, 2012, among the Issuer as borrower, the Parent Guarantor as guarantor, the lenders from time to time party thereto, and Bank of America, N.A., as administrative agent and an issuing lender, as amended, restated, supplemented, replaced, waived or otherwise modified from time to time (as amended, the “Credit Agreement”) consisting of (i) the Revolving Credit Facility (as defined herein), (ii) the Tranche A-1 Term Loan (as defined herein) and (ii) the Tranche A-2 Term Loan (as defined herein) and the Existing Notes (as defined herein). The notes will be effectively subordinated to any of the Issuer’s existing and future secured indebtedness to the extent of the value of the assets securing such indebtedness, and the notes will be structurally subordinated to all existing and future liabilities of each of the Issuer’s subsidiaries. </w:t>
      </w:r>
    </w:p>
    <w:p>
      <w:pPr>
        <w:pStyle w:val="TextBody"/>
        <w:bidi w:val="0"/>
        <w:spacing w:lineRule="atLeast" w:line="180" w:before="48"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note guarantee will rank senior in right of payment to all of the Parent Guarantor’s future subordinated indebtedness and will rank equally in right of payment with all of the Parent Guarantor’s existing and future senior indebtedness, including the Parent Guarantor’s guarantee of indebtedness under the Credit Agreement and the Existing Notes. The note guarantee will be effectively subordinated to any of the Parent Guarantor’s existing and future secured indebtedness to the extent of the value of the assets securing such indebtedness, and the note guarantee will be structurally subordinated to all existing and future liabilities of each of the Parent Guarantor’s subsidiaries, other than the Issuer. </w:t>
      </w:r>
    </w:p>
    <w:p>
      <w:pPr>
        <w:pStyle w:val="TextBody"/>
        <w:bidi w:val="0"/>
        <w:spacing w:lineRule="atLeast" w:line="190" w:before="48" w:after="283"/>
        <w:ind w:left="166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notes will be issued only in denominations of $2,000 and integral multiples of $1,000 in excess thereof.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96" w:after="283"/>
        <w:ind w:left="1260" w:right="0" w:firstLine="400"/>
        <w:jc w:val="left"/>
        <w:rPr/>
      </w:pPr>
      <w:r>
        <w:rPr>
          <w:rFonts w:ascii="Times New Roman;Times;serif" w:hAnsi="Times New Roman;Times;serif"/>
          <w:b/>
          <w:i w:val="false"/>
          <w:caps w:val="false"/>
          <w:smallCaps w:val="false"/>
          <w:color w:val="000000"/>
          <w:spacing w:val="-4"/>
          <w:sz w:val="18"/>
        </w:rPr>
        <w:t xml:space="preserve">Investing in the notes involves risks. See “Risk factors” beginning on page </w:t>
      </w:r>
      <w:hyperlink w:anchor="sRIFA">
        <w:r>
          <w:rPr>
            <w:rStyle w:val="InternetLink"/>
          </w:rPr>
          <w:t>S-7</w:t>
        </w:r>
      </w:hyperlink>
      <w:r>
        <w:rPr>
          <w:rFonts w:ascii="Times New Roman;Times;serif" w:hAnsi="Times New Roman;Times;serif"/>
          <w:b/>
          <w:i w:val="false"/>
          <w:caps w:val="false"/>
          <w:smallCaps w:val="false"/>
          <w:color w:val="000000"/>
          <w:spacing w:val="-4"/>
          <w:sz w:val="18"/>
        </w:rPr>
        <w:t xml:space="preserve"> of this prospectus supplement and the risks discussed in the documents we file with the U.S. Securities and Exchange Commission and that are incorporated by reference herein.</w:t>
      </w:r>
      <w:r>
        <w:rPr>
          <w:rFonts w:ascii="Times New Roman;Times;serif" w:hAnsi="Times New Roman;Times;serif"/>
          <w:b/>
          <w:i w:val="false"/>
          <w:caps w:val="false"/>
          <w:smallCaps w:val="false"/>
          <w:color w:val="000000"/>
          <w:spacing w:val="4"/>
          <w:sz w:val="1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96"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tbl>
      <w:tblPr>
        <w:tblW w:w="8248" w:type="dxa"/>
        <w:jc w:val="left"/>
        <w:tblInd w:w="1260" w:type="dxa"/>
        <w:tblLayout w:type="fixed"/>
        <w:tblCellMar>
          <w:top w:w="0" w:type="dxa"/>
          <w:left w:w="0" w:type="dxa"/>
          <w:bottom w:w="28" w:type="dxa"/>
          <w:right w:w="0" w:type="dxa"/>
        </w:tblCellMar>
      </w:tblPr>
      <w:tblGrid>
        <w:gridCol w:w="2596"/>
        <w:gridCol w:w="109"/>
        <w:gridCol w:w="109"/>
        <w:gridCol w:w="115"/>
        <w:gridCol w:w="240"/>
        <w:gridCol w:w="1149"/>
        <w:gridCol w:w="115"/>
        <w:gridCol w:w="109"/>
        <w:gridCol w:w="109"/>
        <w:gridCol w:w="109"/>
        <w:gridCol w:w="226"/>
        <w:gridCol w:w="1081"/>
        <w:gridCol w:w="109"/>
        <w:gridCol w:w="109"/>
        <w:gridCol w:w="109"/>
        <w:gridCol w:w="121"/>
        <w:gridCol w:w="252"/>
        <w:gridCol w:w="1206"/>
        <w:gridCol w:w="121"/>
        <w:gridCol w:w="154"/>
      </w:tblGrid>
      <w:tr>
        <w:trPr/>
        <w:tc>
          <w:tcPr>
            <w:tcW w:w="25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9" w:type="dxa"/>
            <w:gridSpan w:val="4"/>
            <w:tcBorders>
              <w:bottom w:val="single" w:sz="2" w:space="0" w:color="000000"/>
            </w:tcBorders>
            <w:vAlign w:val="center"/>
          </w:tcPr>
          <w:p>
            <w:pPr>
              <w:pStyle w:val="TableContents"/>
              <w:bidi w:val="0"/>
              <w:spacing w:lineRule="atLeast" w:line="142" w:before="0" w:after="0"/>
              <w:jc w:val="center"/>
              <w:rPr/>
            </w:pPr>
            <w:r>
              <w:rPr>
                <w:spacing w:val="-3"/>
              </w:rPr>
              <w:t>Price to public</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5" w:type="dxa"/>
            <w:gridSpan w:val="4"/>
            <w:tcBorders>
              <w:bottom w:val="single" w:sz="2" w:space="0" w:color="000000"/>
            </w:tcBorders>
            <w:vAlign w:val="center"/>
          </w:tcPr>
          <w:p>
            <w:pPr>
              <w:pStyle w:val="TableContents"/>
              <w:bidi w:val="0"/>
              <w:spacing w:lineRule="atLeast" w:line="142" w:before="0" w:after="0"/>
              <w:jc w:val="center"/>
              <w:rPr/>
            </w:pPr>
            <w:r>
              <w:rPr>
                <w:spacing w:val="-3"/>
              </w:rPr>
              <w:t>Underwriting</w:t>
            </w:r>
            <w:r>
              <w:rPr/>
              <w:t xml:space="preserve"> </w:t>
              <w:br/>
            </w:r>
            <w:r>
              <w:rPr>
                <w:spacing w:val="-3"/>
              </w:rPr>
              <w:t>discount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0" w:type="dxa"/>
            <w:gridSpan w:val="4"/>
            <w:tcBorders>
              <w:bottom w:val="single" w:sz="2" w:space="0" w:color="000000"/>
            </w:tcBorders>
            <w:vAlign w:val="center"/>
          </w:tcPr>
          <w:p>
            <w:pPr>
              <w:pStyle w:val="TableContents"/>
              <w:bidi w:val="0"/>
              <w:spacing w:lineRule="atLeast" w:line="180" w:before="0" w:after="0"/>
              <w:jc w:val="center"/>
              <w:rPr/>
            </w:pPr>
            <w:r>
              <w:rPr>
                <w:spacing w:val="-3"/>
              </w:rPr>
              <w:t>Proceeds, before</w:t>
            </w:r>
            <w:r>
              <w:rPr/>
              <w:t xml:space="preserve"> </w:t>
              <w:br/>
            </w:r>
            <w:r>
              <w:rPr>
                <w:spacing w:val="-3"/>
              </w:rPr>
              <w:t xml:space="preserve">expenses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96" w:type="dxa"/>
            <w:tcBorders/>
            <w:shd w:fill="CCEEFF" w:val="clear"/>
            <w:tcMar>
              <w:bottom w:w="0" w:type="dxa"/>
            </w:tcMar>
            <w:vAlign w:val="center"/>
          </w:tcPr>
          <w:p>
            <w:pPr>
              <w:pStyle w:val="TableContents"/>
              <w:bidi w:val="0"/>
              <w:spacing w:before="0" w:after="0"/>
              <w:jc w:val="left"/>
              <w:rPr>
                <w:spacing w:val="4"/>
              </w:rPr>
            </w:pPr>
            <w:r>
              <w:rPr>
                <w:spacing w:val="4"/>
              </w:rPr>
              <w:t xml:space="preserve">Per senior note due 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120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96" w:type="dxa"/>
            <w:tcBorders/>
            <w:tcMar>
              <w:bottom w:w="0" w:type="dxa"/>
            </w:tcMar>
            <w:vAlign w:val="center"/>
          </w:tcPr>
          <w:p>
            <w:pPr>
              <w:pStyle w:val="TableContents"/>
              <w:bidi w:val="0"/>
              <w:spacing w:before="0" w:after="0"/>
              <w:jc w:val="left"/>
              <w:rPr>
                <w:spacing w:val="4"/>
              </w:rPr>
            </w:pPr>
            <w:r>
              <w:rPr>
                <w:spacing w:val="4"/>
              </w:rPr>
              <w:t xml:space="preserve">Per senior note due 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1206"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96"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1206"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78" w:after="0"/>
        <w:ind w:left="166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Plus accrued interest, if any, from           , 2026, if settlement occurs after that date. </w:t>
      </w:r>
      <w:r>
        <mc:AlternateContent>
          <mc:Choice Requires="wps">
            <w:drawing>
              <wp:anchor behindDoc="0" distT="4953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220" w:before="0" w:after="0"/>
        <w:ind w:left="166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have agreed to reimburse the underwriters for certain expenses in connection with this offering. See “Underwriting (Conflicts of Interest).”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190" w:before="48" w:after="283"/>
        <w:ind w:left="166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notes will not be listed on any securities exchange or quoted on any automated quotation system. </w:t>
      </w:r>
    </w:p>
    <w:p>
      <w:pPr>
        <w:pStyle w:val="TextBody"/>
        <w:bidi w:val="0"/>
        <w:spacing w:lineRule="atLeast" w:line="180" w:before="48" w:after="283"/>
        <w:ind w:left="126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 xml:space="preserve">The underwriters expect to deliver the notes on or about           , 2026, through the book entry system of The Depository Trust Company for the benefit of its participants, including Clearstream Banking, </w:t>
      </w:r>
      <w:r>
        <w:rPr>
          <w:rFonts w:ascii="Times New Roman;Times;serif" w:hAnsi="Times New Roman;Times;serif"/>
          <w:b w:val="false"/>
          <w:i/>
          <w:caps w:val="false"/>
          <w:smallCaps w:val="false"/>
          <w:color w:val="000000"/>
          <w:spacing w:val="4"/>
          <w:sz w:val="18"/>
        </w:rPr>
        <w:t>société anonyme</w:t>
      </w:r>
      <w:r>
        <w:rPr>
          <w:rFonts w:ascii="Times New Roman;Times;serif" w:hAnsi="Times New Roman;Times;serif"/>
          <w:b w:val="false"/>
          <w:i w:val="false"/>
          <w:caps w:val="false"/>
          <w:smallCaps w:val="false"/>
          <w:color w:val="000000"/>
          <w:spacing w:val="4"/>
          <w:sz w:val="18"/>
        </w:rPr>
        <w:t xml:space="preserve"> (“Clearstream”), and Euroclear Bank S.A./N.V. (“Euroclear”).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6"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Joint Bookrunners</w:t>
      </w:r>
      <w:r>
        <w:rPr>
          <w:rFonts w:ascii="Times New Roman;Times;serif" w:hAnsi="Times New Roman;Times;serif"/>
          <w:b/>
          <w:i/>
          <w:caps w:val="false"/>
          <w:smallCaps w:val="false"/>
          <w:color w:val="000000"/>
          <w:spacing w:val="4"/>
          <w:sz w:val="1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6834" w:type="dxa"/>
        <w:jc w:val="left"/>
        <w:tblInd w:w="1260" w:type="dxa"/>
        <w:tblLayout w:type="fixed"/>
        <w:tblCellMar>
          <w:top w:w="0" w:type="dxa"/>
          <w:left w:w="0" w:type="dxa"/>
          <w:bottom w:w="0" w:type="dxa"/>
          <w:right w:w="0" w:type="dxa"/>
        </w:tblCellMar>
      </w:tblPr>
      <w:tblGrid>
        <w:gridCol w:w="124"/>
        <w:gridCol w:w="1609"/>
        <w:gridCol w:w="109"/>
        <w:gridCol w:w="109"/>
        <w:gridCol w:w="1273"/>
        <w:gridCol w:w="109"/>
        <w:gridCol w:w="109"/>
        <w:gridCol w:w="1408"/>
        <w:gridCol w:w="109"/>
        <w:gridCol w:w="109"/>
        <w:gridCol w:w="1612"/>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lineRule="atLeast" w:line="336" w:before="0" w:after="0"/>
              <w:jc w:val="center"/>
              <w:rPr/>
            </w:pPr>
            <w:r>
              <w:rPr>
                <w:spacing w:val="-6"/>
              </w:rPr>
              <w:t xml:space="preserve">PNC Capital </w:t>
            </w:r>
            <w:r>
              <w:rPr/>
              <w:br/>
            </w:r>
            <w:r>
              <w:rPr>
                <w:spacing w:val="-6"/>
              </w:rPr>
              <w:t>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right"/>
              <w:rPr/>
            </w:pPr>
            <w:r>
              <w:rPr>
                <w:spacing w:val="-6"/>
              </w:rPr>
              <w:t>Truist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46" w:after="283"/>
        <w:ind w:left="126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date of this prospectus supplement is           , 2026</w:t>
      </w:r>
      <w:r>
        <w:rPr>
          <w:rFonts w:ascii="Times New Roman;Times;serif" w:hAnsi="Times New Roman;Times;serif"/>
          <w:b/>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and the underwriters have not, authorized anyone to provide any information other than that contained or incorporated by reference in this prospectus supplement, the accompanying prospectus or any free writing prospectus prepared by or on behalf of us or to which we have referred you. Neither we nor the underwriters take any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or any free writing prospectus is accurate only as of their respective dates. Our business, financial condition, results of operations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543" w:type="dxa"/>
        <w:jc w:val="left"/>
        <w:tblInd w:w="1393" w:type="dxa"/>
        <w:tblLayout w:type="fixed"/>
        <w:tblCellMar>
          <w:top w:w="0" w:type="dxa"/>
          <w:left w:w="0" w:type="dxa"/>
          <w:bottom w:w="28" w:type="dxa"/>
          <w:right w:w="0" w:type="dxa"/>
        </w:tblCellMar>
      </w:tblPr>
      <w:tblGrid>
        <w:gridCol w:w="7224"/>
        <w:gridCol w:w="109"/>
        <w:gridCol w:w="109"/>
        <w:gridCol w:w="109"/>
        <w:gridCol w:w="109"/>
        <w:gridCol w:w="620"/>
        <w:gridCol w:w="109"/>
        <w:gridCol w:w="154"/>
      </w:tblGrid>
      <w:tr>
        <w:trPr/>
        <w:tc>
          <w:tcPr>
            <w:tcW w:w="72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224"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24"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and 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WYCF">
              <w:r>
                <w:rPr>
                  <w:rStyle w:val="InternetLink"/>
                  <w:spacing w:val="4"/>
                </w:rPr>
                <w:t>S-ii</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24" w:type="dxa"/>
            <w:tcBorders/>
            <w:shd w:fill="CCEEFF" w:val="clear"/>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FOST">
              <w:r>
                <w:rPr>
                  <w:rStyle w:val="InternetLink"/>
                  <w:spacing w:val="4"/>
                </w:rPr>
                <w:t>S-iii</w:t>
              </w:r>
            </w:hyperlink>
            <w:hyperlink w:anchor="sFO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24" w:type="dxa"/>
            <w:tcBorders/>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UM">
              <w:r>
                <w:rPr>
                  <w:rStyle w:val="InternetLink"/>
                  <w:spacing w:val="4"/>
                </w:rPr>
                <w:t>S-1</w:t>
              </w:r>
            </w:hyperlink>
            <w:hyperlink w:anchor="s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24"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S-7</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24"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OP">
              <w:r>
                <w:rPr>
                  <w:rStyle w:val="InternetLink"/>
                  <w:spacing w:val="4"/>
                </w:rPr>
                <w:t>S-11</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24" w:type="dxa"/>
            <w:tcBorders/>
            <w:shd w:fill="CCEEFF" w:val="clear"/>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CAP">
              <w:r>
                <w:rPr>
                  <w:rStyle w:val="InternetLink"/>
                  <w:spacing w:val="4"/>
                </w:rPr>
                <w:t>S-12</w:t>
              </w:r>
            </w:hyperlink>
            <w:hyperlink w:anchor="s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24" w:type="dxa"/>
            <w:tcBorders/>
            <w:tcMar>
              <w:bottom w:w="0" w:type="dxa"/>
            </w:tcMar>
            <w:vAlign w:val="center"/>
          </w:tcPr>
          <w:p>
            <w:pPr>
              <w:pStyle w:val="TableContents"/>
              <w:bidi w:val="0"/>
              <w:spacing w:before="0" w:after="0"/>
              <w:jc w:val="left"/>
              <w:rPr/>
            </w:pPr>
            <w:hyperlink w:anchor="sDONA">
              <w:r>
                <w:rPr>
                  <w:rStyle w:val="InternetLink"/>
                  <w:spacing w:val="4"/>
                </w:rPr>
                <w:t xml:space="preserve">Description of Notes and Note Guarantee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DONA">
              <w:r>
                <w:rPr>
                  <w:rStyle w:val="InternetLink"/>
                  <w:spacing w:val="4"/>
                </w:rPr>
                <w:t>S-13</w:t>
              </w:r>
            </w:hyperlink>
            <w:hyperlink w:anchor="sDON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24" w:type="dxa"/>
            <w:tcBorders/>
            <w:shd w:fill="CCEEFF" w:val="clear"/>
            <w:tcMar>
              <w:bottom w:w="0" w:type="dxa"/>
            </w:tcMar>
            <w:vAlign w:val="center"/>
          </w:tcPr>
          <w:p>
            <w:pPr>
              <w:pStyle w:val="TableContents"/>
              <w:bidi w:val="0"/>
              <w:spacing w:before="0" w:after="0"/>
              <w:jc w:val="left"/>
              <w:rPr/>
            </w:pPr>
            <w:hyperlink w:anchor="sMUFI">
              <w:r>
                <w:rPr>
                  <w:rStyle w:val="InternetLink"/>
                  <w:spacing w:val="4"/>
                </w:rPr>
                <w:t xml:space="preserve">Material U.S. Federal Income Tax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MUFI">
              <w:r>
                <w:rPr>
                  <w:rStyle w:val="InternetLink"/>
                  <w:spacing w:val="4"/>
                </w:rPr>
                <w:t>S-32</w:t>
              </w:r>
            </w:hyperlink>
            <w:hyperlink w:anchor="sMU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24" w:type="dxa"/>
            <w:tcBorders/>
            <w:tcMar>
              <w:bottom w:w="0" w:type="dxa"/>
            </w:tcMar>
            <w:vAlign w:val="center"/>
          </w:tcPr>
          <w:p>
            <w:pPr>
              <w:pStyle w:val="TableContents"/>
              <w:bidi w:val="0"/>
              <w:spacing w:before="0" w:after="0"/>
              <w:jc w:val="left"/>
              <w:rPr/>
            </w:pPr>
            <w:hyperlink w:anchor="sUCOI">
              <w:r>
                <w:rPr>
                  <w:rStyle w:val="InternetLink"/>
                  <w:spacing w:val="4"/>
                </w:rPr>
                <w:t xml:space="preserve">Underwriting (Conflicts of Interest)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COI">
              <w:r>
                <w:rPr>
                  <w:rStyle w:val="InternetLink"/>
                  <w:spacing w:val="4"/>
                </w:rPr>
                <w:t>S-36</w:t>
              </w:r>
            </w:hyperlink>
            <w:hyperlink w:anchor="sUCO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24"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S-41</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24"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EXP">
              <w:r>
                <w:rPr>
                  <w:rStyle w:val="InternetLink"/>
                  <w:spacing w:val="4"/>
                </w:rPr>
                <w:t>S-41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II">
              <w:r>
                <w:rPr>
                  <w:rStyle w:val="InternetLink"/>
                  <w:spacing w:val="4"/>
                </w:rPr>
                <w:t xml:space="preserve">CERTAIN IMPORTANT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II">
              <w:r>
                <w:rPr>
                  <w:rStyle w:val="InternetLink"/>
                  <w:spacing w:val="4"/>
                </w:rPr>
                <w:t>ii</w:t>
              </w:r>
            </w:hyperlink>
            <w:hyperlink w:anchor="tCI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CNRF">
              <w:r>
                <w:rPr>
                  <w:rStyle w:val="InternetLink"/>
                  <w:spacing w:val="4"/>
                </w:rPr>
                <w:t>iii</w:t>
              </w:r>
            </w:hyperlink>
            <w:hyperlink w:anchor="t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NRRO">
              <w:r>
                <w:rPr>
                  <w:rStyle w:val="InternetLink"/>
                  <w:spacing w:val="4"/>
                </w:rPr>
                <w:t xml:space="preserve">NOTE REGARDING RELIANCE ON STATEMENTS IN OUR CONTRACTS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NRRO">
              <w:r>
                <w:rPr>
                  <w:rStyle w:val="InternetLink"/>
                  <w:spacing w:val="4"/>
                </w:rPr>
                <w:t>iv</w:t>
              </w:r>
            </w:hyperlink>
            <w:hyperlink w:anchor="tNR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THCO">
              <w:r>
                <w:rPr>
                  <w:rStyle w:val="InternetLink"/>
                  <w:spacing w:val="4"/>
                </w:rPr>
                <w:t>1</w:t>
              </w:r>
            </w:hyperlink>
            <w:hyperlink w:anchor="tTH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2</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GO">
              <w:r>
                <w:rPr>
                  <w:rStyle w:val="InternetLink"/>
                  <w:spacing w:val="4"/>
                </w:rPr>
                <w:t xml:space="preserve">DESCRIPTION OF GUARANTEES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GO">
              <w:r>
                <w:rPr>
                  <w:rStyle w:val="InternetLink"/>
                  <w:spacing w:val="4"/>
                </w:rPr>
                <w:t>3</w:t>
              </w:r>
            </w:hyperlink>
            <w:hyperlink w:anchor="tDOG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4</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CS">
              <w:r>
                <w:rPr>
                  <w:rStyle w:val="InternetLink"/>
                  <w:spacing w:val="4"/>
                </w:rPr>
                <w:t>15</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19</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W">
              <w:r>
                <w:rPr>
                  <w:rStyle w:val="InternetLink"/>
                  <w:spacing w:val="4"/>
                </w:rPr>
                <w:t>22</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PC">
              <w:r>
                <w:rPr>
                  <w:rStyle w:val="InternetLink"/>
                  <w:spacing w:val="4"/>
                </w:rPr>
                <w:t xml:space="preserve">DESCRIPTION OF PURCHASE CONTRACTS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PC">
              <w:r>
                <w:rPr>
                  <w:rStyle w:val="InternetLink"/>
                  <w:spacing w:val="4"/>
                </w:rPr>
                <w:t>25</w:t>
              </w:r>
            </w:hyperlink>
            <w:hyperlink w:anchor="tDO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U">
              <w:r>
                <w:rPr>
                  <w:rStyle w:val="InternetLink"/>
                  <w:spacing w:val="4"/>
                </w:rPr>
                <w:t>27</w:t>
              </w:r>
            </w:hyperlink>
            <w:hyperlink w:anchor="tDO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28</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VOS">
              <w:r>
                <w:rPr>
                  <w:rStyle w:val="InternetLink"/>
                  <w:spacing w:val="4"/>
                </w:rPr>
                <w:t xml:space="preserve">VALIDITY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VOS">
              <w:r>
                <w:rPr>
                  <w:rStyle w:val="InternetLink"/>
                  <w:spacing w:val="4"/>
                </w:rPr>
                <w:t>31</w:t>
              </w:r>
            </w:hyperlink>
            <w:hyperlink w:anchor="tV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31</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WYCF">
              <w:r>
                <w:rPr>
                  <w:rStyle w:val="InternetLink"/>
                  <w:spacing w:val="4"/>
                </w:rPr>
                <w:t>31</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IBR">
              <w:r>
                <w:rPr>
                  <w:rStyle w:val="InternetLink"/>
                  <w:spacing w:val="4"/>
                </w:rPr>
                <w:t>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 prospectus that is part of a registration statement on Form S-3 that we filed with the U.S. Securities and Exchange Commission (“SEC”), utilizing a “shelf” registration process. Under this shelf registration process, we may sell debt securities described in the accompanying prospectus in one or more offerings. The accompanying prospectus provides you with a general description of the debt securities we may offer. This prospectus supplement contains specific information about the terms of this offering. This prospectus supplement may add, update or change information contained in the accompanying prospectus. To the extent that information in this prospectus supplement is inconsistent with information in the accompanying prospectus, the information in this prospectus supplement replaces the information in the accompanying prospectus and you should rely on the information in this prospectus supplement. Generally, when we refer to the prospectus, we are referring to both parts of this document combined.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the context otherwise requires, or as otherwise specified or used in this prospectus supplement, the terms “we,” “our,” “us,” and “Booz Allen Hamilton” refer to Booz Allen Hamilton Inc., together with its subsidiaries (unless the context requires otherwise); the term the “Issuer” refers to Booz Allen Hamilton Inc.; the term the “Company” refers to Booz Allen Hamilton Holding Corporation, together with its subsidiaries, including Booz Allen Hamilton Inc. (unless the context requires otherwise); and the term the “Parent Guarantor” refers to Booz Allen Hamilton Holding Corporation. References in this prospectus supplement to “U.S. dollars,” “U.S. $” or “$” are to the currency of the United States of America.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this prospectus supplement and the accompanying prospectus and the offering and sale of the notes in certain jurisdictions may be restricted by law.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notes. We are not making any representation to you regarding the legality of an investment in the notes by you under applicable investment or similar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and consider all information contained or incorporated by reference in this prospectus supplement and the accompanying prospectus before making your investment decision.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WYC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AND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files annual, quarterly and current reports, proxy statements and other information with the SEC under the Securities Exchange Act of 1934, as amended (the “Exchange Act”). Its SEC filings are available to the public over the Internet at the SEC’s website at http://www.sec.gov. Copies of certain information filed by the Company with the SEC are also available on its website at http://investors.boozallen.com. The website is not a part of this prospectus supplement or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the Company files with the SEC, which means that we can disclose important information to you by referring you to those publicly available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 this prospectus supplement and the accompanying prospectus the documents listed below, and any future filings made by the Company with the SEC under Sections 13(a), 13(c), 14, and 15(d) of the Exchange Act, other than any portions of the respective filings that were furnished, under applicable SEC rules, rather than filed, until the completion of the offering of the notes: </w:t>
      </w:r>
    </w:p>
    <w:p>
      <w:pPr>
        <w:pStyle w:val="TextBody"/>
        <w:bidi w:val="0"/>
        <w:spacing w:lineRule="atLeast" w:line="240" w:before="120" w:after="0"/>
        <w:ind w:left="1993" w:right="0" w:hanging="0"/>
        <w:jc w:val="left"/>
        <w:rPr/>
      </w:pPr>
      <w:hyperlink r:id="rId3">
        <w:r>
          <w:rPr>
            <w:rStyle w:val="InternetLink"/>
          </w:rPr>
          <w:t>Annual Report on Form 10-K for the fiscal year ended March 31, 2026, filed with the SEC on May 22, 2026</w:t>
        </w:r>
      </w:hyperlink>
      <w:r>
        <w:rPr>
          <w:rFonts w:ascii="Times New Roman;Times;serif" w:hAnsi="Times New Roman;Times;serif"/>
          <w:b w:val="false"/>
          <w:i w:val="false"/>
          <w:caps w:val="false"/>
          <w:smallCaps w:val="false"/>
          <w:color w:val="000000"/>
          <w:spacing w:val="4"/>
          <w:sz w:val="20"/>
        </w:rPr>
        <w:t xml:space="preserve"> (the “2026 Annual Report”), including those portions of the Company’s </w:t>
      </w:r>
      <w:hyperlink r:id="rId4">
        <w:r>
          <w:rPr>
            <w:rStyle w:val="InternetLink"/>
          </w:rPr>
          <w:t>definitive Proxy Statement on Schedule 14A for the 2026 Annual Meeting of Stockholders, filed with the SEC on June 11, 2026</w:t>
        </w:r>
      </w:hyperlink>
      <w:r>
        <w:rPr>
          <w:rFonts w:ascii="Times New Roman;Times;serif" w:hAnsi="Times New Roman;Times;serif"/>
          <w:b w:val="false"/>
          <w:i w:val="false"/>
          <w:caps w:val="false"/>
          <w:smallCaps w:val="false"/>
          <w:color w:val="000000"/>
          <w:spacing w:val="4"/>
          <w:sz w:val="20"/>
        </w:rPr>
        <w:t xml:space="preserve">, that are incorporated by reference into the 2026 Annual Report;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5">
        <w:r>
          <w:rPr>
            <w:rStyle w:val="InternetLink"/>
          </w:rPr>
          <w:t>Quarterly Report on Form 10-Q for the quarter ended June 30, 2026, filed with the SEC on July 24,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6">
        <w:r>
          <w:rPr>
            <w:rStyle w:val="InternetLink"/>
          </w:rPr>
          <w:t>April 27, 2026</w:t>
        </w:r>
      </w:hyperlink>
      <w:r>
        <w:rPr>
          <w:rFonts w:ascii="Times New Roman;Times;serif" w:hAnsi="Times New Roman;Times;serif"/>
          <w:b w:val="false"/>
          <w:i w:val="false"/>
          <w:caps w:val="false"/>
          <w:smallCaps w:val="false"/>
          <w:color w:val="000000"/>
          <w:spacing w:val="4"/>
          <w:sz w:val="20"/>
        </w:rPr>
        <w:t xml:space="preserve"> (Item 5.02 only), </w:t>
      </w:r>
      <w:hyperlink r:id="rId7">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(Item 5.02 only), </w:t>
      </w:r>
      <w:hyperlink r:id="rId8">
        <w:r>
          <w:rPr>
            <w:rStyle w:val="InternetLink"/>
          </w:rPr>
          <w:t>June 22, 2026</w:t>
        </w:r>
      </w:hyperlink>
      <w:r>
        <w:rPr>
          <w:rFonts w:ascii="Times New Roman;Times;serif" w:hAnsi="Times New Roman;Times;serif"/>
          <w:b w:val="false"/>
          <w:i w:val="false"/>
          <w:caps w:val="false"/>
          <w:smallCaps w:val="false"/>
          <w:color w:val="000000"/>
          <w:spacing w:val="4"/>
          <w:sz w:val="20"/>
        </w:rPr>
        <w:t xml:space="preserve"> (Item 1.01 only), and </w:t>
      </w:r>
      <w:hyperlink r:id="rId9">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(Item 5.07).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the Company included in the 2026 Annual Report and other SEC filings, which are incorporated into this prospectus supplement and the accompanying prospectus, have been prepared on a consolidated basis. The Issuer does not produce its own separately audited standalone or consolidated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the Company at the following address or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Booz Allen Hamilton Holding Corporation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8283 Greensboro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McLean, Virginia 22102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(703) 902-5000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Attn: Investor Relations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Exhibits to the filings will not be sent, however, unless those exhibits have specifically been incorporated by reference into such document. Any statement contained in this prospectus supplement or the accompanying prospectus or in any document incorporated by reference in this prospectus supplement will automatically update and, where applicable, supersede any earlier information contained or incorporated by reference in this prospectus supplement and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FOS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Certain statements contained or incorporated in this prospectus supplement, the accompanying prospectus and any documents incorporated by reference herein or therein, and other oral or written statements that we make from time to time may contain information that includes or is based upon forward-looking statements within the meaning of the Private Securities Litigation Reform Act of 1995.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the risks and factors described under “Risk Factors” in our most recent </w:t>
      </w:r>
      <w:hyperlink r:id="rId10">
        <w:r>
          <w:rPr>
            <w:rStyle w:val="InternetLink"/>
          </w:rPr>
          <w:t>Annual Report on Form 10-K for the year ended March 31, 2026</w:t>
        </w:r>
      </w:hyperlink>
      <w:r>
        <w:rPr>
          <w:rFonts w:ascii="Times New Roman;Times;serif" w:hAnsi="Times New Roman;Times;serif"/>
          <w:b w:val="false"/>
          <w:i w:val="false"/>
          <w:caps w:val="false"/>
          <w:smallCaps w:val="false"/>
          <w:color w:val="000000"/>
          <w:spacing w:val="4"/>
          <w:sz w:val="20"/>
        </w:rPr>
        <w:t xml:space="preserve">, as updated by our </w:t>
      </w:r>
      <w:hyperlink r:id="rId11">
        <w:r>
          <w:rPr>
            <w:rStyle w:val="InternetLink"/>
          </w:rPr>
          <w:t>Quarterly Report on Form 10-Q for the quarter ended June 30, 2026</w:t>
        </w:r>
      </w:hyperlink>
      <w:r>
        <w:rPr>
          <w:rFonts w:ascii="Times New Roman;Times;serif" w:hAnsi="Times New Roman;Times;serif"/>
          <w:b w:val="false"/>
          <w:i w:val="false"/>
          <w:caps w:val="false"/>
          <w:smallCaps w:val="false"/>
          <w:color w:val="000000"/>
          <w:spacing w:val="4"/>
          <w:sz w:val="20"/>
        </w:rPr>
        <w:t>, our subsequent filings under the Securities Exchange Act of 1934, as amended (the “Exchange Act”), and all other information contained or incorporated by reference into this prospectus as well as the risk factors and other information contained or incorporated by reference in the applicable prospectus supplement before making a decision to invest in our securities. 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elsewhere in this prospectus supplement or the documents incorporated by reference in this prospectus supplement and the accompanying prospectus. Because this is only a summary, it does not contain all of the information that you should consider in making your investment decision. You should read the following summary together with the entire prospectus supplement, including the more detailed information regarding our company and the notes elsewhere in this prospectus supplement and the accompanying prospectus and the documents incorporated by reference in this prospectus supplement and the accompanying prospectus. You should also carefully consider, among other things, the matters discussed in the sections entitled “Risk Factors” in this prospectus supplement, the accompanying prospectus and the documents incorporated by reference herein and therein, as well as the consolidated financial statements and the related notes contained or incorporated by reference in this prospectus supplement and the accompanying prospectus, before deciding to invest in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Booz Allen Hamilton Holding Corporation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Booz Allen Hamilton Holding Corporation is an advanced technology company building products and solutions for government and business. For more than 112 years, the Company has evolved to meet the needs of commercial, international, and government customers. After September 11th, 2001, the Company undertook a fundamental transformation when it expanded into critical and sensitive national security missions. The Company’s teams began delivering mission impact, executing full-spectrum cyber operations, helping the U.S. military counter the threat of improvised explosive devices (“IEDs”), standing up counter-terrorism fusion centers, and supporting intelligence missions. This work helped lay the foundation for the Company’s national security portfolio and strengthened its credibility in highly complex missions. In 2008, a strategic business decision was made to prioritize and protect the Company’s government and national security interests and spin off its global commercial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2013, the Company began another massive multi-year transformation by making significant investments in the emerging technologies that would help transform government. The Company rebuilt its workforce with technologists that bring deep mission expertise in national security and other core government missions. These investments propelled the Company as a leader in artificial intelligence (“AI”), cyber, quantum, and other advanced technologies.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Today, the Company is a leader at the forefront of the nation’s technology ecosystem. The Company builds tech for a diverse base of federal government and commercial customers, both domestically and in select foreign locations. By investing in emerging technologies, talent, and new business models, including partnerships with leading technology companies, venture investments, and the development of military grade products, the Company is accelerating the delivery of tech solutions.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Booz Allen Hamilton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Booz Allen Hamilton Inc. is an indirect, wholly-owned subsidiary of Booz Allen Hamilton Holding Corporation, and the primary operating company of Booz Allen Hamilton Holding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principal executive office for both Booz Allen Hamilton Holding Corporation and Booz Allen Hamilton Inc. is located at 8283 Greensboro Drive, McLean, Virginia 22102, and our telephone number is (703) 902-5000.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Acquisition of Ultra Mission Solutions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19, 2026, the Issuer entered into a stock purchase agreement (the “Purchase Agreement”) by and among (i) the Issuer, (ii) Ultra I&amp;C Holdings Limited, a private limited company incorporated under the Laws of England and Wales (the “Seller”), (iii) Ultra Electronics Holdings Limited, a private limited company incorporated under the Laws of England and Wales, and (iv) Ultra Electronics Advanced Tactical Systems, Inc., a Texas corporation (“Ultra Mission Solutions”), pursuant to which the Issuer will purchase from the Seller, and the Seller will sell to the Issuer, all of the issued and outstanding equity interests of Ultra Mission Solutions (the “Ultra Mission Solutions Shares”). The Purchase Agreement provides that the Issuer will purchase the Ultra Mission Solutions Shares from the Seller for the purchase price of $720 million, subject to certain adjustments (the “Stock Purchase” and, together with the other transactions contemplated by the Purchase Agreement, the “Ultra Mission Solutions Acquisition”). The Ultra Mission Solutions Acquisition is expected to close in the second quarter of the Company’s fiscal year 2027.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consummation of the Ultra Mission Solutions Acquisition is subject to customary closing conditions, including without limitation (i) the absence of any order by any governmental entity or other law preventing consummation of the Stock Purchase, (ii) the expiration or termination of any applicable waiting period under the Hart-Scott Rodino Antitrust Improvements Act of 1976, as amended, and (iii) other customary closing conditions, including the accuracy of the other parties’ representations and warranties and the other parties’ compliance with its covenants and agreements contained in the Purchase Agreement.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is a brief summary of certain terms of this offering. For a more complete description of the terms of the notes, see “Description of Notes and Note Guarantee” in this prospectus supplement and “Description of Debt Securities” in the accompanying prospectus. Capitalized terms not otherwise defined herein shall have the same meanings given them in the “Description of Notes and Note Guarantee” section of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Booz Allen Hamilton Inc.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Guarantor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Booz Allen Hamilton Holding Corporation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Parent Guarantor will fully and unconditionally guarantee to each holder of notes the due and punctual payment of the principal of, and interest and any premium on, the notes, when and as the same becomes due and payable, whether at maturity, upon acceleration or otherwise.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Securities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in aggregate principal amount of    % Notes due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in aggregate principal amount of    % Notes due 20  .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Stated Maturity Date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20  notes will mature on             ,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mature on             , 20  .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20  notes will bear interest at the rate of    % per year, accruing from             ,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bear interest at the rate of    % per year, accruing from             , 2026.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notes will be paid in arrears on           and          of each year to the holders of record on           and          , respectively. The first interest payment on the notes will be made on             , 2027 to holders of record on             , 2027.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of the Notes and the Note Guarantee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unsecured obligations of the Issuer and will rank: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4"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equally in right of payment with all existing and future senior indebtedness of the Issuer (including indebtedness under the Credit Agreement and the Existing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3876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8.2pt;mso-wrap-distance-bottom:0pt;margin-top:8.2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in right of payment to any future subordinated indebtedness of the Issuer;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3876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8.2pt;mso-wrap-distance-bottom:0pt;margin-top:8.2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effectively subordinated to all existing and future secured indebtedness of the Issuer, to the extent of the value of the assets securing such indebtedness;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3876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8.2pt;mso-wrap-distance-bottom:0pt;margin-top:8.2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5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structurally subordinated to all existing and future indebtedness and other liabilities of each of the Issuer’s subsidiaries. </w:t>
      </w:r>
      <w:r>
        <mc:AlternateContent>
          <mc:Choice Requires="wps">
            <w:drawing>
              <wp:anchor behindDoc="0" distT="104140" distB="0" distL="23876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8.2pt;mso-wrap-distance-bottom:0pt;margin-top:8.2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 guarantee will be the unsecured obligation of the Parent Guarantor and will rank: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4"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equally in right of payment with all existing and future senior indebtedness of the Parent Guarantor (including the Parent Guarantor’s guarantee of indebtedness under the Credit Agreement and the Existing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3876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8.2pt;mso-wrap-distance-bottom:0pt;margin-top:8.2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in right of payment to any future subordinated indebtedness of the Parent Guarantor;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0" distB="0" distL="2387600" distR="0" simplePos="0" locked="0" layoutInCell="1" allowOverlap="1" relativeHeight="16">
                <wp:simplePos x="0" y="0"/>
                <wp:positionH relativeFrom="column">
                  <wp:align>left</wp:align>
                </wp:positionH>
                <wp:positionV relativeFrom="line">
                  <wp:posOffset>635</wp:posOffset>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0pt;mso-wrap-distance-bottom:0pt;margin-top:0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effectively subordinated to all existing and future secured indebtedness of the Parent Guarantor to the extent of the value of the assets securing such indebtedness;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3876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8.1pt;mso-wrap-distance-bottom:0pt;margin-top:8.1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structurally subordinated to all existing and future indebtedness and other liabilities of each of the Parent Guarantor’s subsidiaries, other than the Issuer.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3876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8.1pt;mso-wrap-distance-bottom:0pt;margin-top:8.1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of June 30, 2026, before giving effect to the offering of $             of notes hereby and the use of proceeds therefrom, the Parent Guarantor had approximately $3.9 billion of indebtedness on a consolidated basis, all of which was unsecured, and the revolving credit facility under the Credit Agreement (the “Revolving Credit Facility”) provided the Issuer with commitments of $1.5 billion, of which approximately $1.5 billion was available to be drawn.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as of June 30, 2026, subsidiaries of the Parent Guarantor, other than the Issuer, would have had approximately $318 million of total liabilities (including trade payables but excluding intercompany liabilities) and such subsidiaries’ total assets accounted for approximately 27% of the Company’s consolidated total assets.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for the 20   notes (   months prior to their maturity date) and              for the 20   notes (   months prior to their maturity date) and other than in connection with a Special Mandatory Redemption, the Issuer may redeem the notes at its option, in whole or in part, at any time and from time to time, at the applicable make-whole premium redemption price described under “Description of Notes and Note Guarantee — Optional redemption,” plus accrued and unpaid interest, if any, on the principal amount being redeemed to, but excluding the redemption date. On and after              for the 20   notes (   months prior to their maturity date) and              for the 20   notes (   months prior to their maturity date), the Issuer may redeem the notes, in whole or in part, at any time and from time to time, at a redemption price equal to 100% of the aggregate principal amount of the notes being redeemed plus any accrued and unpaid interest on the principal amount being redeemed to, but excluding, the redemption date. See “Description of Notes and Note Guarantee — Optional redemption.”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Special Mandatory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(i) the Purchase Agreement is terminated on or prior to December 19, 2026 without the Ultra Mission Solutions Acquisition having been consummated or (ii) the Ultra Mission Solutions Acquisition is not consummated on or prior to the later of (a) December 19, 2026 and (b) the date that is five business days after any later date to which the parties to the Purchase Agreement agree to extend the Termination Date (as defined in the Purchase Agreement) pursuant to the Purchase Agreement, the 20   notes will be redeemed at the Special Mandatory Redemption Price.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Notes and Note Guarantee — Special mandatory redemption.” The 20   notes are not subject to the Special Mandatory Redemption.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of Control Offer to Repurchase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Change of Control Triggering Event (as defined herein) occurs, the Issuer must offer to repurchase the notes at a price equal to 101% of the principal amount of the notes, plus accrued and unpaid interest, if any, to, but excluding, the date of repurchase. See “Description of Notes and Note Guarantee — Change of control offer to repurchase.”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Sinking Fund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None.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 will issue the notes under an indenture, dated as of August 4, 2023, among the Issuer, the Parent Guarantor, and U.S. Bank Trust Company, National Association, as trustee (as amended or supplemented from time to time, the “base indenture”), as supplemented by a third supplemental indenture to be entered into by the Issuer, the Parent Guarantor and the trustee concurrently with the delivery of the notes (the “third supplemental indenture” and, together with the base indenture, the “indenture”). The indenture will, among other things, limit the Issuer’s and its subsidiaries’ ability to: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30"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incur liens securing debt for borrowed money;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82550" distB="0" distL="23876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6.5pt;mso-wrap-distance-bottom:0pt;margin-top:6.5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enter into sale and leaseback transactions.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82550" distB="0" distL="23876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6.5pt;mso-wrap-distance-bottom:0pt;margin-top:6.5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the indenture will limit the Issuer’s and the Parent Guarantor’s ability to consolidate or merge with or into another company, or sell all or substantially all of the assets of the Issuer or the Parent Guarantor, as applicable.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the covenants summarized above will be subject to a number of important exceptions and qualifications. For more details, see “Description of Notes and Note Guarantee — Certain covenants.”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and Denomination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in the form of one or more fully-registered global securities, without coupons, in minimum denominations of $2,000 in principal amount and integral multiples of $1,000 in excess thereof. These global securities will be deposited with the trustee as custodian for, and registered in the name of, a nominee of The Depository Trust Company (“DTC”). Except in the limited circumstances described under “Description of Notes and Note Guarantee — Book-entry, delivery and form,” notes will not be issued in definitive form or exchanged for interests in global securities.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 expects the net proceeds from this offering of notes to be approximately $          million after deducting the underwriting discount and estimated expenses related to the offering. The Issuer intends to use the net proceeds of this offering (i) to finance a portion of the Ultra Mission Solutions Acquisition, (ii) for the repayment in full of the $714 million of borrowings outstanding under the Tranche A senior unsecured term loan due 2027 (the “Tranche A-1 Term Loan”) and (iii) for general corporate purposes. As certain of the underwriters or their affiliates are lenders under our Tranche A-1 Term Loan, such underwriters or their affiliates may receive a portion of the net proceeds from this offering. See “Use of Proceeds”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Trading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a new issue of securities with no established trading market. The Issuer does not intend to apply for listing of the notes 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securities exchange or include the notes in any automated quotation system. The underwriters have advised the Issuer that they currently intend to make a market in the notes, but they are not obligated to do so and may, in their sole discretion, discontinue market-making at any time without notice. See “Underwriting (Conflicts of Interest)” included elsewhere in this prospectus supplement for more information about possible market-making by the underwriters.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Bank Trust Company, National Association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Material U.S. Federal Tax Considerations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consult your tax advisors concerning the U.S. federal income tax consequences of owning the notes in light of your own specific situation, as well as consequences arising under the laws of any other taxing jurisdiction. See “Material U.S. Federal Tax Considerations.”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the notes and the guarantee will be governed by, and construed in accordance with, the laws of the State of New York.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Issues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 may from time to time, without notice to, or the consent of, the registered holders of the notes, create and issue additional notes of the same series as either series of notes ranking equally and ratably with the notes of such series offered hereby in all respects, so that such additional notes of such series will be consolidated and form a single series with the notes and will have the same terms as to status, redemption or otherwise as the notes (other than the date of issuance and, under certain circumstances, the first interest payment date and the date from which interest thereon will begin to accrue), provided that if such additional notes are not fungible with the original notes of such series for U.S. federal income tax purposes, such additional notes will have a separate CUSIP number.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Because affiliates of BofA Securities, Inc. are lenders under our Tranche A-1 Term Loan and BofA Securities, Inc. will receive 5% or more of the net proceeds of this offering due to the repayment of borrowings under our Tranche A-1 Term Loan, BofA Securities, Inc. is deemed to have a conflict of interest within the meaning of FINRA Rule 5121. Accordingly, this offering will be conducted in accordance with FINRA Rule 5121. The appointment of a “qualified independent underwriter” is not required in connection with this offering as the notes will be rated by one or more of the nationally recognized statistical rating organizations in one of the four highest generic rating categories. See “Underwriting (Conflicts of Interest) — Conflicts of Interest.”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Investing in the notes involves substantial risk. Please read “Risk Factors” in this prospectus supplement and in the 2026 Annual Report incorporated by reference in this prospectus supplement, and as updated by our subsequent filings under the Exchange Act, for a discussion of certain factors you should consider in evaluating an investment in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the notes involves risks. You should carefully consider the following risks, as well as the other information contained or incorporated by reference in this prospectus supplement and the accompanying prospectus. In particular, you should carefully consider the risks and uncertainties included in “Item 1A. Risk Factors,” of the 2026 Annual Report, which is incorporated by reference in this prospectus supplement, and under the caption “Forward-Looking Statements.” If any of those risks or the following risks actually occurs, our businesses, and your investment in the notes, could be negatively affected. These risks and uncertainties are not the only ones they face. Additional risks and uncertainties not presently known to us, or that we currently deem immaterial, may also materially and adversely affect our business operations, results of operations, financial condition or prospects. If any of these risks materialized, our ability to pay interest on the notes when due or to repay the notes at maturity could be adversely affected, and the trading prices of the notes could decline substantially.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Company has substantial indebtedness and may incur substantial additional indebtedness, which could adversely affect its financial health and ability to obtain financing in the future, react to changes in the business and make 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before giving effect to the offering of $             of notes hereby and the use of proceeds therefrom, the Company had approximately $3.9 billion of consolidated debt, all of which was unsecured, and excluding approximately $1.5 billion available under the Revolving Credit Facility. The Company is able to, and may, incur additional indebtedness in the future, subject to the limitations contained in the agreements governing its indebtedness. The Company’s substantial indebtedness could have important consequences to holders of the notes,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it more difficult for the Company to satisfy its obligations with respect to the notes offered hereby, the Credit Agreement, consisting of a $714 million Tranche A-1 Term Loan, a $746 million senior unsecured term loan facility due 2031 (the “Tranche A-2 Term Loan”) and a $1.5 billion Revolving Credit Facility, with a sublimit for letters of credit of $200 million, $700 million in aggregate principal amount of 3.875% Senior Notes due 2028 (the “2028 Notes”), $500 million in aggregate principal amount of 4.000% Senior Notes due 2029 (the “2029 Notes”), $650 million in aggregate principal amount of 5.950% Senior Notes due 2033 (the “2033 Notes”), and $650 million in aggregate amount of 5.950% Senior Notes due 2035 (the “2035 Notes”, and together with the 2028 Notes, the 2029 Notes and the 2033 Notes, the “Existing Notes”) and our other debt;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limiting the Company’s ability to obtain additional financing to fund future working capital, capital expenditures, acquisitions or other general corporate requirements and our ability to satisfy the Company’s obligations with respect to the notes in the future;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requiring a substantial portion of the Company’s cash flows to be dedicated to debt service payments instead of other purposes, thereby reducing the amount of cash flows available for working capital, capital expenditures, acquisitions and other general corporate purposes;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the Company’s vulnerability to general adverse economic and industry conditions;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exposing the Company to the risk of increased interest rates as certain of the Company’s borrowings, including under the Credit Agreement, are at variable rates of interest;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limiting the Company’s flexibility in planning for and reacting to changes in the industry in which it competes;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placing the Company at a disadvantage compared to other, less leveraged competitors or competitors with comparable debt and more favorable terms and thereby affecting the Company’s ability to compete; and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the Company’s cost of borrowing.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that will govern the notes will not limit the amount of unsecured indebtedness (including under the indenture) or secured indebtedness that the Issuer can issue, except, with respect to secured indebtedness, to the extent set forth in the section entitled “Description of Notes and Note Guarantee — Certain covenants — Limitation on liens.” The Credit Agreement does not limit the amount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unsecured indebtedness that the Issuer can incur, and while it contains restrictions on the incurrence of additional secured indebtedness, these restrictions are subject to a number of qualifications and exceptions, and the additional secured indebtedness incurred in compliance with these restrictions could be substantial. The indentures governing certain of the Existing Notes contain restrictions on the incurrence of additional unsecured and secured indebtedness; however, these restrictions are currently suspended. These restrictions also will not prevent the Issuer from incurring obligations that do not constitute indebtedness. In addition, the Revolving Credit Facility provides for commitments of $1.5 billion, of which approximately $1.5 billion are expected to be available following consummation of the offering of the notes. Furthermore, subject to specified conditions, without the consent of the then-existing lenders (but subject to the receipt of commitments), the indebtedness under the Credit Agreement may be increased by up to $500 million. If new debt is added to the Company’s current debt levels, the related risks that the Company faces would increase and the Company may not be able to meet all its debt obligations.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and the note guarantee will be effectively subordinated to the Issuer’s and the Parent Guarantor’s future secured indebtedness to the extent of the value of the property securing that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the note guarantee will not be secured by any of the Issuer’s or the Parent Guarantor’s assets. As a result, the notes and the note guarantee will be effectively subordinated to the Issuer’s and the Parent Guarantor’s future secured indebtedness to the extent of the value of the assets that secure that indebtedness. The effect of this subordination is that upon a default in payment on, or the acceleration of, any of the Issuer’s or the Parent Guarantor’s secured indebtedness, or in the event of bankruptcy, insolvency, liquidation, dissolution or reorganization of the Issuer or the Parent Guarantor, the proceeds from the sale of assets securing any secured indebtedness will be available to pay obligations on the notes only after all such secured debt has been paid in full. As a result, the holders of the notes may receive less, ratably, than the holders of secured debt in the event of the Issuer’s or the Parent Guarantor’s bankruptcy, insolvency, liquidation, dissolution or reorganization.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and the note guarantee will be structurally subordinated to all obligations of the Parent Guarantor’s existing and future subsidiaries, other than the Issuer.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guaranteed on a senior unsecured basis by the Parent Guarantor. The Parent Guarantor’s subsidiaries, other than the Issuer, will have no obligation, contingent or otherwise, to pay amounts due under the notes or the note guarantee or to make any funds available to pay those amounts, whether by dividend, distribution, loan or other payment. The notes and the note guarantee will be structurally subordinated to all indebtedness and other obligations of any such subsidiary such that in the event of insolvency, liquidation, reorganization, dissolution or other winding up of any such subsidiary, all of that subsidiary’s creditors (including trade creditors) would be entitled to payment in full out of that subsidiary’s assets before the Parent Guarantor or the Issuer would be entitled to any payment.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Variable rate indebtedness subjects the Issuer to interest rate risk, which could cause their respective debt service obligations to increase significantly.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Borrowings under the Credit Agreement and the Existing Notes and certain other indebtedness of the Issuer are at variable rates of interest and expose the Issuer to interest rate risk. As interest rates increase, the Issuer’s debt service obligations on its variable rate indebtedness increase even though the amount borrowed remains the same, and its net income and cash flows, including cash available for servicing its indebtedness, will correspondingly decrease.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governing the notes will not restrict the ability of the Issuer, the Parent Guarantor or any of their respective subsidiaries to incur additional unsecured debt, pay dividends or make other distributions to holders of its equity securities or repurchase their respective securities or to take other actions that could negatively impact their ability to pay their obligations under the notes or the note guarantee, respectively.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Issuer, the Parent Guarantor or any of their respective subsidiaries will be restricted under the terms of the indenture governing the notes from incurring additional unsecured debt, paying dividends or making other distributions to holders of its equity securities or repurchasing its respective securities. In addition, the Parent Guarantor will not be restricted under the terms of the indenture governing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incurring secured indebtedness or entering into sale and leaseback transactions, and the limited covenants applicable to the notes will not require the Issuer, the Parent Guarantor or any of their respective subsidiaries to achieve or maintain any minimum financial results relating to their respective financial position or results of operations. The ability to recapitalize, incur additional debt and take a number of other actions that are not limited by the terms of the indenture governing the notes could have the effect of diminishing the Issuer’s and the Parent Guarantor’s ability to make payments on the notes or the note guarantee, respectively, when due.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 guarantee provides little, if any, additional credit support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Parent Guarantor is a holding company with no operations of its own, and it depends on its subsidiaries for cash to fund all of its operations and expenses. The operations of the Parent Guarantor are conducted almost entirely through its subsidiaries and its ability to generate cash to meet its debt service obligations or to pay dividends is highly dependent on the earnings and receipt of funds from its subsidiaries via dividends or intercompany loans. Furthermore, the Credit Facility may significantly restrict the ability of the Parent Guarantor’s subsidiaries to pay dividends or otherwise transfer assets to the Parent Guarantor which may further impact its ability to meet its obligations under the note guarantee. Additionally, none of the covenants under the indenture that will govern the notes, as described under “Description of Notes and Note Guarantee — Certain covenants,” will apply to the Parent Guarantor. As a result, the Parent Guarantor’s note guarantee provides little, if any, additional credit support for the notes. </w:t>
      </w:r>
    </w:p>
    <w:p>
      <w:pPr>
        <w:pStyle w:val="TextBody"/>
        <w:bidi w:val="0"/>
        <w:spacing w:lineRule="atLeast" w:line="22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may not be able to repurchase all of the notes upon a Change of Control Triggering Event, which would result in a default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a Change of Control Triggering Event (as defined herein), unless the Issuer has exercised its right to redeem the notes, each holder of notes will have the right to require the Issuer to repurchase all or any part of such holder’s notes at a price equal to 101% of their principal amount, plus accrued and unpaid interest, if any, to, but excluding, the date of repurchase. If a Change of Control Triggering Event occurs, there can be no assurance that the Issuer would have sufficient financial resources available to satisfy its obligations to repurchase the notes. In addition, the ability of the Issuer to repurchase the notes for cash may be limited by law, or by the terms of other agreements relating to its indebtedness outstanding at that time. Any failure by the Issuer to repurchase the notes as required under the indenture governing the notes would result in a default under the indenture, which could have material adverse consequences for the Issuer and for holders of the notes. </w:t>
      </w:r>
    </w:p>
    <w:p>
      <w:pPr>
        <w:pStyle w:val="TextBody"/>
        <w:bidi w:val="0"/>
        <w:spacing w:lineRule="atLeast" w:line="22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Ultra Mission Solutions Acquisition is not consummated, the Issuer will be required to redeem the 20   notes, and holders of the 20   notes may not obtain their expected return.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Ultra Mission Solutions Acquisition is subject to the closing conditions described under “Summary — Recent developments — Acquisition of Ultra Mission Solutions,” including the expiration or termination of any applicable waiting period under the Hart-Scott Rodino Antitrust Improvements Act of 1976, as amended, and the absence of any order by any governmental entity preventing consummation of the Stock Purchase, and other customary closing conditions, many of which are beyond our control, and there can be no assurance that those conditions will be satisfied. If (i) the Purchase Agreement is terminated on or prior to December 19, 2026 without the Ultra Mission Solutions Acquisition having been consummated or (ii) the Ultra Mission Solutions Acquisition is not consummated on or prior to the later of (a) December 19, 2026 and (b) the date that is five business days after any later date to which the parties to the Purchase Agreement agree to extend the Termination Date (as defined in the Purchase Agreement) pursuant to the Purchase Agreement, the Issuer will be required to redeem all of the 20   notes at the Special Mandatory Redemption Price on the Special Mandatory Redemption Date. See “Description of Notes and Note Guarantee — Special mandatory redemption.” If the 20   notes are so redeemed, you may not obtain your expected return on the 20   notes and may not be able to reinvest the proceeds from such redemption in an investment that results in a comparable return. The 20   notes are not subject to the Special Mandatory Redemption.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may not be able to redeem the 20   notes in the event of a Special 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is not obligated to place the net proceeds of this offering in escrow prior to the consummation of the Ultra Mission Solutions Acquisition or to provide a security interest in those proceeds, and there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restrictions on the Issuer’s use of those proceeds in the period prior to the consummation of the Ultra Mission Solutions Acquisition. As described under “Use of Proceeds,” the Issuer intends to use the net proceeds of this offering (i) to finance the Ultra Mission Solutions Acquisition, (ii) for the repayment of the existing Tranche A-1 Term Loan and (iii) for general corporate purposes. To the extent the Issuer uses net proceeds for the repayment of the Tranche A-1 Term Loan and general corporate purposes, prior to the consummation of the Ultra Mission Solutions Acquisition, the Issuer will need to fund any Special Mandatory Redemption of the 20   notes from other sources of liquidity, including amounts that may be available under the Revolving Credit Facility. There can be no assurance that such sources of liquidity will be sufficient to fund the Special Mandatory Redemption in full. Any failure by the Issuer to redeem the 20   notes as required under the indenture would result in a default under the indenture, which could have material adverse consequences for the Issuer and for holders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may not be able to determine when a change of control giving rise to their right to have the notes repurchased has occurred following a sale of “substantially all” of the Issuer’s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circumstances under which a change of control may occur is upon the sale or disposition of “all or substantially all” of the Issuer’s assets. There is no precise established definition of the phrase “substantially all” under applicable law and the interpretation of that phrase will likely depend upon particular facts and circumstances. Accordingly, the ability of a holder of the notes to require the Issuer to repurchase its notes as a result of a sale of less than all of the Issuer’s assets to another person may be uncertain.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active trading market for the notes may not develop.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and the Issuer does not intend to list the notes offered hereby on any securities exchange or include the notes in any automated quotation system. The Issuer has been informed by the underwriters that they intend to make a market in the notes after the offering is completed. However, the underwriters are not obligated to do so and may discontinue their market-making activities at any time without notice. In addition, the liquidity of the trading market in the notes, and the market price quoted for the notes, may be adversely affected by changes in the overall market for fixed income securities and by changes in the Company’s financial performance or prospects or in the prospects for companies in its industry generally. In addition, such market-making activity will be subject to limits imposed by the Securities Act of 1933, as amended (the “Securities Act”), and the Exchange Act. As a result, there can be no assurance that an active trading market will develop for the notes. If no active trading markets for the notes develop, you may not be able to resell your notes at their fair market value or at 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Issuer’s and the Parent Guarantor’s credit ratings or the debt markets could adversely affect the trading price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 for the notes will depend on many factors,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and the Parent Guarantor’s credit ratings with major credit rating agencies;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prevailing interest rates being paid by other companies similar to the Issuer and the Parent Guarantor;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condition, financial performance and future prospects of the Issuer or the Parent Guarantor;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overall condition of the financial markets.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of the financial markets and prevailing interest rates have fluctuated significantly in the past and are likely to fluctuate in the future. Such fluctuations could have an adverse effect on the trading prices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credit rating agencies continually review their ratings for the companies that they follow, including the Issuer and the Parent Guarantor. A negative change in the rating of the Issuer or the Parent Guarantor could have an adverse effect on the trading prices of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expects the net proceeds from this offering of notes to be approximately $      million after deducting the underwriting discount and estimated expenses related to the offering. The Issuer intends to use the net proceeds of this offering (i) to finance a portion of the Ultra Mission Solutions Acquisition, (ii) for the repayment in full of the existing Tranche A-1 Term Loan and (iii) for general corporate purposes. As of the date of this prospectus supplement, there were approximately $714 million borrowings outstanding under the Tranche A-1 Term Loan. These borrowings bear interest at a rate per annum equal to Term SOFR plus up to 200 basis points (subject to adjustment). The Tranche A-1 Term Loan matures on September 7, 2027.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certain of the underwriters or their affiliates are lenders under our Tranche A-1 Term Loan, such underwriters or their affiliates may receive a portion of the net proceeds from this offering. See “Underwriting (Conflicts of Interest) — Conflicts of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CA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Company’s capitalization, on a consolidated basis, as of June 30, 2026 on a historical basis and as adjusted to give effect to the issuance and sale of the notes offered hereby and the use of proceeds therefrom for the repayment in full of the existing Tranche A-1 Term Loan facility.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this table in conjunction with the information contained in the Company’s “Management’s Discussion and Analysis of Financial Condition and Results of Operations” and the Company’s unaudited condensed consolidated financial statements and related notes included in our </w:t>
      </w:r>
      <w:hyperlink r:id="rId12">
        <w:r>
          <w:rPr>
            <w:rStyle w:val="InternetLink"/>
          </w:rPr>
          <w:t>Quarterly Report on Form 10-Q for the quarterly period ended June 30, 2026</w:t>
        </w:r>
      </w:hyperlink>
      <w:r>
        <w:rPr>
          <w:rFonts w:ascii="Times New Roman;Times;serif" w:hAnsi="Times New Roman;Times;serif"/>
          <w:b w:val="false"/>
          <w:i w:val="false"/>
          <w:caps w:val="false"/>
          <w:smallCaps w:val="false"/>
          <w:color w:val="000000"/>
          <w:spacing w:val="4"/>
          <w:sz w:val="20"/>
        </w:rPr>
        <w:t xml:space="preserve">, each of which is incorporated by reference into this prospectus supplement. </w:t>
      </w:r>
    </w:p>
    <w:tbl>
      <w:tblPr>
        <w:tblW w:w="8812" w:type="dxa"/>
        <w:jc w:val="left"/>
        <w:tblInd w:w="1393" w:type="dxa"/>
        <w:tblLayout w:type="fixed"/>
        <w:tblCellMar>
          <w:top w:w="0" w:type="dxa"/>
          <w:left w:w="0" w:type="dxa"/>
          <w:bottom w:w="28" w:type="dxa"/>
          <w:right w:w="0" w:type="dxa"/>
        </w:tblCellMar>
      </w:tblPr>
      <w:tblGrid>
        <w:gridCol w:w="5744"/>
        <w:gridCol w:w="109"/>
        <w:gridCol w:w="109"/>
        <w:gridCol w:w="109"/>
        <w:gridCol w:w="226"/>
        <w:gridCol w:w="768"/>
        <w:gridCol w:w="109"/>
        <w:gridCol w:w="109"/>
        <w:gridCol w:w="109"/>
        <w:gridCol w:w="113"/>
        <w:gridCol w:w="235"/>
        <w:gridCol w:w="803"/>
        <w:gridCol w:w="113"/>
        <w:gridCol w:w="156"/>
      </w:tblGrid>
      <w:tr>
        <w:trPr/>
        <w:tc>
          <w:tcPr>
            <w:tcW w:w="57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744"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(Amounts in millions, except par values;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74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44" w:type="dxa"/>
            <w:tcBorders/>
            <w:tcMar>
              <w:bottom w:w="0" w:type="dxa"/>
            </w:tcMar>
            <w:vAlign w:val="center"/>
          </w:tcPr>
          <w:p>
            <w:pPr>
              <w:pStyle w:val="TableContents"/>
              <w:bidi w:val="0"/>
              <w:spacing w:before="0" w:after="283"/>
              <w:jc w:val="left"/>
              <w:rPr/>
            </w:pPr>
            <w:r>
              <w:rPr>
                <w:spacing w:val="-4"/>
              </w:rPr>
              <w:t>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44" w:type="dxa"/>
            <w:tcBorders/>
            <w:shd w:fill="CCEEFF" w:val="clear"/>
            <w:tcMar>
              <w:bottom w:w="0" w:type="dxa"/>
            </w:tcMar>
            <w:vAlign w:val="center"/>
          </w:tcPr>
          <w:p>
            <w:pPr>
              <w:pStyle w:val="TableContents"/>
              <w:bidi w:val="0"/>
              <w:spacing w:before="0" w:after="0"/>
              <w:ind w:left="200" w:right="0" w:hanging="0"/>
              <w:jc w:val="left"/>
              <w:rPr/>
            </w:pPr>
            <w:r>
              <w:rPr>
                <w:spacing w:val="4"/>
              </w:rPr>
              <w:t>Tranche A-1 Term Loan</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44" w:type="dxa"/>
            <w:tcBorders/>
            <w:tcMar>
              <w:bottom w:w="0" w:type="dxa"/>
            </w:tcMar>
            <w:vAlign w:val="center"/>
          </w:tcPr>
          <w:p>
            <w:pPr>
              <w:pStyle w:val="TableContents"/>
              <w:bidi w:val="0"/>
              <w:spacing w:before="0" w:after="0"/>
              <w:ind w:left="200" w:right="0" w:hanging="0"/>
              <w:jc w:val="left"/>
              <w:rPr>
                <w:spacing w:val="4"/>
              </w:rPr>
            </w:pPr>
            <w:r>
              <w:rPr>
                <w:spacing w:val="4"/>
              </w:rPr>
              <w:t xml:space="preserve">Tranche A-2 Term Loan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746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746</w:t>
            </w:r>
          </w:p>
        </w:tc>
        <w:tc>
          <w:tcPr>
            <w:tcW w:w="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44" w:type="dxa"/>
            <w:tcBorders/>
            <w:shd w:fill="CCEEFF" w:val="clear"/>
            <w:tcMar>
              <w:bottom w:w="0" w:type="dxa"/>
            </w:tcMar>
            <w:vAlign w:val="center"/>
          </w:tcPr>
          <w:p>
            <w:pPr>
              <w:pStyle w:val="TableContents"/>
              <w:bidi w:val="0"/>
              <w:spacing w:before="0" w:after="0"/>
              <w:ind w:left="200" w:right="0" w:hanging="0"/>
              <w:jc w:val="left"/>
              <w:rPr/>
            </w:pPr>
            <w:r>
              <w:rPr>
                <w:spacing w:val="4"/>
              </w:rPr>
              <w:t>Revolving Credit Facility</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44" w:type="dxa"/>
            <w:tcBorders/>
            <w:tcMar>
              <w:bottom w:w="0" w:type="dxa"/>
            </w:tcMar>
            <w:vAlign w:val="center"/>
          </w:tcPr>
          <w:p>
            <w:pPr>
              <w:pStyle w:val="TableContents"/>
              <w:bidi w:val="0"/>
              <w:spacing w:before="0" w:after="0"/>
              <w:ind w:left="200" w:right="0" w:hanging="0"/>
              <w:jc w:val="left"/>
              <w:rPr>
                <w:spacing w:val="4"/>
              </w:rPr>
            </w:pPr>
            <w:r>
              <w:rPr>
                <w:spacing w:val="4"/>
              </w:rPr>
              <w:t xml:space="preserve">Existing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2,500</w:t>
            </w:r>
          </w:p>
        </w:tc>
        <w:tc>
          <w:tcPr>
            <w:tcW w:w="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4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Notes offered hereby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44" w:type="dxa"/>
            <w:tcBorders/>
            <w:tcMar>
              <w:bottom w:w="0" w:type="dxa"/>
            </w:tcMar>
            <w:vAlign w:val="center"/>
          </w:tcPr>
          <w:p>
            <w:pPr>
              <w:pStyle w:val="TableContents"/>
              <w:bidi w:val="0"/>
              <w:spacing w:before="0" w:after="0"/>
              <w:ind w:left="200" w:right="0" w:hanging="0"/>
              <w:jc w:val="left"/>
              <w:rPr/>
            </w:pPr>
            <w:r>
              <w:rPr>
                <w:spacing w:val="4"/>
              </w:rPr>
              <w:t>Total debt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3,936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left"/>
              <w:rPr>
                <w:sz w:val="4"/>
                <w:szCs w:val="4"/>
              </w:rPr>
            </w:pPr>
            <w:r>
              <w:rPr>
                <w:sz w:val="4"/>
                <w:szCs w:val="4"/>
              </w:rPr>
            </w:r>
          </w:p>
        </w:tc>
        <w:tc>
          <w:tcPr>
            <w:tcW w:w="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44" w:type="dxa"/>
            <w:tcBorders/>
            <w:shd w:fill="CCEEFF" w:val="clear"/>
            <w:tcMar>
              <w:bottom w:w="0" w:type="dxa"/>
            </w:tcMar>
            <w:vAlign w:val="center"/>
          </w:tcPr>
          <w:p>
            <w:pPr>
              <w:pStyle w:val="TableContents"/>
              <w:bidi w:val="0"/>
              <w:spacing w:before="0" w:after="283"/>
              <w:jc w:val="left"/>
              <w:rPr/>
            </w:pPr>
            <w:r>
              <w:rPr>
                <w:spacing w:val="-4"/>
              </w:rPr>
              <w:t>Stockholders’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44" w:type="dxa"/>
            <w:tcBorders/>
            <w:tcMar>
              <w:bottom w:w="0" w:type="dxa"/>
            </w:tcMar>
            <w:vAlign w:val="center"/>
          </w:tcPr>
          <w:p>
            <w:pPr>
              <w:pStyle w:val="TableContents"/>
              <w:bidi w:val="0"/>
              <w:spacing w:before="0" w:after="0"/>
              <w:ind w:left="400" w:right="0" w:hanging="200"/>
              <w:jc w:val="left"/>
              <w:rPr/>
            </w:pPr>
            <w:r>
              <w:rPr>
                <w:spacing w:val="4"/>
              </w:rPr>
              <w:t xml:space="preserve">Class A common stock, par value $0.01 per share, 600,000,000 shares authorized, </w:t>
            </w:r>
            <w:r>
              <w:rPr/>
              <w:br/>
            </w:r>
            <w:r>
              <w:rPr>
                <w:spacing w:val="4"/>
              </w:rPr>
              <w:t xml:space="preserve">170,513,905 shares issued and 120,284,257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2</w:t>
            </w:r>
          </w:p>
        </w:tc>
        <w:tc>
          <w:tcPr>
            <w:tcW w:w="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4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Treasury stock, 50,229,648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(3,733)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(3,733)</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44" w:type="dxa"/>
            <w:tcBorders/>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1,186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3" w:type="dxa"/>
            <w:tcBorders/>
            <w:tcMar>
              <w:bottom w:w="0" w:type="dxa"/>
            </w:tcMar>
            <w:vAlign w:val="center"/>
          </w:tcPr>
          <w:p>
            <w:pPr>
              <w:pStyle w:val="TableContents"/>
              <w:bidi w:val="0"/>
              <w:spacing w:before="0" w:after="283"/>
              <w:jc w:val="right"/>
              <w:rPr/>
            </w:pPr>
            <w:r>
              <w:rPr/>
              <w:t>1,186</w:t>
            </w:r>
          </w:p>
        </w:tc>
        <w:tc>
          <w:tcPr>
            <w:tcW w:w="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4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3,769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3" w:type="dxa"/>
            <w:tcBorders/>
            <w:shd w:fill="CCEEFF" w:val="clear"/>
            <w:tcMar>
              <w:bottom w:w="0" w:type="dxa"/>
            </w:tcMar>
            <w:vAlign w:val="center"/>
          </w:tcPr>
          <w:p>
            <w:pPr>
              <w:pStyle w:val="TableContents"/>
              <w:bidi w:val="0"/>
              <w:spacing w:before="0" w:after="283"/>
              <w:jc w:val="right"/>
              <w:rPr/>
            </w:pPr>
            <w:r>
              <w:rPr/>
              <w:t>3,769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44"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Accumulated other comprehensive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8" w:type="dxa"/>
            <w:tcBorders>
              <w:bottom w:val="single" w:sz="2" w:space="0" w:color="000000"/>
            </w:tcBorders>
            <w:tcMar>
              <w:bottom w:w="50" w:type="dxa"/>
            </w:tcMar>
            <w:vAlign w:val="center"/>
          </w:tcPr>
          <w:p>
            <w:pPr>
              <w:pStyle w:val="TableContents"/>
              <w:bidi w:val="0"/>
              <w:spacing w:before="0" w:after="283"/>
              <w:jc w:val="right"/>
              <w:rPr/>
            </w:pPr>
            <w:r>
              <w:rPr/>
              <w:t>(22)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803" w:type="dxa"/>
            <w:tcBorders>
              <w:bottom w:val="single" w:sz="2" w:space="0" w:color="000000"/>
            </w:tcBorders>
            <w:tcMar>
              <w:bottom w:w="50" w:type="dxa"/>
            </w:tcMar>
            <w:vAlign w:val="center"/>
          </w:tcPr>
          <w:p>
            <w:pPr>
              <w:pStyle w:val="TableContents"/>
              <w:bidi w:val="0"/>
              <w:spacing w:before="0" w:after="283"/>
              <w:jc w:val="right"/>
              <w:rPr/>
            </w:pPr>
            <w:r>
              <w:rPr/>
              <w:t>(22)</w:t>
            </w:r>
          </w:p>
        </w:tc>
        <w:tc>
          <w:tcPr>
            <w:tcW w:w="113"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74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8" w:type="dxa"/>
            <w:tcBorders>
              <w:bottom w:val="single" w:sz="2" w:space="0" w:color="000000"/>
            </w:tcBorders>
            <w:shd w:fill="CCEEFF" w:val="clear"/>
            <w:tcMar>
              <w:bottom w:w="50" w:type="dxa"/>
            </w:tcMar>
            <w:vAlign w:val="center"/>
          </w:tcPr>
          <w:p>
            <w:pPr>
              <w:pStyle w:val="TableContents"/>
              <w:bidi w:val="0"/>
              <w:spacing w:before="0" w:after="283"/>
              <w:jc w:val="right"/>
              <w:rPr/>
            </w:pPr>
            <w:r>
              <w:rPr/>
              <w:t>1,202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03" w:type="dxa"/>
            <w:tcBorders>
              <w:bottom w:val="single" w:sz="2" w:space="0" w:color="000000"/>
            </w:tcBorders>
            <w:shd w:fill="CCEEFF" w:val="clear"/>
            <w:tcMar>
              <w:bottom w:w="50" w:type="dxa"/>
            </w:tcMar>
            <w:vAlign w:val="center"/>
          </w:tcPr>
          <w:p>
            <w:pPr>
              <w:pStyle w:val="TableContents"/>
              <w:bidi w:val="0"/>
              <w:spacing w:before="0" w:after="283"/>
              <w:jc w:val="right"/>
              <w:rPr/>
            </w:pPr>
            <w:r>
              <w:rPr/>
              <w:t>1,202</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44" w:type="dxa"/>
            <w:tcBorders/>
            <w:tcMar>
              <w:bottom w:w="0" w:type="dxa"/>
            </w:tcMar>
            <w:vAlign w:val="center"/>
          </w:tcPr>
          <w:p>
            <w:pPr>
              <w:pStyle w:val="TableContents"/>
              <w:bidi w:val="0"/>
              <w:spacing w:before="0" w:after="0"/>
              <w:jc w:val="left"/>
              <w:rPr>
                <w:b/>
              </w:rPr>
            </w:pPr>
            <w:r>
              <w:rPr>
                <w:b/>
                <w:spacing w:val="-4"/>
              </w:rPr>
              <w:t>Total capitalization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8" w:type="dxa"/>
            <w:tcBorders>
              <w:bottom w:val="double" w:sz="8" w:space="0" w:color="000000"/>
            </w:tcBorders>
            <w:tcMar>
              <w:bottom w:w="50" w:type="dxa"/>
            </w:tcMar>
            <w:vAlign w:val="center"/>
          </w:tcPr>
          <w:p>
            <w:pPr>
              <w:pStyle w:val="TableContents"/>
              <w:bidi w:val="0"/>
              <w:spacing w:before="0" w:after="283"/>
              <w:jc w:val="right"/>
              <w:rPr/>
            </w:pPr>
            <w:r>
              <w:rPr/>
              <w:t>5,138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bottom w:val="double" w:sz="8" w:space="0" w:color="000000"/>
            </w:tcBorders>
            <w:tcMar>
              <w:bottom w:w="50" w:type="dxa"/>
            </w:tcMar>
            <w:vAlign w:val="center"/>
          </w:tcPr>
          <w:p>
            <w:pPr>
              <w:pStyle w:val="TableContents"/>
              <w:bidi w:val="0"/>
              <w:spacing w:before="0" w:after="283"/>
              <w:jc w:val="right"/>
              <w:rPr/>
            </w:pPr>
            <w:r>
              <w:rPr/>
              <w:t>$</w:t>
            </w:r>
          </w:p>
        </w:tc>
        <w:tc>
          <w:tcPr>
            <w:tcW w:w="803" w:type="dxa"/>
            <w:tcBorders>
              <w:bottom w:val="double" w:sz="8" w:space="0" w:color="000000"/>
            </w:tcBorders>
            <w:tcMar>
              <w:bottom w:w="5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in the “As Adjusted” column reflect the use of proceeds of this offering. See “Use of Proceeds.” </w:t>
      </w:r>
      <w:r>
        <mc:AlternateContent>
          <mc:Choice Requires="wps">
            <w:drawing>
              <wp:anchor behindDoc="0" distT="1524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no outstanding borrowings under the Revolving Credit Facility, and approximately $1.5 billion remained available to be drawn.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Amounts shown reflect unamortized debt issuance costs and discount on debt of $24.0 million as of June 30, 2026 and do not reflect debt issuance costs incurred in connection with this offering of notes.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DON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 AND NOTE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Issuer will issue the notes under an indenture (as amended or supplemented from time to time, the “base indenture”) among itself, Booz Allen Hamilton Holding Corporation, as parent guarantor and U.S. Bank Trust Company, National Association, as trustee (the “trustee”), as supplemented by a third supplemental indenture to be entered into by the Issuer, Booz Allen Hamilton Holding Corporation, and the trustee concurrently with the delivery of the notes (the “third supplemental indenture” and, together with the base indenture, the “indenture”).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We set forth below a summary description of the material terms of the notes. This description supplements, and should be read together with, the description of the general terms and provisions of our debt securities set forth in the accompanying prospectus under “Description of Debt Securities.” Because this is a summary, it does not contain all the information that may be important to you. The following description of specific terms of the notes is qualified in its entirety by reference to the provisions of the indenture, including the definitions of certain terms contained therein and those terms made part of the indenture by reference to the Trust Indenture Act of 1939, as amended (the “Trust Indenture Act”). Capitalized and other terms not otherwise defined in this prospectus supplement have the meanings given to them in the indenture. As used in this “Description of Notes and Note Guarantee,” the “Issuer” refers to Booz Allen Hamilton Inc., and the “Parent Guarantor” refers to Booz Allen Hamilton Holding Corporation. Such terms do not, unless the context otherwise indicates, include the subsidiaries of such entities. The terms of the notes include those stated in the indenture and those which are made a part of the indenture by the Trust Indenture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an initial aggregate principal amount of $     .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may from time to time, without notice to, or the consent of, the registered holders of the notes, create and issue additional notes of the same series as either series of notes ranking equally and ratably with the notes of such series offered hereby in all respects, so that such additional notes of such series will be consolidated and form a single series with the notes of such series and will have the same terms as to status, redemption or otherwise as the notes of such series (other than the date of issuance and, under certain circumstances, the first interest payment date and the date from which interest thereon will begin to accrue), provided that if such additional notes are not fungible with the original notes of such series for U.S. federal income tax purposes, such additional notes will have a separate CUSIP number.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the notes are set forth below: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 Notes due 20   and    % Notes due 20  . </w:t>
      </w:r>
      <w:r>
        <mc:AlternateContent>
          <mc:Choice Requires="wps">
            <w:drawing>
              <wp:anchor behindDoc="0" distT="7239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maturity date: The 20   notes will mature on             , 20   and              the 20  notes will mature on             , 20  . </w:t>
      </w:r>
      <w:r>
        <mc:AlternateContent>
          <mc:Choice Requires="wps">
            <w:drawing>
              <wp:anchor behindDoc="0" distT="7239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of notes: The notes will be issued only in registered form, without coupons, in minimum denominations of $2,000 and integral multiples of $1,000 in excess thereof. The notes will be in the form of one or more global notes that the Issuer will deposit with or on behalf of DTC. </w:t>
      </w:r>
      <w:r>
        <mc:AlternateContent>
          <mc:Choice Requires="wps">
            <w:drawing>
              <wp:anchor behindDoc="0" distT="7239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Sinking fund: The notes will not be subject to any sinking fund. </w:t>
      </w:r>
      <w:r>
        <mc:AlternateContent>
          <mc:Choice Requires="wps">
            <w:drawing>
              <wp:anchor behindDoc="0" distT="7239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indenture, as described in the accompanying prospectus, pertaining to each of the following will apply to the notes: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 and waiver (see “Description of Debt Securities — Modification and Waiver” in the accompanying prospectus); and </w:t>
      </w:r>
      <w:r>
        <mc:AlternateContent>
          <mc:Choice Requires="wps">
            <w:drawing>
              <wp:anchor behindDoc="0" distT="7239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defeasance and satisfaction and discharge of the indenture (see “Description of Debt Securities — Discharge, Legal Defeasance and Covenant Defeasance” in the accompanying prospectus). </w:t>
      </w:r>
      <w:r>
        <mc:AlternateContent>
          <mc:Choice Requires="wps">
            <w:drawing>
              <wp:anchor behindDoc="0" distT="7239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The 20   notes will bear interest at the rate of     % per annum, and the 20   notes will bear interest at the rate of    % per annum.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interest starts accruing: Interest on the notes will start accruing on             , 2026. </w:t>
      </w:r>
      <w:r>
        <mc:AlternateContent>
          <mc:Choice Requires="wps">
            <w:drawing>
              <wp:anchor behindDoc="0" distT="0" distB="0" distL="254000" distR="0" simplePos="0" locked="0" layoutInCell="1" allowOverlap="1" relativeHeight="43">
                <wp:simplePos x="0" y="0"/>
                <wp:positionH relativeFrom="column">
                  <wp:align>left</wp:align>
                </wp:positionH>
                <wp:positionV relativeFrom="line">
                  <wp:posOffset>635</wp:posOffset>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payment dates: Interest on the notes will be paid in arrears on              and              of each year.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interest payment date: The first interest payment on the notes will be made on             , 2027.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Regular record dates for interest: The regular record dates for interest on the notes will be              and              of each year.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Computation of interest: Interest on the notes will be computed on the basis of a 360-day year consisting of twelve 30-day months.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senior unsecured obligations of the Issuer and will rank: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equally in right of payment with all existing and future senior indebtedness of the Issuer (including indebtedness under the Credit Agreement and the Existing Notes);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in right of payment to any future subordinated indebtedness of the Issuer;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effectively subordinated to all existing and future secured indebtedness of the Issuer to the extent of the value of the assets securing such indebtedness; and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structurally subordinated to all existing and future indebtedness and other liabilities of the Issuer.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before giving effect to the offering of $             of notes hereby and the use of proceeds therefrom, the Company had approximately $3.9 billion of indebtedness on a consolidated basis, all of which was unsecured, and the Revolving Credit Facility provided the Issuer with commitments of $1.5 billion, of which approximately $1.5 billion was available to be drawn. In addition, as of June 30, 2026, subsidiaries of the Company, other than the Issuer, had approximately $318 million of total liabilities (including trade payables but excluding intercompany liabilities) and such subsidiaries’ total assets accounted for approximately 27% of the Company’s consolidated total assets (as defined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Parent Guarantor will fully and unconditionally guarantee to each holder of notes the due and punctual payment of the principal of, and interest and any premium on, the notes, when and as the same becomes due and payable, whether at maturity, upon acceleration or otherwise. The Parent Guarantor’s guarantee will remain in full force and effect until payment in full of the notes or the Parent Guarantor is released from such guarantee in compliance with the section entitled “Limitation on consolidation, merger and sale of assets of the Parent Guarantor” in this prospectus supplement or the section entitled “Description of Debt Securities — Discharge, Legal Defeasance and Covenant Defeasance” in the accompanying prospectus. See “Description of Debt Securities — Certain Terms of the Debt Securities of Booz Allen Hamilton — Parent Guarantee” in the accompanying prospectus. The guarantee will rank: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equally in right of payment with all existing and future senior indebtedness of the Parent Guarantor (including the Parent Guarantor’s guarantee of indebtedness under the Credit Agreement and the Existing Notes);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in right of payment to any future subordinated indebtedness of the Parent Guarantor;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effectively subordinated to all existing and future secured indebtedness of the Parent Guarantor to the extent of the value of the assets securing such indebtedness; and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structurally subordinated to all existing and future indebtedness and other liabilities of each of the Parent Guarantor’s subsidiaries, other than the Issuer.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for the 20   notes (   months prior to their maturity date) and              for the 20   notes (   months prior to their maturity date) (each, a “Par Call Date”) and other than in connection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Special Mandatory Redemption, the Issuer may redeem the 20    notes and/or the 20    notes, in each case, at its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basis points, in the case of the 20    notes, and        basis points, in the case of the 20    notes, less, in each case (b) interest accrued to, but excluding, the redemption date, and </w:t>
      </w:r>
      <w:r>
        <mc:AlternateContent>
          <mc:Choice Requires="wps">
            <w:drawing>
              <wp:anchor behindDoc="0" distT="10033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notes of such series to be redeemed, </w:t>
      </w:r>
      <w:r>
        <mc:AlternateContent>
          <mc:Choice Requires="wps">
            <w:drawing>
              <wp:anchor behindDoc="0" distT="10033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on the principal amount being redeemed to, but excluding,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the Issuer may redeem the 20    notes and/or the 20    notes, in each case, in whole or in part, at any time and from time to time, at a redemption price equal to 100% of the principal amount of the notes of such series being redeemed plus accrued and unpaid interest on the principal amount being redeemed to, but excluding, the redemption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Treasury Rate</w:t>
      </w:r>
      <w:r>
        <w:rPr>
          <w:rFonts w:ascii="Times New Roman;Times;serif" w:hAnsi="Times New Roman;Times;serif"/>
          <w:b w:val="false"/>
          <w:i w:val="false"/>
          <w:caps w:val="false"/>
          <w:smallCaps w:val="false"/>
          <w:color w:val="000000"/>
          <w:spacing w:val="4"/>
          <w:sz w:val="20"/>
        </w:rPr>
        <w:t xml:space="preserve">” means, with respect to any redemption date, the yield determined by the Issuer in accordance with the following two paragraphs.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Issuer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actions and determinations in determining the redemption price shall be conclusive and binding for all purposes, absent manifest error.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of such series may, at the Issuer’s discretion, be given subject to the satisfaction or waiver of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so subject to satisfaction or waiver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shall notify holders of any such rescission as soon as practicable after the Issuer determines that such conditions precedent will not be able to be satisfied or the Issuer is not able or willing to waive such conditions precedent, in each case subject to policies and procedures of DTC (or any successor depositary). In any event, the Issuer shall provide written notice to the trustee at least two business days prior to the relevant redemption date if any such redemption has been rescinded or delayed, and upon receipt of such notice the trustee shall provide such notice to each holder of the notes in the same manner in which the notice of redemption was given. Once notice of redemption is mailed or otherwise given in accordance with the procedures of DTC, subject to the satisfaction of any conditions precedent provided in the notice of redemption, the notes called for redemption will become due and payable on the redemption date and at the applicable redemption price as set forth above under “— Optional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for redemption will be made pro rata, by lot or by such other method as the trustee in its sole discretion deems appropriate and fair in accordance with the applicable depositary procedures and any applicable stock exchange.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Issuer defaults in payment of the redemption price, on and after the redemption date interest will cease to accrue on the notes or portions thereof called for redemption, subject to the satisfaction or waiver of any conditions precedent specified in the related notice of redemption.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mandatory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the Purchase Agreement is terminated on or at any time prior to December 19, 2026 without the Ultra Mission Solutions Acquisition having been consummated or (b) the Ultra Mission Solutions Acquisition is not consummated on or at any time prior to the later of (a) December 19, 2026 and (b) the date that is five business days after any later date to which the parties to the Purchase Agreement agree to extend the Termination Date (as defined in the Purchase Agreement) pursuant to the Purchase Agreement, the Issuer will redeem all of the 20   notes (the “Special Mandatory Redemption”) at a price (the “Special Mandatory Redemption Price”) equal to 101% of the aggregate outstanding principal amount of such 20   notes, plus accrued and unpaid interest from the last date on which interest was paid or, if interest has not been paid, the date of original issuance of such 20   notes to, but excluding, the Special Mandatory Redemption Date. The “Special Mandatory Redemption Date” means the earlier to occur of (1) the tenth business day following the later of (a) December 19, 2026 and (b) the date that is five business days after any later date to which the parties to the Purchase Agreement agree to extend the Termination Date (as defined in the Purchase Agreement) pursuant to the Purchase Agreement, in each case, if the Ultra Mission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Solutions Acquisition has not been consummated on or prior to such date, or (2) the tenth business day following the termination of the Purchase Agreement for any reason without the Ultra Mission Solutions Acquisition having been consummated. Notwithstanding the foregoing, installments of interest on the 20   notes that are due and payable on interest payment dates falling on or prior to the Special Mandatory Redemption Date will be payable on such interest payment dates to the holders as of the close of business on the relevant record dates in accordance with such 20   notes and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will cause the notice of Special Mandatory Redemption to be mailed or otherwise delivered in accordance with the applicable procedures of DTC, with a copy to the Trustee, within five business days after the occurrence of the event triggering the Special Mandatory Redemption to each holder of 20   notes at its registered address. If funds sufficient to pay the Special Mandatory Redemption Price of the 20   notes to be redeemed on the Special Mandatory Redemption Date are deposited with the Trustee or a paying agent on or before such Special Mandatory Redemption Date, on and after such Special Mandatory Redemption Date, the 20   notes will cease to bear interest and, other than the right to receive the Special Mandatory Redemption Price, all rights under such 20   notes shall terminate.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notes are not subject to the Special Mandatory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the closing of the Ultra Mission Solutions Acquisition, the foregoing provisions regarding the Special Mandatory Redemption will cease to apply.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Mandatory redemption; open market purchases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above under “— Special mandatory redemption,” the Issuer is not required to make any mandatory redemption or sinking fund payments with respect to the notes. However, under certain circumstances, the Issuer may be required to offer to purchase the notes as described under the caption “— Change of control offer to repurchase.”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may acquire notes, from time to time and at any time, by means other than a redemption, whether by tender offer, open market purchases, negotiated transactions or otherwise, in accordance with applicable securities laws, so long as such acquisition does not otherwise violate the terms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 offer to repurchase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Triggering Event occurs, unless the Issuer has exercised its right to redeem the notes in full, as described under “— Optional redemption,” holders of notes offered hereby will have the right to require the Issuer to repurchase all or a portion of such holder’s notes pursuant to the offer described below (the “Change of Control Offer”), at a purchase price equal to 101% of the principal amount thereof plus accrued and unpaid interest, if any, to, but excluding, the date of repurchase, subject to the rights of holders of notes on the relevant record date to receive interest due on the relevant interest payment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Within 30 days following the date upon which the Change of Control Triggering Event occurred, or at the Issuer’s option, prior to any Change of Control but after the public announcement of the pending Change of Control, the Issuer will be required to send, by first class mail, or otherwise deliver in accordance with the applicable procedures or regulations of DTC, a notice to holders of notes not previously redeemed, with a copy to the trustee. Such notice will set forth the terms of the Change of Control Offer and state, among other things, the repurchase date, which must be no earlier than 30 days nor later than 60 days from the date such notice is mailed, or otherwise delivered to each holder in accordance with the applicable procedures of DTC, other than as may be required by law (the “Change of Control Payment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such notice may be sent more than 60 days prior to the Change of Control Payment Date if such notice is sent in accordance with the following sentence. The notice, if mailed or otherwise delivered to each holder in accordance with the applicable procedures of DTC prior to the date of consummation of the Change of Control, may state that the Change of Control Offer is conditioned on the Change of Control being consummated on or prior to the Change of Control Payment Date. Holders of notes not previously redeemed electing to have their notes repurchased pursuant to a Change of Control Offer will be required to surrender their notes, with the form entitled “Option of Holder to Elect Purchase” on the reverse of the note completed, to the paying agent at the address specified in the notice, or transfer their notes to the paying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 by book-entry transfer pursuant to the applicable procedures of the paying agent, prior to the close of business on the third business day prior to the Change of Control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will not be required to make a Change of Control Offer if a third party makes such an offer in the manner, at the times and otherwise in compliance with the requirements for such an offer made by the Issuer and such third party purchases all notes properly tendered and not withdrawn under its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will comply with the requirements of Rule 14e-1 under the Exchange Act and any other securities laws and regulations thereunder to the extent those laws and regulations are applicable in connection with the repurchase of notes as a result of a Change of Control Triggering Event. To the extent that the provisions of any such securities laws or regulations conflict with the Change of Control Offer provisions of the notes, the Issuer will comply with those securities laws and regulations and will not be deemed to have breached its obligations under the Change of Control Offer provisions of the notes by virtue of any such conflict.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“Change of Control” includes a phrase relating to the direct or indirect sale, lease, transfer, conveyance or other disposition of “all or substantially all” of the assets of the Parent Guarantor and its subsidiaries, or the Issuer and its subsidiaries, taken as a whole. There is a limited body of case law interpreting the phrase “substantially all,” and there is no precise, established definition of the phrase under applicable law. Accordingly, the ability of a holder of notes offered hereby to require the Issuer to repurchase such senior as a result of a sale, lease, transfer, conveyance or other disposition of less than all of the assets of the Parent Guarantor and its subsidiaries, or the Issuer and its subsidiaries, taken as a whole, to another “person” ​(as that term is used in Section 13(d)(3) of the Exchange Act) may be uncertain.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Change of Control Offer discussion above, the following definitions are applicable: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Below Investment Grade Rating Event</w:t>
      </w:r>
      <w:r>
        <w:rPr>
          <w:rFonts w:ascii="Times New Roman;Times;serif" w:hAnsi="Times New Roman;Times;serif"/>
          <w:b w:val="false"/>
          <w:i w:val="false"/>
          <w:caps w:val="false"/>
          <w:smallCaps w:val="false"/>
          <w:color w:val="000000"/>
          <w:spacing w:val="4"/>
          <w:sz w:val="20"/>
        </w:rPr>
        <w:t xml:space="preserve">” means that the notes become rated below Investment Grade by each of the Rating Agencies on any date from the date of the first public notice by the Parent Guarantor or the Issuer of an arrangement that results in a Change of Control until the end of the 30-day period following public notice by the Parent Guarantor or the Issuer of the occurrence of a Change of Control (which period will be extended for an additional 30 days if the rating of the notes is under publicly announced consideration for possible downgrade by any of the Rating Agencies);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a Below Investment Grade Rating Event otherwise arising by virtue of a particular reduction in rating will not be deemed to have occurred in respect of a particular Change of Control (and thus will not be deemed a Below Investment Grade Rating Event for purposes of the definition of Change of Control Triggering Event), if the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Change of Control</w:t>
      </w:r>
      <w:r>
        <w:rPr>
          <w:rFonts w:ascii="Times New Roman;Times;serif" w:hAnsi="Times New Roman;Times;serif"/>
          <w:b w:val="false"/>
          <w:i w:val="false"/>
          <w:caps w:val="false"/>
          <w:smallCaps w:val="false"/>
          <w:color w:val="000000"/>
          <w:spacing w:val="4"/>
          <w:sz w:val="20"/>
        </w:rPr>
        <w:t xml:space="preserve">” means the occurrence of any one of the following: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Issuer becomes aware of the acquisition by any “person” or group (within the meaning of Section 13(d)(3) or Section 14(d)(2) of the Exchange Act, or any successor provision) other than one or more Permitted Parents, including any group acting for the purpose of acquiring, holding or disposing of securities (within the meaning of Rule 13d-5(b)(1) under the Exchange Act), but excluding any employee benefit plan of such “person” and its subsidiaries, and any “person” acting in its capacity as trustee, agent or other fiduciary or administrator of such plan, in a single transaction or in a related series of transactions, by way of merger, consolidation or other business combination or purchase of equity interests or otherwise, of beneficial ownership (within the meaning of Rule 13d-3 under the Exchange Act, or any successor provision) of Voting Stock of the Issuer representing more than 50.0% of the total voting power of the Voting Stock of the Issuer,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(x) so long as the Issuer is a subsidiary of any Permitted Parent, no “person” or group shall be deemed to be or become a beneficial owner of Voting Stock of the Issuer representing more than 50.0% of the total voting power of the Voting Stock of the Issuer unless such “person” or group shall be or become a beneficial owner of Voting Stock of such Permitted Parent representing more than 50.0% of the total voting power of the Voting Stock of such Permitted </w:t>
      </w:r>
      <w:r>
        <mc:AlternateContent>
          <mc:Choice Requires="wps">
            <w:drawing>
              <wp:anchor behindDoc="0" distT="10160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(other than a Permitted Parent that is a subsidiary of another Permitted Parent) and (y) any Voting Stock of which any Permitted Parent is the beneficial owner shall not in any case be included in any Voting Stock of which any such “person” or group is the beneficial owner; or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sale, lease or transfer, in one or a series of related transactions, of all or substantially all the assets of the Issuer and its subsidiaries, taken as a whole, to a “person” and any “person” or group (as defined in clause (1) above) other than one or more Permitted Parents that is or becomes the beneficial owner (within the meaning of Rule 13d-3 under the Exchange Act, or any successor provision) of Voting Stock of the transferee person in such sale, lease or transfer of assets representing more than 50.0% of the total voting power of the Voting Stock of such transferee “person,”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(x) so long as such transferee person is a subsidiary of a parent person, no “person” or group shall be deemed to be or become a beneficial owner of Voting Stock of the transferee person in such sale, lease or transfer of assets representing more than 50.0% of the total voting power of the Voting Stock of such transferee person unless such “person” or group shall be or become a beneficial owner of Voting Stock of such parent person representing more than 50.0% of the total voting power of the Voting Stock of such parent person (other than a Permitted Parent that is a subsidiary of another Permitted Parent) and (y) any Voting Stock of which any Permitted Parent is the beneficial owner shall not in any case be included in any Voting Stock of which any such “person” or group is the beneficial owner. </w:t>
      </w:r>
      <w:r>
        <mc:AlternateContent>
          <mc:Choice Requires="wps">
            <w:drawing>
              <wp:anchor behindDoc="0" distT="10414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Change of Control Triggering Event</w:t>
      </w:r>
      <w:r>
        <w:rPr>
          <w:rFonts w:ascii="Times New Roman;Times;serif" w:hAnsi="Times New Roman;Times;serif"/>
          <w:b w:val="false"/>
          <w:i w:val="false"/>
          <w:caps w:val="false"/>
          <w:smallCaps w:val="false"/>
          <w:color w:val="000000"/>
          <w:spacing w:val="4"/>
          <w:sz w:val="20"/>
        </w:rPr>
        <w:t xml:space="preserve">” means the occurrence of both a Change of Control and a Below Investment Grade Rating Event. Notwithstanding the foregoing, no Change of Control Triggering Event will be deemed to have occurred in connection with any particular Change of Control unless and until such Change of Control has actually been consummated.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Investment Grade</w:t>
      </w:r>
      <w:r>
        <w:rPr>
          <w:rFonts w:ascii="Times New Roman;Times;serif" w:hAnsi="Times New Roman;Times;serif"/>
          <w:b w:val="false"/>
          <w:i w:val="false"/>
          <w:caps w:val="false"/>
          <w:smallCaps w:val="false"/>
          <w:color w:val="000000"/>
          <w:spacing w:val="4"/>
          <w:sz w:val="20"/>
        </w:rPr>
        <w:t xml:space="preserve">” means a rating of BBB- or better by S&amp;P (or its equivalent under any successor rating category of S&amp;P) or a rating of Baa3 or better by Moody’s (or its equivalent under any successor rating category of Moody’s).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Moody’s</w:t>
      </w:r>
      <w:r>
        <w:rPr>
          <w:rFonts w:ascii="Times New Roman;Times;serif" w:hAnsi="Times New Roman;Times;serif"/>
          <w:b w:val="false"/>
          <w:i w:val="false"/>
          <w:caps w:val="false"/>
          <w:smallCaps w:val="false"/>
          <w:color w:val="000000"/>
          <w:spacing w:val="4"/>
          <w:sz w:val="20"/>
        </w:rPr>
        <w:t xml:space="preserve">” means Moody’s Investors Service, Inc., and its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Permitted Parent</w:t>
      </w:r>
      <w:r>
        <w:rPr>
          <w:rFonts w:ascii="Times New Roman;Times;serif" w:hAnsi="Times New Roman;Times;serif"/>
          <w:b w:val="false"/>
          <w:i w:val="false"/>
          <w:caps w:val="false"/>
          <w:smallCaps w:val="false"/>
          <w:color w:val="000000"/>
          <w:spacing w:val="4"/>
          <w:sz w:val="20"/>
        </w:rPr>
        <w:t>” means (</w:t>
      </w:r>
      <w:r>
        <w:rPr>
          <w:rFonts w:ascii="Times New Roman;Times;serif" w:hAnsi="Times New Roman;Times;serif"/>
          <w:b w:val="false"/>
          <w:i w:val="false"/>
          <w:caps w:val="false"/>
          <w:smallCaps w:val="false"/>
          <w:color w:val="000000"/>
          <w:spacing w:val="4"/>
          <w:sz w:val="20"/>
          <w:u w:val="single"/>
        </w:rPr>
        <w:t>i</w:t>
      </w:r>
      <w:r>
        <w:rPr>
          <w:rFonts w:ascii="Times New Roman;Times;serif" w:hAnsi="Times New Roman;Times;serif"/>
          <w:b w:val="false"/>
          <w:i w:val="false"/>
          <w:caps w:val="false"/>
          <w:smallCaps w:val="false"/>
          <w:color w:val="000000"/>
          <w:spacing w:val="4"/>
          <w:sz w:val="20"/>
        </w:rPr>
        <w:t>) Booz Allen Hamilton Holding Corporation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any person of which the Issuer becomes a subsidiary after the issue date of the notes that is designated by the Issuer as a “Permitted Parent” and solely for so long as the Issuer remains a subsidiary of such “person;”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immediately after the Issuer first becomes a subsidiary of such “person,” more than 50.0% of the Voting Stock of such person shall be held by one or more persons that held more than 50.0% of the Voting Stock of the Issuer or a Permitted Parent of the Issuer immediately prior to the Issuer first becoming such a subsidiary.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Rating Agency</w:t>
      </w:r>
      <w:r>
        <w:rPr>
          <w:rFonts w:ascii="Times New Roman;Times;serif" w:hAnsi="Times New Roman;Times;serif"/>
          <w:b w:val="false"/>
          <w:i w:val="false"/>
          <w:caps w:val="false"/>
          <w:smallCaps w:val="false"/>
          <w:color w:val="000000"/>
          <w:spacing w:val="4"/>
          <w:sz w:val="20"/>
        </w:rPr>
        <w:t xml:space="preserve">” means (1) each of S&amp;P and Moody’s and (2) if any of S&amp;P or Moody’s ceases to rate the notes or fails to make a rating of the notes publicly available for reasons outside of the Issuer’s control, a “nationally recognized statistical rating organization” as defined in Section 3(a)(62) of the Exchange Act, selected by the Issuer (as certified by a resolution of the board of directors of the Parent Guarantor and reasonably acceptable to the trustee) as a replacement agency for S&amp;P or Moody’s, or both of them, as the case may be.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S&amp;P</w:t>
      </w:r>
      <w:r>
        <w:rPr>
          <w:rFonts w:ascii="Times New Roman;Times;serif" w:hAnsi="Times New Roman;Times;serif"/>
          <w:b w:val="false"/>
          <w:i w:val="false"/>
          <w:caps w:val="false"/>
          <w:smallCaps w:val="false"/>
          <w:color w:val="000000"/>
          <w:spacing w:val="4"/>
          <w:sz w:val="20"/>
        </w:rPr>
        <w:t xml:space="preserve">” means S&amp;P Global Ratings, a division of S&amp;P Global, Inc., and its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Voting Stock</w:t>
      </w:r>
      <w:r>
        <w:rPr>
          <w:rFonts w:ascii="Times New Roman;Times;serif" w:hAnsi="Times New Roman;Times;serif"/>
          <w:b w:val="false"/>
          <w:i w:val="false"/>
          <w:caps w:val="false"/>
          <w:smallCaps w:val="false"/>
          <w:color w:val="000000"/>
          <w:spacing w:val="4"/>
          <w:sz w:val="20"/>
        </w:rPr>
        <w:t xml:space="preserve">” of any specified person as of any date means any and all shares or equity interests (however designated) of such person that are at the time entitled to vote generally in the election of the board of directors, managers or trustees of such person, as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Reporting covenant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the Parent Guarantor is subject to the reporting requirements of Section 13 or Section 15(d) of the Exchange Act, the Issuer will be required to comply with Section 314(a) of the Trust Indenture Act of 1939, as amended, as in effect from time to time (the “TIA”) insofar as it relates to information, documentations, and other reports which the Parent Guarantor may be required to file with the SEC pursuant to Section 13 or Section 15(d) of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notice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shall constitute “events of default” under the indenture with respect to the notes: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failure to pay any interest on any note when due and payable, continued for 30 days;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failure to pay principal of or premium, if any, on any note when due, whether at maturity, redemption, acceleration or otherwise;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failure to observe or perform any other of its covenants or agreements with respect to the notes for 90 days; however, a default under this subsection will not constitute an event of default until the trustee or the holders of at least 30% in the aggregate principal amount of the notes notify in writing the Issuer of the default and such default is not cured within 90 days after receipt of such notice;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by the Issuer to pay the principal amount of Indebtedness (other than Indebtedness owing to the Issuer, the Parent Guarantor or any Subsidiary of the Issuer) which results in a principal amount in excess of $120.0 million becoming or being declared due and payable prior to the date on which it would otherwise have become due, and such acceleration has not been rescinded or annulled or such indebtedness has not been discharged within 30 days after the issuer receives written notice of such default;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reorganization, winding up or liquidation of the Issuer or Parent Guarantor; and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 guarantee by the Parent Guarantor ceases to be in full force and effect (except as contemplated by the terms of the indenture) or is declared null and void in a judicial proceeding or the Parent Guarantor denies or disaffirms its obligations under the indenture or the note guarantee, and such default continues for 10 days.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involving certain events of bankruptcy, insolvency, reorganization, winding up or liquidation of the Issuer) with respect to the notes shall occur and be continuing, the trustee or the holders of at least 30% in aggregate principal amount of the notes outstanding may declare, by notice as provided in the indenture, the principal amount of all the notes outstanding (or such lesser amount as may be provided for in the notes) to be due and payable immediately. In the case of an event of default involving certain events of bankruptcy, insolvency, reorganization, winding up or liquidation, the principal amount of all notes outstanding will automatically become due and payable immediately. After any such acceleration, but before a judgment or decree based on acceleration, the holders of a majority in aggregate principal amount of the outstanding notes may, under certain circumstances, rescind and annul such acceleration if all events of default, other than the nonpayment of accelerated principal, have been cured or waived.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declaration of any existing or past default under any of the indenture with respect to the notes may be waived, rescinded or cancelled, and any event of default arising therefrom may be waived by the holders of a majority in aggregate principal amount of all notes outstanding under the indenture if such waiver, rescission or cancellation would not conflict with any judgment or decree, except a continuing default or event of default in the case of the payment of the principal of (or premium, if any) or interest on any notes. Upon any such waiver, such default shall cease to exist, and any event of default with respect to the notes shall be deemed to have been cured, for every purpose of the indenture; but no such waiver shall extend to any subsequent or other default or event of default or impair any right consequent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trustee is required, within 90 days after notification of a default (of which a responsible officer of the trustee has received written notice and which is continuing), with respect to the notes (without regard to any grace period or notice requirements), to give to the holders of the notes notice of such default;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except in the case of a default in the payment of the principal of (and premium, if any) or interest on any note, the trustee shall be protected in withholding such notice if it in good faith determines that the withholding of such notice is in the interests of the holders of the notes. The trustee will not be deemed to have actual knowledge of any defaults or events of default unless written notice of such event has been received by a responsible officer of the trustee at its corporate trust office specified in the indenture and each notice references the notes and the indenture and states that it is a “Notice of Default.”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require indemnification satisfactory to it by the holders of the notes with respect to which a continuing default has occurred before proceeding to exercise any right or power under the indenture at the request of the holders of the notes. Subject to such right of indemnification and to certain other limitations, the holders of a majority in aggregate principal amount of the outstanding notes under the indenture may direct the time, method and place of conducting any proceeding for any remedy available to the trustee, or exercising any trust or power conferred on the trustee with respect to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 note may institute any action against the Issuer or the Parent Guarantor under the indenture (except actions for payment of overdue principal of (and premium, if any) or interest on such note or for the conversion or exchange of such note in accordance with its terms) unless (i) the holder has given to the trustee written notice of an event of default and of the continuance thereof with respect to the notes specifying an event of default, as required under the indenture, (ii) the holders of at least 30% in aggregate principal amount of the notes then outstanding under the indenture shall have requested the trustee in writing to institute such action, (iii) such holder or holders shall have offered to the trustee indemnity satisfactory to it against the loss, liabilities or expenses to be incurred in compliance with such request, (iv) the trustee shall not have instituted such action within 60 days of such request and the offer of security or indemnity, and (v) during such 60-day period, the holders of a majority in principal amount of the notes do not give the trustee a direction inconsistent with the request.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in the case of a default in the payment of principal of or premium, if any, or interest on any notes, when the same has become due and payable, and in the case of any payment of interest, such default has continued for 30 days, the trustee or the holder of any debt security may or, if directed by the holders of at least a majority in aggregate principal amount of the notes then outstanding under the indenture the trustee shall, subject to the provisions of the indenture, demand payment of the amount then due and payable and may institute legal proceedings for the collection of such amount if the Issuer fails to make payment thereof upon demand.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will be required to furnish annually to the trustee statements as to its compliance with all conditions and covenants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consolidation, merger, sale of assets and other transactions of the Issuer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so long as any notes are outstanding, (i) the Issuer may not consolidate, merge or amalgamate with or into or wind up into (whether or not such issuer is the surviving entity) another entity, and (ii) the Issuer may not sell, assign, transfer, lease, convey or otherwise dispose of all or substantially all of its properties or assets in one or more related transactions to another entity,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is the surviving corporation; or the entity formed by or surviving any such consolidation, merger, amalgamation or winding up or to which such sale, assignment, transfer, lease or conveyance has been made (the “Successor Company”), if other than the Issuer, is organized and validly existing under the laws of the United States of America, any State thereof, the District of Columbia, or any territory thereof;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Company (if other than the Issuer) expressly assumes all the obligations of such issuer under the applicable indenture and the notes pursuant to supplemental indentures or other documents or instruments;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(and treating any indebtedness that becomes an obligation of the Successor Company as a result of such transaction as having been incurred by the Successor Company at the time of such transaction), no event of default has occurred and is continuing;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Successor Company is other than the Issuer, the Parent Guarantor, unless it is the other party to the transactions described above, shall have by supplemental indenture confirmed that the note guarantee it provided shall apply to such entity’s obligations under the indenture and the notes; and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Issuer delivers to the trustee an officers’ certificate and an opinion of counsel, each stating that such consolidation, merger, amalgamation or disposition complies with the indenture;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opinion of counsel will be required for a transaction described in the second sentence of the immediately following paragraph.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Successor Company will succeed to, and be substituted for, the Issuer under the indenture and the notes, and the Issuer will automatically be released and discharged from its obligations under the indenture and the notes. Notwithstanding the foregoing, subject to the indenture, (</w:t>
      </w:r>
      <w:r>
        <w:rPr>
          <w:rFonts w:ascii="Times New Roman;Times;serif" w:hAnsi="Times New Roman;Times;serif"/>
          <w:b w:val="false"/>
          <w:i w:val="false"/>
          <w:caps w:val="false"/>
          <w:smallCaps w:val="false"/>
          <w:color w:val="000000"/>
          <w:spacing w:val="4"/>
          <w:sz w:val="20"/>
          <w:u w:val="single"/>
        </w:rPr>
        <w:t>a</w:t>
      </w:r>
      <w:r>
        <w:rPr>
          <w:rFonts w:ascii="Times New Roman;Times;serif" w:hAnsi="Times New Roman;Times;serif"/>
          <w:b w:val="false"/>
          <w:i w:val="false"/>
          <w:caps w:val="false"/>
          <w:smallCaps w:val="false"/>
          <w:color w:val="000000"/>
          <w:spacing w:val="4"/>
          <w:sz w:val="20"/>
        </w:rPr>
        <w:t>) the Issuer may consolidate or amalgamate with, merge into or sell, assign, transfer, lease, convey or otherwise dispose of all or part of its properties and assets to the Parent Guarantor,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the Issuer may merge, consolidate or amalgamate with an affiliate of such issuer incorporated or organized solely for the purpose of reincorporating or reorganizing such issuer in another state of the United States, the District of Columbia or any territory of the United States,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the Issuer may convert (including by way of merger, consolidation or amalgamation) into a corporation, partnership, limited partnership, limited liability company or trust organized or existing under the laws of a jurisdiction in the United States, (</w:t>
      </w:r>
      <w:r>
        <w:rPr>
          <w:rFonts w:ascii="Times New Roman;Times;serif" w:hAnsi="Times New Roman;Times;serif"/>
          <w:b w:val="false"/>
          <w:i w:val="false"/>
          <w:caps w:val="false"/>
          <w:smallCaps w:val="false"/>
          <w:color w:val="000000"/>
          <w:spacing w:val="4"/>
          <w:sz w:val="20"/>
          <w:u w:val="single"/>
        </w:rPr>
        <w:t>d</w:t>
      </w:r>
      <w:r>
        <w:rPr>
          <w:rFonts w:ascii="Times New Roman;Times;serif" w:hAnsi="Times New Roman;Times;serif"/>
          <w:b w:val="false"/>
          <w:i w:val="false"/>
          <w:caps w:val="false"/>
          <w:smallCaps w:val="false"/>
          <w:color w:val="000000"/>
          <w:spacing w:val="4"/>
          <w:sz w:val="20"/>
        </w:rPr>
        <w:t xml:space="preserve">) the Issuer may change its name, (e) any subsidiary may merge, consolidate or amalgamate into the Issuer;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in the case of this clause (e), that the surviving entity is or becomes the Issuer upon consummation of such merger, amalgamation or consolidations and (f) the Issuer may merge, amalgamate or consolidate into a single direct or indirect wholly-owned subsidiary pursuant to Section 251(g) (or any successor provision) of the General Corporation Law of the State of Delaware (the “DGCL”), if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consolidation, merger and sale of assets of the Parent Guarantor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so long as any notes are outstanding, (i) the Parent Guarantor may not consolidate, merge or amalgamate with or into or wind up into (whether or not the Parent Guarantor is the surviving entity) another entity, and (ii) the Parent Guarantor may not sell, assign, transfer, lease, convey or otherwise dispose of all or substantially all of its properties or assets in one or more related transactions to another entity unless such consolidation, merger, amalgamation, winding up, sale, assignment, transfer, lease, conveyance or other disposition is made in compliance with the indenture, unless: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Parent Guarantor is the surviving corporation; or the entity formed by or surviving any such consolidation, merger, amalgamation or winding up or to which such sale, assignment, transfer, lease or conveyance has been made (the “Successor Guarantor”), if other than the Parent Guarantor, is organized and validly existing under the laws of the United States of America, any State thereof, the District of Columbia, or any territory thereof; </w:t>
      </w:r>
      <w:r>
        <mc:AlternateContent>
          <mc:Choice Requires="wps">
            <w:drawing>
              <wp:anchor behindDoc="0" distT="6985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Guarantor (if other than the Parent Guarantor) expressly assumes all the obligations of the Parent Guarantor under the indenture and the note guarantee pursuant to supplemental indentures or other documents or instruments; and </w:t>
      </w:r>
      <w:r>
        <mc:AlternateContent>
          <mc:Choice Requires="wps">
            <w:drawing>
              <wp:anchor behindDoc="0" distT="6985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Successor Guarantor (if other than the Parent Guarantor) delivers to the trustee an officers’ certificate and an opinion of counsel, each stating that such consolidation, merger, amalgamation or disposition complies with the indenture;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opinion of counsel will be required for a transaction described in the second sentence of the immediately following paragraph. </w:t>
      </w:r>
      <w:r>
        <mc:AlternateContent>
          <mc:Choice Requires="wps">
            <w:drawing>
              <wp:anchor behindDoc="0" distT="6985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Successor Guarantor will succeed to, and be substituted for, the Parent Guarantor under the indenture and the note guarantee, and the Parent Guarantor will automatically be released and discharged from its obligations under the indenture and note guarantee. Subject to the indenture, (a) the Parent Guarantor may consolidate or amalgamate with, merge into or sell, assign, transfer, lease, convey or otherwise dispose of all or part of its properties and assets to the Issuer, (b) the Parent Guarantor may merge, consolidate or amalgamate with an affiliate of the Issuer incorporated or organized solely for the purpose of reincorporating or reorganizing the Parent Guarantor in another state of the United States, the District of Columbia or any territory of the United States, (c) the Parent Guarantor may convert (including by way of merger, consolidation or amalgamation) into a corporation, partnership, limited partnership, limited liability company or trust organized or existing under the laws of a jurisdiction in the United States, (d) the Parent Guarantor may change its name and (e) any subsidiary may merge, amalgamate or consolidate into the Parent Guarantor;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in the case of this clause (e), that the surviving entity is or becomes a guarantor upon consummation of such merger, amalgamation or consolidation and (f) such Parent Guarantor may merge, amalgamate or consolidate into a single direct or indirect wholly-owned subsidiary pursuant to Section 251(g) (or any successor provision) of the DGCL, if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not contain any provisions that would limit the ability of the Parent Guarantor and its subsidiaries to incur indebtedness or that would afford holders of notes protection in the event of a sudden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significant decline in the credit quality of the Parent Guarantor or the Issuer or a takeover, recapitalization or highly leveraged or similar transaction involving the Parent Guarantor or the Issuer. In addition, the Parent Guarantor will not be restricted under the terms of the indenture governing the notes from incurring secured indebtedness or entering into sale and leaseback transactions.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will not, and will not permit any Subsidiary of the Issuer to, create, Incur, assume or permit to exist any Lien on any property or asset, to secure any Indebtedness of the Issuer, any such Subsidiary or any other person, without securing the notes equally and ratably with such Indebtedness for so long as such Indebtedness will be so secured, subject to certain exceptions. The exceptions include (any such lien, a “Permitted Lien”):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of the Issuer or any of its Subsidiaries existing on the date of the supplemental indenture relating to the notes; </w:t>
      </w:r>
      <w:r>
        <mc:AlternateContent>
          <mc:Choice Requires="wps">
            <w:drawing>
              <wp:anchor behindDoc="0" distT="10033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issuers of performance and surety bonds, bid, indemnity, warranty, release, judgment, appeal or similar bonds or with respect to regulatory requirements or letters of credit or bankers’ acceptances issued and completion guarantees provided for, in each case, pursuant to the request of and for the account of such person in the ordinary course of its business; </w:t>
      </w:r>
      <w:r>
        <mc:AlternateContent>
          <mc:Choice Requires="wps">
            <w:drawing>
              <wp:anchor behindDoc="0" distT="10033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Liens on assets of, or equity interests in, a person at the time such person becomes a Subsidiary of the Issuer;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such Liens are not created or Incurred in connection with, or in contemplation of, such other person becoming such a Subsidiary;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such Liens are limited to all or part of the same property or assets (plus improvements on such property or assets) that secured (or, under the written arrangements under which the Liens arose, could secure) the obligations to which such Liens relate;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for purposes of this clause, if a person other than the Issuer is the successor company with respect thereto, any Subsidiary thereof shall be deemed to become a Subsidiary of the Issuer, and any property or assets of such person or any such Subsidiary shall be deemed acquired by the Issuer when such person becomes such successor company; </w:t>
      </w:r>
      <w:r>
        <mc:AlternateContent>
          <mc:Choice Requires="wps">
            <w:drawing>
              <wp:anchor behindDoc="0" distT="10033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Liens on assets at the time the Issuer or any Subsidiary acquired the assets, including any acquisition by means of a merger, amalgamation or consolidation with or into the Issuer;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such Liens are not created or Incurred in connection with, or in contemplation of, such acquisition;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such liens are limited to all or part of the same property or assets (plus improvements on such property or assets) that secured (or, under the written arrangements under which the Liens arose, could secure) the obligations to which such Liens relate;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for purposes of this clause, if a person other than the Issuer is the successor company with respect thereto, any Subsidiary thereof shall be deemed to become a Subsidiary of the Issuer, and any property or assets of such person or any such Subsidiary shall be deemed acquired by the Issuer or another Subsidiary, when such person becomes such successor company; </w:t>
      </w:r>
      <w:r>
        <mc:AlternateContent>
          <mc:Choice Requires="wps">
            <w:drawing>
              <wp:anchor behindDoc="0" distT="10033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Indebtedness or other obligations of the Issuer or a Subsidiary owing to the Issuer or another Subsidiary; </w:t>
      </w:r>
      <w:r>
        <mc:AlternateContent>
          <mc:Choice Requires="wps">
            <w:drawing>
              <wp:anchor behindDoc="0" distT="10160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Swap Contracts; </w:t>
      </w:r>
      <w:r>
        <mc:AlternateContent>
          <mc:Choice Requires="wps">
            <w:drawing>
              <wp:anchor behindDoc="0" distT="10160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specific items of inventory or other goods and proceeds of any person securing such person’s obligations in respect of bankers’ acceptances or letters of credit entered into in the ordinary course of business issued or created for the account of such person to facilitate the purchase, shipment or storage of such inventory or other goods; </w:t>
      </w:r>
      <w:r>
        <mc:AlternateContent>
          <mc:Choice Requires="wps">
            <w:drawing>
              <wp:anchor behindDoc="0" distT="10160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the Issuer or any Subsidiary of the Issuer; </w:t>
      </w:r>
      <w:r>
        <mc:AlternateContent>
          <mc:Choice Requires="wps">
            <w:drawing>
              <wp:anchor behindDoc="0" distT="10160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Liens on Receivables Assets incurred in connection with a Qualified Receivables Factoring or a Qualified Receivables Financing and (ii) Liens securing Indebtedness or other obligations of any Receivables Subsidiary; </w:t>
      </w:r>
      <w:r>
        <mc:AlternateContent>
          <mc:Choice Requires="wps">
            <w:drawing>
              <wp:anchor behindDoc="0" distT="10160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Incurred to secure cash management services and other “bank products”; </w:t>
      </w:r>
      <w:r>
        <mc:AlternateContent>
          <mc:Choice Requires="wps">
            <w:drawing>
              <wp:anchor behindDoc="0" distT="0" distB="0" distL="254000" distR="0" simplePos="0" locked="0" layoutInCell="1" allowOverlap="1" relativeHeight="83">
                <wp:simplePos x="0" y="0"/>
                <wp:positionH relativeFrom="column">
                  <wp:align>left</wp:align>
                </wp:positionH>
                <wp:positionV relativeFrom="line">
                  <wp:posOffset>635</wp:posOffset>
                </wp:positionV>
                <wp:extent cx="254000" cy="52578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Liens to secure any refinancing (or successive refinancings) as a whole, or in part, of any indebtedness secured by any lien referred to in clauses (1), (3), (4), (6) and (24) of this definition;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(x) such new Lien shall be limited to all or part of the same property or assets that secured (or, under the written arrangements under which the original Lien arose, could secure) the original Lien (plus improvements on such property or assets), and (y) the Indebtedness secured by such Lien at such time is not increased to any amount greater than the sum of (A) the outstanding principal amount or, if greater, committed amount of the Indebtedness described under clauses (1), (3), (4), (6) and (24) of this definition at the time the original Lien became a Permitted Lien under the indenture, and (B) an amount necessary to pay the costs related to such refinancing; </w:t>
      </w:r>
      <w:r>
        <mc:AlternateContent>
          <mc:Choice Requires="wps">
            <w:drawing>
              <wp:anchor behindDoc="0" distT="99060" distB="0" distL="254000" distR="0" simplePos="0" locked="0" layoutInCell="1" allowOverlap="1" relativeHeight="84">
                <wp:simplePos x="0" y="0"/>
                <wp:positionH relativeFrom="column">
                  <wp:align>left</wp:align>
                </wp:positionH>
                <wp:positionV relativeFrom="line">
                  <wp:align>top</wp:align>
                </wp:positionV>
                <wp:extent cx="254000" cy="52578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the equity interests or assets of a joint venture to secure Indebtedness of such joint venture; </w:t>
      </w:r>
      <w:r>
        <mc:AlternateContent>
          <mc:Choice Requires="wps">
            <w:drawing>
              <wp:anchor behindDoc="0" distT="99060" distB="0" distL="254000" distR="0" simplePos="0" locked="0" layoutInCell="1" allowOverlap="1" relativeHeight="85">
                <wp:simplePos x="0" y="0"/>
                <wp:positionH relativeFrom="column">
                  <wp:align>left</wp:align>
                </wp:positionH>
                <wp:positionV relativeFrom="line">
                  <wp:align>top</wp:align>
                </wp:positionV>
                <wp:extent cx="254000" cy="52578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equipment of the Issuer or any Subsidiary of the Issuer granted in the ordinary course of business to the Issuer’s or such Subsidiary’s client at which such equipment is located; </w:t>
      </w:r>
      <w:r>
        <mc:AlternateContent>
          <mc:Choice Requires="wps">
            <w:drawing>
              <wp:anchor behindDoc="0" distT="99060" distB="0" distL="254000" distR="0" simplePos="0" locked="0" layoutInCell="1" allowOverlap="1" relativeHeight="86">
                <wp:simplePos x="0" y="0"/>
                <wp:positionH relativeFrom="column">
                  <wp:align>left</wp:align>
                </wp:positionH>
                <wp:positionV relativeFrom="line">
                  <wp:align>top</wp:align>
                </wp:positionV>
                <wp:extent cx="254000" cy="52578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created for the benefit of (or to secure) all of the notes or the guarantee; </w:t>
      </w:r>
      <w:r>
        <mc:AlternateContent>
          <mc:Choice Requires="wps">
            <w:drawing>
              <wp:anchor behindDoc="0" distT="99060" distB="0" distL="254000" distR="0" simplePos="0" locked="0" layoutInCell="1" allowOverlap="1" relativeHeight="87">
                <wp:simplePos x="0" y="0"/>
                <wp:positionH relativeFrom="column">
                  <wp:align>left</wp:align>
                </wp:positionH>
                <wp:positionV relativeFrom="line">
                  <wp:align>top</wp:align>
                </wp:positionV>
                <wp:extent cx="254000" cy="52578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or assets used to redeem, defease or to satisfy and discharge Indebtedness; </w:t>
      </w:r>
      <w:r>
        <mc:AlternateContent>
          <mc:Choice Requires="wps">
            <w:drawing>
              <wp:anchor behindDoc="0" distT="99060" distB="0" distL="254000" distR="0" simplePos="0" locked="0" layoutInCell="1" allowOverlap="1" relativeHeight="88">
                <wp:simplePos x="0" y="0"/>
                <wp:positionH relativeFrom="column">
                  <wp:align>left</wp:align>
                </wp:positionH>
                <wp:positionV relativeFrom="line">
                  <wp:align>top</wp:align>
                </wp:positionV>
                <wp:extent cx="254000" cy="52578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insurance policies and the proceeds thereof securing the financing of the premiums with respect thereto; </w:t>
      </w:r>
      <w:r>
        <mc:AlternateContent>
          <mc:Choice Requires="wps">
            <w:drawing>
              <wp:anchor behindDoc="0" distT="99060" distB="0" distL="254000" distR="0" simplePos="0" locked="0" layoutInCell="1" allowOverlap="1" relativeHeight="89">
                <wp:simplePos x="0" y="0"/>
                <wp:positionH relativeFrom="column">
                  <wp:align>left</wp:align>
                </wp:positionH>
                <wp:positionV relativeFrom="line">
                  <wp:align>top</wp:align>
                </wp:positionV>
                <wp:extent cx="254000" cy="52578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vehicles or equipment of the Issuer or any of its subsidiaries granted in the ordinary course of business; </w:t>
      </w:r>
      <w:r>
        <mc:AlternateContent>
          <mc:Choice Requires="wps">
            <w:drawing>
              <wp:anchor behindDoc="0" distT="99060" distB="0" distL="254000" distR="0" simplePos="0" locked="0" layoutInCell="1" allowOverlap="1" relativeHeight="90">
                <wp:simplePos x="0" y="0"/>
                <wp:positionH relativeFrom="column">
                  <wp:align>left</wp:align>
                </wp:positionH>
                <wp:positionV relativeFrom="line">
                  <wp:align>top</wp:align>
                </wp:positionV>
                <wp:extent cx="254000" cy="52578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securities that are the subject of repurchase agreements constituting Cash Equivalents or Investment Grade Securities; </w:t>
      </w:r>
      <w:r>
        <mc:AlternateContent>
          <mc:Choice Requires="wps">
            <w:drawing>
              <wp:anchor behindDoc="0" distT="99060" distB="0" distL="254000" distR="0" simplePos="0" locked="0" layoutInCell="1" allowOverlap="1" relativeHeight="91">
                <wp:simplePos x="0" y="0"/>
                <wp:positionH relativeFrom="column">
                  <wp:align>left</wp:align>
                </wp:positionH>
                <wp:positionV relativeFrom="line">
                  <wp:align>top</wp:align>
                </wp:positionV>
                <wp:extent cx="254000" cy="52578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encumbering reasonable customary initial deposits and margin deposits and similar liens attaching to commodity trading accounts or other brokerage accounts incurred in the ordinary course of business and not for speculative purposes; </w:t>
      </w:r>
      <w:r>
        <mc:AlternateContent>
          <mc:Choice Requires="wps">
            <w:drawing>
              <wp:anchor behindDoc="0" distT="99060" distB="0" distL="254000" distR="0" simplePos="0" locked="0" layoutInCell="1" allowOverlap="1" relativeHeight="92">
                <wp:simplePos x="0" y="0"/>
                <wp:positionH relativeFrom="column">
                  <wp:align>left</wp:align>
                </wp:positionH>
                <wp:positionV relativeFrom="line">
                  <wp:align>top</wp:align>
                </wp:positionV>
                <wp:extent cx="254000" cy="52578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deemed to exist in connection with investments in cash and Cash Equivalents or Investment Grade Securities and investments that were Cash Equivalents or Investment Grade Securities when made, which investments constitute repurchase obligations; </w:t>
      </w:r>
      <w:r>
        <mc:AlternateContent>
          <mc:Choice Requires="wps">
            <w:drawing>
              <wp:anchor behindDoc="0" distT="100330" distB="0" distL="254000" distR="0" simplePos="0" locked="0" layoutInCell="1" allowOverlap="1" relativeHeight="93">
                <wp:simplePos x="0" y="0"/>
                <wp:positionH relativeFrom="column">
                  <wp:align>left</wp:align>
                </wp:positionH>
                <wp:positionV relativeFrom="line">
                  <wp:align>top</wp:align>
                </wp:positionV>
                <wp:extent cx="254000" cy="52578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Liens securing obligations (</w:t>
      </w:r>
      <w:r>
        <w:rPr>
          <w:rFonts w:ascii="Times New Roman;Times;serif" w:hAnsi="Times New Roman;Times;serif"/>
          <w:b w:val="false"/>
          <w:i w:val="false"/>
          <w:caps w:val="false"/>
          <w:smallCaps w:val="false"/>
          <w:color w:val="000000"/>
          <w:spacing w:val="4"/>
          <w:sz w:val="20"/>
          <w:u w:val="single"/>
        </w:rPr>
        <w:t>i</w:t>
      </w:r>
      <w:r>
        <w:rPr>
          <w:rFonts w:ascii="Times New Roman;Times;serif" w:hAnsi="Times New Roman;Times;serif"/>
          <w:b w:val="false"/>
          <w:i w:val="false"/>
          <w:caps w:val="false"/>
          <w:smallCaps w:val="false"/>
          <w:color w:val="000000"/>
          <w:spacing w:val="4"/>
          <w:sz w:val="20"/>
        </w:rPr>
        <w:t>) in respect of trade-related letters of credit and covering the goods (or the documents of title in respect of such goods) financed by such letters of credit and the proceeds and products thereof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in respect of any other letters of credit and bankers’ acceptances, in each case to the extent the same are not drawn and unreimbursed; </w:t>
      </w:r>
      <w:r>
        <mc:AlternateContent>
          <mc:Choice Requires="wps">
            <w:drawing>
              <wp:anchor behindDoc="0" distT="100330" distB="0" distL="254000" distR="0" simplePos="0" locked="0" layoutInCell="1" allowOverlap="1" relativeHeight="94">
                <wp:simplePos x="0" y="0"/>
                <wp:positionH relativeFrom="column">
                  <wp:align>left</wp:align>
                </wp:positionH>
                <wp:positionV relativeFrom="line">
                  <wp:align>top</wp:align>
                </wp:positionV>
                <wp:extent cx="254000" cy="52578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cash proceeds of Indebtedness (and on the related escrow accounts) in connection with the issuance of such Indebtedness into (and pending the release from) a customary escrow arrangement; </w:t>
      </w:r>
      <w:r>
        <mc:AlternateContent>
          <mc:Choice Requires="wps">
            <w:drawing>
              <wp:anchor behindDoc="0" distT="100330" distB="0" distL="254000" distR="0" simplePos="0" locked="0" layoutInCell="1" allowOverlap="1" relativeHeight="95">
                <wp:simplePos x="0" y="0"/>
                <wp:positionH relativeFrom="column">
                  <wp:align>left</wp:align>
                </wp:positionH>
                <wp:positionV relativeFrom="line">
                  <wp:align>top</wp:align>
                </wp:positionV>
                <wp:extent cx="254000" cy="52578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incurred in permitted sale and leaseback transactions; </w:t>
      </w:r>
      <w:r>
        <mc:AlternateContent>
          <mc:Choice Requires="wps">
            <w:drawing>
              <wp:anchor behindDoc="0" distT="100330" distB="0" distL="254000" distR="0" simplePos="0" locked="0" layoutInCell="1" allowOverlap="1" relativeHeight="96">
                <wp:simplePos x="0" y="0"/>
                <wp:positionH relativeFrom="column">
                  <wp:align>left</wp:align>
                </wp:positionH>
                <wp:positionV relativeFrom="line">
                  <wp:align>top</wp:align>
                </wp:positionV>
                <wp:extent cx="254000" cy="52578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otherwise prohibited by this covenant, securing Indebtedness which, together with the value of Attributable Debt incurred in sale and leaseback transactions described under “— Limitation on sale and leasebacks” below, do not exceed at any time outstanding the greater of (x) $990,000,000 and (y) 15% of Consolidated Total Assets; </w:t>
      </w:r>
      <w:r>
        <mc:AlternateContent>
          <mc:Choice Requires="wps">
            <w:drawing>
              <wp:anchor behindDoc="0" distT="100330" distB="0" distL="254000" distR="0" simplePos="0" locked="0" layoutInCell="1" allowOverlap="1" relativeHeight="97">
                <wp:simplePos x="0" y="0"/>
                <wp:positionH relativeFrom="column">
                  <wp:align>left</wp:align>
                </wp:positionH>
                <wp:positionV relativeFrom="line">
                  <wp:align>top</wp:align>
                </wp:positionV>
                <wp:extent cx="254000" cy="52578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Liens securing Indebtedness of the Issuer or any of its subsidiaries (including capital lease obligations) incurred to finance the acquisition, construction or improvement by any person of any fixed or capital assets; provided that such Liens are created at the time of or within 270 days after such acquisition or the completion of such construction or improvement and (ii) any Liens securing extensions, renewals and replacements of any such Indebtedness that do not increase the </w:t>
      </w:r>
      <w:r>
        <mc:AlternateContent>
          <mc:Choice Requires="wps">
            <w:drawing>
              <wp:anchor behindDoc="0" distT="99060" distB="0" distL="254000" distR="0" simplePos="0" locked="0" layoutInCell="1" allowOverlap="1" relativeHeight="98">
                <wp:simplePos x="0" y="0"/>
                <wp:positionH relativeFrom="column">
                  <wp:align>left</wp:align>
                </wp:positionH>
                <wp:positionV relativeFrom="line">
                  <wp:align>top</wp:align>
                </wp:positionV>
                <wp:extent cx="254000" cy="52578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principal amount thereof (other than by the amount of any fees, original issue discount, costs and expenses in connection with such extension, renewal or replacement and any accrued interest on such Indebtedness); provided that, in the case of clauses (i) and (ii), no such Lien shall apply to any assets of the Issuer or any of its subsidiaries other than the subject fixed or capital assets, improvements and accessions thereto and proceeds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determining compliance with this covenant, (u) a Lien need not be Incurred solely by reference to one category of Permitted Liens described in this covenant but may be Incurred under any combination of such categories (including in part under one such category and in part under any other such category), (v) in the event that a Lien (or any portion thereof) meets the criteria of one or more of such categories of Permitted Liens, the Issuer may, in its sole discretion, classify or reclassify such Lien (or any portion thereof) in any manner that complies with this definition, (w) in the event that a portion of Indebtedness secured by a Lien could be classified as secured in part pursuant to a sub-clause of clause (24) above (giving effect to the Incurrence of such portion of such Indebtedness), the Issuer, in its sole discretion, may classify such portion of such Indebtedness (and any obligations in respect thereof) as having been secured pursuant to such sub-clause of clause (24) above and the remainder of the Indebtedness as having been secured pursuant to one or more of the other sub-clauses of clause (24) or the other clauses of this definition, (x) the principal amount of Indebtedness secured by a Lien outstanding under any category of Permitted Liens shall be determined after giving effect to the application of proceeds of any such Indebtedness to refinance any such other Indebtedness, (y) if any Liens securing Indebtedness are Incurred to refinance Liens securing Indebtedness initially Incurred (or, Liens securing Indebtedness Incurred to refinance Liens securing Indebtedness initially Incurred) in reliance on a category of Permitted Liens measured by reference to a percentage of Consolidated Total Assets at the time of Incurrence, and such refinancing would cause the percentage of Consolidated Total Assets to be exceeded if calculated based on the Consolidated Total Assets on the date of such refinancing, such percentage of Consolidated Total Assets restriction shall not be deemed to be exceeded (and such newly Incurred Liens shall be deemed permitted) to the extent the principal amount of such Indebtedness secured by such newly Incurred Liens does not exceed the principal amount of such Indebtedness secured by such Liens being refinanced, plus the related costs incurred or payable in connection with such refinancing and (z) if any Liens securing Indebtedness are Incurred to refinance Liens securing Indebtedness Initially Incurred (or, Liens securing Indebtedness Incurred to refinance Liens securing Indebtedness initially Incurred) in reliance on a category of Permitted Liens measured by reference to a fixed dollar amount, such fixed dollar amount shall not be deemed to be exceeded (and such newly Incurred Liens shall be deemed permitted) to the extent the principal amount of such Indebtedness secured by such newly Incurred Liens does not exceed the principal amount of such Indebtedness secured by such Liens being refinanced, plus the related costs Incurred or payable in connection with such refinancing.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Cash Equivalents</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dollars, Canadian dollars, Japanese yen, pounds sterling, euros or the national currency of any participating member state of the European Union (as it is constituted on the Issue Date) and, with respect to any foreign subsidiaries, other currencies held by such foreign Subsidiary in the ordinary course of business; </w:t>
      </w:r>
      <w:r>
        <mc:AlternateContent>
          <mc:Choice Requires="wps">
            <w:drawing>
              <wp:anchor behindDoc="0" distT="10033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issued or directly guaranteed or insured by the government of the United States or any country that is a member of the European Union (as it is constituted on the Issue Date) or any agency or instrumentality thereof in each case with maturities not exceeding two years from the date of acquisition; </w:t>
      </w:r>
      <w:r>
        <mc:AlternateContent>
          <mc:Choice Requires="wps">
            <w:drawing>
              <wp:anchor behindDoc="0" distT="10033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money market deposits, certificates of deposit, time deposits and eurodollar time deposits with maturities of two years or less from the date of acquisition, bankers’ acceptances, in each case with maturities not exceeding two years, and overnight bank deposits, in each case with any lender under the Senior Credit Agreement or any other commercial bank having capital and surplus in excess of $250.0 million in the case of domestic banks or $100.0 million (or the dollar equivalent thereof) in the case of foreign banks; </w:t>
      </w:r>
      <w:r>
        <mc:AlternateContent>
          <mc:Choice Requires="wps">
            <w:drawing>
              <wp:anchor behindDoc="0" distT="10033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repurchase obligations for underlying securities of the types described in clauses (2) above and clause (6) below entered into with any financial institution meeting the qualifications specified in clause (3) above or securities dealers of recognized national standing; </w:t>
      </w:r>
      <w:r>
        <mc:AlternateContent>
          <mc:Choice Requires="wps">
            <w:drawing>
              <wp:anchor behindDoc="0" distT="10033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paper or variable or fixed rate notes issued by a corporation or other person (other than an affiliate of the Issuer) rated at least “P-2” or “A-2” or the equivalent thereof by either Moody’s or S&amp;P (or reasonably equivalent ratings of another internationally recognized ratings agency) and in each case maturing within two years after the date of acquisition, and commercial paper or variable or fixed rate notes issued by or guaranteed by any lender under the Senior Credit Agreement or any bank holding company owning any such lender; </w:t>
      </w:r>
      <w:r>
        <mc:AlternateContent>
          <mc:Choice Requires="wps">
            <w:drawing>
              <wp:anchor behindDoc="0" distT="0" distB="0" distL="254000" distR="0" simplePos="0" locked="0" layoutInCell="1" allowOverlap="1" relativeHeight="103">
                <wp:simplePos x="0" y="0"/>
                <wp:positionH relativeFrom="column">
                  <wp:align>left</wp:align>
                </wp:positionH>
                <wp:positionV relativeFrom="line">
                  <wp:posOffset>635</wp:posOffset>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readily marketable direct obligations issued by any state, commonwealth or territory of the United States of America or any political subdivision or taxing authority thereof having an Investment Grade rating from either Moody’s or S&amp;P (or reasonably equivalent ratings of another internationally recognized ratings agency) in each case with maturities not exceeding two years from the date of acquisition; </w:t>
      </w:r>
      <w:r>
        <mc:AlternateContent>
          <mc:Choice Requires="wps">
            <w:drawing>
              <wp:anchor behindDoc="0" distT="9906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Indebtedness issued by persons with a rating of “A” or higher from S&amp;P or “A-2” or higher from Moody’s (or reasonably equivalent ratings of another internationally recognized ratings agency) in each case with maturities not exceeding two years from the date of acquisition, and securities of marketable short-term money market and similar highly liquid funds having assets in excess of $250.0 million; </w:t>
      </w:r>
      <w:r>
        <mc:AlternateContent>
          <mc:Choice Requires="wps">
            <w:drawing>
              <wp:anchor behindDoc="0" distT="9906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funds investing at least 95.0% of their assets in investments of the types described in clauses (1) through (7) above and (9) and (10) below; </w:t>
      </w:r>
      <w:r>
        <mc:AlternateContent>
          <mc:Choice Requires="wps">
            <w:drawing>
              <wp:anchor behindDoc="0" distT="9906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investments with average maturities of 12 months or less from the date of acquisition in money market funds rated AAA (or the equivalent thereof) or better by S&amp;P or Aaa3 (or the equivalent thereof) or better by Moody’s (or reasonably equivalent ratings of another internationally recognized ratings agency); and </w:t>
      </w:r>
      <w:r>
        <mc:AlternateContent>
          <mc:Choice Requires="wps">
            <w:drawing>
              <wp:anchor behindDoc="0" distT="9906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investments by any foreign Subsidiary or investments made in a country outside the United States of America, other investments of comparable tenor and credit quality to those described in the foregoing clauses (1) through (9) customarily utilized in the countries where such foreign Subsidiary is located or in which such investment is made. </w:t>
      </w:r>
      <w:r>
        <mc:AlternateContent>
          <mc:Choice Requires="wps">
            <w:drawing>
              <wp:anchor behindDoc="0" distT="100330" distB="0" distL="254000" distR="0" simplePos="0" locked="0" layoutInCell="1" allowOverlap="1" relativeHeight="108">
                <wp:simplePos x="0" y="0"/>
                <wp:positionH relativeFrom="column">
                  <wp:align>left</wp:align>
                </wp:positionH>
                <wp:positionV relativeFrom="line">
                  <wp:align>top</wp:align>
                </wp:positionV>
                <wp:extent cx="254000" cy="52578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the foregoing, Cash Equivalents shall include amounts denominated in currencies other than those set forth in clause (1) above; </w:t>
      </w: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such amounts are converted into any currency listed in clause (1) as promptly as practicable and in any event within 10 business days following the receipt of such amounts.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Consolidated Total Assets</w:t>
      </w:r>
      <w:r>
        <w:rPr>
          <w:rFonts w:ascii="Times New Roman;Times;serif" w:hAnsi="Times New Roman;Times;serif"/>
          <w:b w:val="false"/>
          <w:i w:val="false"/>
          <w:caps w:val="false"/>
          <w:smallCaps w:val="false"/>
          <w:color w:val="000000"/>
          <w:spacing w:val="4"/>
          <w:sz w:val="20"/>
        </w:rPr>
        <w:t xml:space="preserve">” means the total assets of the Parent Guarantor, determined on a consolidated basis in accordance with GAAP, as shown on the most recently issued consolidated balance sheet of the Parent Guarantor.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Factoring Transaction</w:t>
      </w:r>
      <w:r>
        <w:rPr>
          <w:rFonts w:ascii="Times New Roman;Times;serif" w:hAnsi="Times New Roman;Times;serif"/>
          <w:b w:val="false"/>
          <w:i w:val="false"/>
          <w:caps w:val="false"/>
          <w:smallCaps w:val="false"/>
          <w:color w:val="000000"/>
          <w:spacing w:val="4"/>
          <w:sz w:val="20"/>
        </w:rPr>
        <w:t xml:space="preserve">” means any transaction or series of transactions that may be entered into by the Issuer or any Subsidiary pursuant to which the Issuer or any Subsidiary may sell, convey, assign or otherwise transfer Receivables Assets (which may include a backup or precautionary grant of security interest in such Receivables Assets so sold, conveyed, assigned or otherwise transferred or purported to be so sold, conveyed, assigned or otherwise transferred) to any person that is not a Subsidiary of the Issuer;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such person that is a Subsidiary meets the qualifications in clauses (1) through (3) of the definition of “Receivables Subsidiary.”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of America as in effect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Issuer may at any time elect by written notice to the Trustee to so use IFRS in lieu of GAAP for financial reporting purposes and, upon any such notice, references herein to GAAP shall thereafter be construed to mean (a) for periods beginning on and after the date specified in such notice, IFRS as in effect from time to time and (b) for prior periods, GAAP as defined in the first sentence of this definition. All ratios and computations based on GAAP contained in the indenture shall be computed in conformity with GAAP.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Incur</w:t>
      </w:r>
      <w:r>
        <w:rPr>
          <w:rFonts w:ascii="Times New Roman;Times;serif" w:hAnsi="Times New Roman;Times;serif"/>
          <w:b w:val="false"/>
          <w:i w:val="false"/>
          <w:caps w:val="false"/>
          <w:smallCaps w:val="false"/>
          <w:color w:val="000000"/>
          <w:spacing w:val="4"/>
          <w:sz w:val="20"/>
        </w:rPr>
        <w:t xml:space="preserve">” means, with respect to any Indebtedness, capital stock or Lien, to issue, assume, enter into any guarantee of, incur or otherwise become liable, for such Indebtedness, capital stock or Lien, as applicable; and the terms “Incurs,” “Incurred,” and “Incurrence” shall have a correlative meaning;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Indebtedness, capital stock or Lien of a person existing at the time such person becomes a Subsidiary (whether by merger, amalgamation, consolidation, acquisition or otherwise) shall be deemed to be Incurred by such person at the time it becomes a Subsidiary.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Indebtedness</w:t>
      </w:r>
      <w:r>
        <w:rPr>
          <w:rFonts w:ascii="Times New Roman;Times;serif" w:hAnsi="Times New Roman;Times;serif"/>
          <w:b w:val="false"/>
          <w:i w:val="false"/>
          <w:caps w:val="false"/>
          <w:smallCaps w:val="false"/>
          <w:color w:val="000000"/>
          <w:spacing w:val="4"/>
          <w:sz w:val="20"/>
        </w:rPr>
        <w:t xml:space="preserve">” of any person means the principal of any indebtedness of such person in respect of borrowed money, whether or not evidenced by bonds, notes, debentures or similar instruments, and including any guarantee by such person of the indebtedness in respect of borrowed money of another person. For the purpose of computing the amount of the Indebtedness of any person there shall be excluded all Indebtedness of such person for the payment or redemption or satisfaction of which money or securities (or evidences of such Indebtedness, if permitted under the terms of the instrument creating such Indebtedness) in the necessary amount shall have been deposited in trust with the proper depositary, whether upon or prior to the maturity or the date fixed for redemption or satisfaction of such Indebtedness; and, in any instance where Indebtedness is so excluded, for the purpose of computing the assets of such person there shall be excluded the money, securities or evidences of Indebtedness deposited by such person in trust for the purpose of paying or satisfying such Indebtedness.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Investment Grade Securities</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issued or directly and fully guaranteed or insured by the U.S. government or any agency or instrumentality thereof (other than Cash Equivalents); </w:t>
      </w:r>
      <w:r>
        <mc:AlternateContent>
          <mc:Choice Requires="wps">
            <w:drawing>
              <wp:anchor behindDoc="0" distT="10287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that have an Investment Grade rating, but excluding any debt securities or instruments constituting loans or advances among the Issuer and its subsidiaries; </w:t>
      </w:r>
      <w:r>
        <mc:AlternateContent>
          <mc:Choice Requires="wps">
            <w:drawing>
              <wp:anchor behindDoc="0" distT="10287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investments in any fund that invests at least 95.0% of its assets in investments of the type described in clauses (1) and (2) above and clause (4) below which fund may also hold immaterial amounts of cash pending investment and/or distribution; and </w:t>
      </w:r>
      <w:r>
        <mc:AlternateContent>
          <mc:Choice Requires="wps">
            <w:drawing>
              <wp:anchor behindDoc="0" distT="10287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corresponding instruments in countries other than the United States customarily utilized for high quality investments and in each case with maturities not exceeding two years from the date of acquisition. </w:t>
      </w:r>
      <w:r>
        <mc:AlternateContent>
          <mc:Choice Requires="wps">
            <w:drawing>
              <wp:anchor behindDoc="0" distT="10287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Lien</w:t>
      </w:r>
      <w:r>
        <w:rPr>
          <w:rFonts w:ascii="Times New Roman;Times;serif" w:hAnsi="Times New Roman;Times;serif"/>
          <w:b w:val="false"/>
          <w:i w:val="false"/>
          <w:caps w:val="false"/>
          <w:smallCaps w:val="false"/>
          <w:color w:val="000000"/>
          <w:spacing w:val="4"/>
          <w:sz w:val="20"/>
        </w:rPr>
        <w:t xml:space="preserve">” means,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or any option or other agreement to sell);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no event shall an operating lease or an agreement to sell be deemed to constitute a Lien.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Qualified Receivables Factoring</w:t>
      </w:r>
      <w:r>
        <w:rPr>
          <w:rFonts w:ascii="Times New Roman;Times;serif" w:hAnsi="Times New Roman;Times;serif"/>
          <w:b w:val="false"/>
          <w:i w:val="false"/>
          <w:caps w:val="false"/>
          <w:smallCaps w:val="false"/>
          <w:color w:val="000000"/>
          <w:spacing w:val="4"/>
          <w:sz w:val="20"/>
        </w:rPr>
        <w:t xml:space="preserve">” means any Factoring Transaction that meets the following conditions: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Factoring Transaction is non-recourse to, and does not obligate, the Issuer or any Subsidiary, or their respective properties or assets (other than Receivables Assets) in any way other than pursuant to Standard Securitization Undertakings; </w:t>
      </w:r>
      <w:r>
        <mc:AlternateContent>
          <mc:Choice Requires="wps">
            <w:drawing>
              <wp:anchor behindDoc="0" distT="10287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sales, conveyances, assignments or contributions of Receivables Assets by the Issuer or Subsidiary are made at fair market value in the context of a Factoring Transaction (as determined in good faith by the Issuer or any direct or indirect parent of the Issuer); and </w:t>
      </w:r>
      <w:r>
        <mc:AlternateContent>
          <mc:Choice Requires="wps">
            <w:drawing>
              <wp:anchor behindDoc="0" distT="10287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Factoring Transaction (including financing terms, covenants, termination events (if any) and other provisions thereof) is on market terms at the time such Factoring Transaction is first entered into (as determined in good faith by the Issuer or any direct or indirect parent of the Issuer) and may include Standard Securitization Undertakings. </w:t>
      </w:r>
      <w:r>
        <mc:AlternateContent>
          <mc:Choice Requires="wps">
            <w:drawing>
              <wp:anchor behindDoc="0" distT="10287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grant of a security interest in any accounts receivable of the Issuer or any of its subsidiaries (other than a Receivables Subsidiary) to secure any credit agreement shall not be deemed a Qualified Receivables Factoring.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Qualified Receivables Financing</w:t>
      </w:r>
      <w:r>
        <w:rPr>
          <w:rFonts w:ascii="Times New Roman;Times;serif" w:hAnsi="Times New Roman;Times;serif"/>
          <w:b w:val="false"/>
          <w:i w:val="false"/>
          <w:caps w:val="false"/>
          <w:smallCaps w:val="false"/>
          <w:color w:val="000000"/>
          <w:spacing w:val="4"/>
          <w:sz w:val="20"/>
        </w:rPr>
        <w:t xml:space="preserve">” means any Receivables Financing of a Receivables Subsidiary that meets the following conditions: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Issuer or any direct or indirect parent of the Issuer shall have determined in good faith that such Qualified Receivables Financing (including financing terms, covenants, termination events and other provisions) is in the aggregate economically fair and reasonable to the Issuer and its subsidiaries; </w:t>
      </w:r>
      <w:r>
        <mc:AlternateContent>
          <mc:Choice Requires="wps">
            <w:drawing>
              <wp:anchor behindDoc="0" distT="10414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sales, conveyances, assignments or contributions of Receivables Assets by the Issuer or any Subsidiary to the Receivables Subsidiary are made at fair market value (as determined in good faith by the Issuer or any direct or indirect parent of the Issuer); and </w:t>
      </w:r>
      <w:r>
        <mc:AlternateContent>
          <mc:Choice Requires="wps">
            <w:drawing>
              <wp:anchor behindDoc="0" distT="10287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financing terms, covenants, termination events and other provisions thereof shall be market terms (as determined in good faith by the Issuer or any direct or indirect parent of the Issuer) and may include Standard Securitization Undertakings. </w:t>
      </w:r>
      <w:r>
        <mc:AlternateContent>
          <mc:Choice Requires="wps">
            <w:drawing>
              <wp:anchor behindDoc="0" distT="10287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grant of a security interest in any accounts receivable of the Issuer or any of its subsidiaries (other than a Receivables Subsidiary) to secure any credit agreement shall not be deemed a Qualified Receivables Financing.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Receivables Assets</w:t>
      </w:r>
      <w:r>
        <w:rPr>
          <w:rFonts w:ascii="Times New Roman;Times;serif" w:hAnsi="Times New Roman;Times;serif"/>
          <w:b w:val="false"/>
          <w:i w:val="false"/>
          <w:caps w:val="false"/>
          <w:smallCaps w:val="false"/>
          <w:color w:val="000000"/>
          <w:spacing w:val="4"/>
          <w:sz w:val="20"/>
        </w:rPr>
        <w:t xml:space="preserve">” means accounts receivable (whether now existing or arising in the future) of the Issuer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or factoring transactions involving accounts receivable and any Swap Contracts entered into by the Issuer or any such Subsidiary in connection with such accounts receivable.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Receivables Financing</w:t>
      </w:r>
      <w:r>
        <w:rPr>
          <w:rFonts w:ascii="Times New Roman;Times;serif" w:hAnsi="Times New Roman;Times;serif"/>
          <w:b w:val="false"/>
          <w:i w:val="false"/>
          <w:caps w:val="false"/>
          <w:smallCaps w:val="false"/>
          <w:color w:val="000000"/>
          <w:spacing w:val="4"/>
          <w:sz w:val="20"/>
        </w:rPr>
        <w:t>” means any transaction or series of transactions that may be entered into by the Issuer or any of its subsidiaries pursuant to which the Issuer or any of its subsidiaries may sell, convey or otherwise transfer to (</w:t>
      </w:r>
      <w:r>
        <w:rPr>
          <w:rFonts w:ascii="Times New Roman;Times;serif" w:hAnsi="Times New Roman;Times;serif"/>
          <w:b w:val="false"/>
          <w:i w:val="false"/>
          <w:caps w:val="false"/>
          <w:smallCaps w:val="false"/>
          <w:color w:val="000000"/>
          <w:spacing w:val="4"/>
          <w:sz w:val="20"/>
          <w:u w:val="single"/>
        </w:rPr>
        <w:t>a</w:t>
      </w:r>
      <w:r>
        <w:rPr>
          <w:rFonts w:ascii="Times New Roman;Times;serif" w:hAnsi="Times New Roman;Times;serif"/>
          <w:b w:val="false"/>
          <w:i w:val="false"/>
          <w:caps w:val="false"/>
          <w:smallCaps w:val="false"/>
          <w:color w:val="000000"/>
          <w:spacing w:val="4"/>
          <w:sz w:val="20"/>
        </w:rPr>
        <w:t>) a Receivables Subsidiary (in the case of a transfer by the Issuer or any of its subsidiaries), and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any other person (in the case of a transfer by a Receivables Subsidiary), or may grant a security interest in, any Receivables Assets.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Receivables Repurchase Obligation</w:t>
      </w:r>
      <w:r>
        <w:rPr>
          <w:rFonts w:ascii="Times New Roman;Times;serif" w:hAnsi="Times New Roman;Times;serif"/>
          <w:b w:val="false"/>
          <w:i w:val="false"/>
          <w:caps w:val="false"/>
          <w:smallCaps w:val="false"/>
          <w:color w:val="000000"/>
          <w:spacing w:val="4"/>
          <w:sz w:val="20"/>
        </w:rPr>
        <w:t xml:space="preserve">” means (i) any obligation of a seller of receivables in a Qualified Receivables Factoring or a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or (ii) any right of a seller of receivables in a Qualified Receivables Factoring or Qualified Receivables Financing to repurchase defaulted receivables for the purposes of claiming sales tax bad debt relief.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Receivables Subsidiary</w:t>
      </w:r>
      <w:r>
        <w:rPr>
          <w:rFonts w:ascii="Times New Roman;Times;serif" w:hAnsi="Times New Roman;Times;serif"/>
          <w:b w:val="false"/>
          <w:i w:val="false"/>
          <w:caps w:val="false"/>
          <w:smallCaps w:val="false"/>
          <w:color w:val="000000"/>
          <w:spacing w:val="4"/>
          <w:sz w:val="20"/>
        </w:rPr>
        <w:t xml:space="preserve">” means a wholly-owned Subsidiary of the Issuer (or another person formed for the purposes of engaging in a Qualified Receivables Financing with the Issuer in which the Issuer or any Subsidiary, or any other direct or indirect parent of the Issuer makes an investment and to which the Issuer or any Subsidiary of the Issuer, or any direct or indirect parent of the Issuer transfers Receivables Assets and related assets) which engages in no activities other than in connection with the financing of Receivables Assets of the Issuer, and any Subsidiary or any direct or indirect parent of the Issuer, all proceeds thereof and all rights (contractual or other), collateral and other assets relating thereto, and any business or activities incidental or related to such business, and which is designated by the board of directors of the Issuer, the Parent Guarantor or any other direct or indirect parent of the Issuer (as provided below) as a Receivables Subsidiary and: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portion of the indebtedness or any other obligations (contingent or otherwise) of which (i) is guaranteed by the Issuer or any other Subsidiary of the Issuer (excluding guarantees of obligations (other than the principal of, and interest on, indebtedness) pursuant to Standard Securitization Undertakings), (ii) is recourse to or obligates the Issuer or any other Subsidiary of the Issuer in any way other than pursuant to Standard Securitization Undertakings, or (iii) subjects any property </w:t>
      </w:r>
      <w:r>
        <mc:AlternateContent>
          <mc:Choice Requires="wps">
            <w:drawing>
              <wp:anchor behindDoc="0" distT="10287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asset of the Issuer, or any Subsidiary of the Issuer, directly or indirectly, contingently or otherwise, to the satisfaction thereof, other than pursuant to Standard Securitization Undertakings;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which neither the Issuer nor any other Subsidiary of the Issuer has any material contract, agreement, arrangement or understanding other than on terms which the Issuer reasonably believes to be no less favorable to the Issuer or such Subsidiary than those that might be obtained at the time from persons that are not affiliates of the Issuer; and </w:t>
      </w:r>
      <w:r>
        <mc:AlternateContent>
          <mc:Choice Requires="wps">
            <w:drawing>
              <wp:anchor behindDoc="0" distT="10033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which neither the Issuer nor any other Subsidiary of the Issuer has any obligation to maintain or preserve such entity’s financial condition or cause such entity to achieve certain levels of operating results. </w:t>
      </w:r>
      <w:r>
        <mc:AlternateContent>
          <mc:Choice Requires="wps">
            <w:drawing>
              <wp:anchor behindDoc="0" distT="10033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designation by the board of directors of the Issuer or any direct or indirect parent of the Issuer shall be evidenced to the Trustee by filing with the Trustee a certified copy of the resolution of the board of directors of the Issuer or any direct or indirect parent of the Issuer giving effect to such designation and an officer’s certificate certifying that such designation complied with the foregoing conditions.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Senior Credit Agreement</w:t>
      </w:r>
      <w:r>
        <w:rPr>
          <w:rFonts w:ascii="Times New Roman;Times;serif" w:hAnsi="Times New Roman;Times;serif"/>
          <w:b w:val="false"/>
          <w:i w:val="false"/>
          <w:caps w:val="false"/>
          <w:smallCaps w:val="false"/>
          <w:color w:val="000000"/>
          <w:spacing w:val="4"/>
          <w:sz w:val="20"/>
        </w:rPr>
        <w:t xml:space="preserve">” means the Credit Agreement, including any notes, mortgages, guarantees, collateral documents, instruments and agreements executed in connection therewith, as amended, restated, supplemented, waived, renewed or otherwise modified from time to time, and (if designated by the Issuer) as replaced (whether or not upon termination, and whether with the original lenders or otherwise), restructured, repaid, refunded, refinanced or otherwise modified from time to time, including (if designated by the Issuer) any agreement or indenture or commercial paper facilities with banks or other institutional lenders or investors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Standard Securitization Undertakings</w:t>
      </w:r>
      <w:r>
        <w:rPr>
          <w:rFonts w:ascii="Times New Roman;Times;serif" w:hAnsi="Times New Roman;Times;serif"/>
          <w:b w:val="false"/>
          <w:i w:val="false"/>
          <w:caps w:val="false"/>
          <w:smallCaps w:val="false"/>
          <w:color w:val="000000"/>
          <w:spacing w:val="4"/>
          <w:sz w:val="20"/>
        </w:rPr>
        <w:t xml:space="preserve">” means representations, warranties, covenants, indemnities and guarantees of performance entered into by the Issuer or any Subsidiary of the Issuer which the Issuer or has determined in good faith to be customary in a Factoring Transaction or Receivables Financing including, without limitation, those relating to the servicing of the assets of a Receivables Subsidiary, it being understood that any Receivables Repurchase Obligation shall be deemed to be a Standard Securitization Undertaking.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means, with respect to any person (1) any corporation, association or other business entity (other than a partnership, joint venture, limited liability company or similar entity) of which more than 50.0% of the total voting power of the Voting Stock is at the time of determination owned or controlled, directly or indirectly, by such person or one or more of the other Subsidiaries of that person or a combination thereof and (2) any partnership, joint venture, limited liability company or similar entity of which (x) more than 50.0%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u w:val="single"/>
        </w:rPr>
        <w:t>Swap Contract</w:t>
      </w:r>
      <w:r>
        <w:rPr>
          <w:rFonts w:ascii="Times New Roman;Times;serif" w:hAnsi="Times New Roman;Times;serif"/>
          <w:b w:val="false"/>
          <w:i w:val="false"/>
          <w:caps w:val="false"/>
          <w:smallCaps w:val="false"/>
          <w:color w:val="000000"/>
          <w:spacing w:val="4"/>
          <w:sz w:val="20"/>
        </w:rPr>
        <w:t>” means (</w:t>
      </w:r>
      <w:r>
        <w:rPr>
          <w:rFonts w:ascii="Times New Roman;Times;serif" w:hAnsi="Times New Roman;Times;serif"/>
          <w:b w:val="false"/>
          <w:i w:val="false"/>
          <w:caps w:val="false"/>
          <w:smallCaps w:val="false"/>
          <w:color w:val="000000"/>
          <w:spacing w:val="4"/>
          <w:sz w:val="20"/>
          <w:u w:val="single"/>
        </w:rPr>
        <w:t>a</w:t>
      </w:r>
      <w:r>
        <w:rPr>
          <w:rFonts w:ascii="Times New Roman;Times;serif" w:hAnsi="Times New Roman;Times;serif"/>
          <w:b w:val="false"/>
          <w:i w:val="false"/>
          <w:caps w:val="false"/>
          <w:smallCaps w:val="false"/>
          <w:color w:val="000000"/>
          <w:spacing w:val="4"/>
          <w:sz w:val="20"/>
        </w:rPr>
        <w:t>)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sale and leasebacks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will not, and will not permit any Subsidiary of the Issuer to, enter into any arrangement with any person pursuant to which the Issuer or any Subsidiary leases any property that has been or is to be sold or transferred by the Issuer or such Subsidiary to such person (a “sale and leaseback transaction”), except that a sale and leaseback transaction is permitted if the Issuer or such Subsidiary would be entitled to secure the property to be leased (without equally and ratably securing the outstanding notes) in an amount equal to the present value of the lease payments with respect to the term of the lease remaining on the date as of which the amount is being determined, without regard to any renewal or extension in the lease, discounted at the rate of interest set forth or implicit in the terms of the lease, compounded semi-annually (such amount is referred to as the “Attributable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permitted sale and leaseback transactions not subject to the limitation above and the provisions described in “— Limitation on liens” above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leases for a term, including renewals at the option of the lessee, of not more than three years;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between only the Issuer and a Subsidiary of the Issuer or only between subsidiaries of the Issuer;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of property executed by the time of, or within 12 months after the latest of, the acquisition, the completion of construction or improvement, or the commencement of commercial operation of the property; and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and leaseback transaction if the value of the Attributable Debt incurred therein, together with the amount of indebtedness secured by liens described in clause (24) of “Permitted Liens” under “— Limitation on liens” above, does not exceed at any time outstanding the greater of (x) $990,000,000 and (y) 15% of Consolidated Total Assets.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the notes and the guarantee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except during the continuance of an event of default, the trustee will perform only such duties as are specifically set forth in such indenture. If an event of default has occurred and is continuing, the trustee will exercise such rights and powers vested in it under the indenture and use the same degree of care and skill in its exercise as a prudent person would exercise under the circumstances in the conduct of such person’s own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provisions of the Trust Indenture Act, incorporated by reference therein, will contain limitations on the rights of the trustee thereunder should it become a creditor of the Parent Guarantor, the Issuer or any of their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as fully-registered global notes which will be deposited with, or on behalf of, DTC and registered, at the request of DTC, in the name of Cede &amp; Co. Beneficial interests in the global notes will be represented through book-entry accounts of financial institutions acting on behalf of beneficial owners as direct or indirect participants in DTC. Investors may elect to hold their interests in the global notes through either DTC (in the United States) or (in Europe) through Clearstream or through Euroclear. Investors may hold their interests in the global notes directly if they are participants of such systems, or indirectly through organizations that are participants in these systems. Interests held through Clearstream and Euroclear will be recorded on DTC’s books as being held by the U.S. depositary for each of Clearstream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Euroclear (the “U.S. Depositories”), which U.S. Depositories will, in turn, hold interests on behalf of their participants’ customers’ securities accounts. Beneficial interests in the global notes will be held in denominations of $2,000 and multiples of $1,000 in excess thereof. Except as set forth below, the global notes may be transferred, in whole and not in part, only to another nominee of DTC or to a successor of DTC or its nominee. The deposit of the global notes with DTC and their registration in the name of Cede &amp; Co. do not effect any change in beneficial ownership.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noteholder may only exchange a beneficial interest in a global note for definitive notes registered in the holder’s name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the Issuer that it is unwilling or unable to continue serving as the depositary for the relevant global securities, or DTC ceases to maintain certain qualifications under the Exchange Act and no successor depositary has been appointed for 90 days; or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determines, in its sole discretion and subject to the procedures of DTC, that the global debt security shall be exchangeable.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note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note as directed by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principal and interest payments on all notes represented by a global note to the paying agent which in turn will make payment to DTC or its nominee, as the case may be, as the sole registered owner and the sole holder of the notes represented by a global note for all purposes under the indenture. Accordingly, we, the trustee and any paying agent will have no responsibility or liability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aspect of DTC’s records relating to, or payments made on account of, beneficial ownership interests in a debt security represented by a global note;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aspect of the relationship between DTC and its participants or the relationship between those participants and the owners of beneficial interests in a global note held through those participants; or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maintenance, supervision or review of any of DTC’s records relating to those beneficial ownership interests.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(nor any other DTC nominee) will consent or vote with respect to the notes unless authorized by a participant in accordance with DTC’s procedures. Under its usual procedures, DTC will mail to us an omnibus proxy as soon as possible after the applicable record date, which assigns Cede &amp; Co.’s consenting or voting rights to those participants whose accounts the notes are credited to on that record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 this section concerning DTC and DTC’s book-entry system has been obtained from sources that we believe to be reliable, but we take no responsibility for the accuracy thereof.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MUF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certain U.S. federal income tax considerations relating to the purchase, ownership and disposition of the notes by U.S. Holders and Non-U.S. Holders (each as defined below) that purchase such notes at their issue price (generally the first price at which a substantial amount of the notes is sold, excluding sales to bond houses, brokers or similar persons or organizations acting in the capacity of underwriters, placement agents or wholesalers) pursuant to this offering and hold such notes as capital assets. This discussion is based on the U.S. Internal Revenue Code of 1986, as amended (the “Code”), U.S. Treasury regulations promulgated or proposed thereunder and administrative and judicial interpretations thereof, all as in effect on the date hereof, and all of which are subject to change, possibly with retroactive effect, or to different interpretation. This discussion does not address all of the U.S. federal income tax considerations that may be relevant to specific Holders (as defined below) in light of their particular circumstances (including Holders that are directly or indirectly related to us via equity ownership or accrual method Holders that have an “applicable financial statement”) or to Holders subject to special treatment under U.S. federal income tax law (such as banks, insurance companies, dealers in securities or other Holders that generally mark their securities to market for U.S. federal income tax purposes, private university endowments and other tax-exempt entities, retirement plans, regulated investment companies, real estate investment trusts, certain former citizens or residents of the United States, Holders that hold a note as part of a straddle, hedge, conversion or other integrated transaction or U.S. Holders that have a functional currency other than the U.S. dollar). This discussion does not address any U.S. state or local or non-U.S. tax considerations or any U.S. federal estate, gift or alternative minimum tax considerations.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discussion, the term “U.S. Holder” means a beneficial owner of a note that, for U.S. federal income tax purposes, is (i) an individual who is a citizen or resident of the United States, (ii) a corporation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discussion, the term “Non-U.S. Holder” means a beneficial owner of a note that is neither a U.S. Holder nor a partnership for U.S. federal income tax purposes, and the term “Holder” means a U.S. Holder or a Non-U.S.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treated as a partnership for U.S. federal income tax purposes invests in a note, the U.S. federal income tax considerations relating to such investment will depend in part upon the status and activities of such entity and the particular partner. Any such entity should consult its own tax advisor regarding the U.S. federal income tax considerations applicable to it and its partners relating to the purchase, ownership and disposition of a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CONSIDERING AN INVESTMENT IN THE NOTES SHOULD CONSULT ITS OWN TAX ADVISOR REGARDING THE U.S. FEDERAL, STATE AND LOCAL AND NON-U.S. INCOME, ESTATE AND OTHER TAX CONSIDERATIONS RELATING TO THE PURCHASE, OWNERSHIP AND DISPOSITION OF THE NOTES IN LIGHT OF ITS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Additional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we are required to make payments on the notes other than stated principal and interest. For example, we are required to pay 101% of the principal amount of (a) any note purchased by us at the Holder’s election after a Change of Control Triggering Event, as described above under the heading “Description of Notes and Note Guarantee — Change of control offer to repurchase” or (b) in the case of the 20   notes, any 20   note redeemed by us upon the occurrence of the Special Mandatory Redemption, as described above under the heading “Description of Notes and Note Guarantee — Special mandatory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Treasury regulations provide special rules for contingent payment debt instruments that, if applicable, could cause the timing, amount and character of a Holder’s income, gain or loss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to be different from those described below. We intend to treat the possibility of our making any of the above payments as not causing the notes to be contingent payment debt instruments. Our treatment will be binding on all Holders, except a Holder that discloses its differing treatment in a statement attached to its timely filed U.S. federal income tax return for the taxable year during which such Holder acquired its notes. However, our treatment is not binding on the U.S. Internal Revenue Service (the “IRS”). If the IRS were to challenge our treatment, a Holder might be required to accrue income on the notes in excess of stated interest and to treat as ordinary income, rather than capital gain, gain recognized on the disposition of the notes. The remainder of this discussion assumes that the notes will not be treated as contingent payment debt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general, interest payable on a note will be taxable to a U.S. Holder as ordinary interest income when it is received or accrued, in accordance with such U.S. Holder’s regular method of accounting for U.S. federal income tax purposes. The Notes are expected to be issued with less than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original issue discount (“OID”). However, if the notes are not issued with less than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OID, each U.S. Holder generally will be required to include OID in income (as interest) as it accrues, regardless of its regular method of accounting for U.S. federal income tax purposes, using a constant yield method, before such U.S. Holder receives any payment attributable to such income. The remainder of this discussion assumes that the notes are issued with less than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OID.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Retirement or Other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exchange, retirement or other disposition of a note, a U.S. Holder generally will recognize gain or loss in an amount equal to the difference between the amount realized on such sale, exchange, retirement or other disposition (other than any amount attributable to accrued stated interest, which, if not previously included in such U.S. Holder’s income, will be taxable as interest income to such U.S. Holder) and such U.S. Holder’s “adjusted tax basis” in such note. A U.S. Holder’s adjusted tax basis in a note generally is the amount such U.S. Holder paid for such note decreased by the aggregate amount of payments (other than stated interest) on such note previously made to such U.S. Holder. Any gain or loss so recognized generally will be capital gain or loss and will be long-term capital gain or loss if such U.S. Holder has held such note for more than one year at the time of such sale, exchange, retirement or other disposition. Net long-term capital gain of certain non-corporate U.S. Holders generally is subject to preferential rates of tax.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Medicare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regular U.S. federal income tax, certain U.S. Holders that are individuals, estates or trusts are subject to a 3.8% tax on all or a portion of their net investment income, which may include all or a portion of their interest income on a note and net gain from the sale, exchange, retirement or other disposition of a note.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apply to payments to a U.S. Holder of interest on, or proceeds from the sale, exchange, retirement or other disposition of, a note, unless such U.S. Holder is an entity that is exempt from information reporting and, when required, demonstrates this fact. Any such payment to a U.S. Holder that is subject to information reporting generally will also be subject to backup withholding, unless such U.S. Holder provides the appropriate documentation (generally, IRS Form W-9) to the applicable withholding agent certifying that, among other things, its taxpayer identification number is correct, or otherwise establishes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generally will be allowed as a refund or a credit against a U.S. Holder’s U.S. federal income tax liability if the required information is furnished by such U.S. Holder on a timely basis to the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under “— Information Reporting and Backup Withholding” and “FATCA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payments of principal, interest and premium with respect to a note owned by a Non-U.S. Holder generally will not be subject to U.S. federal income or withholding tax;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amounts treated as payments of interest: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amounts are not effectively connected with the conduct of a trade or business in the United States by such Non-U.S. Holder; </w:t>
      </w:r>
      <w:r>
        <mc:AlternateContent>
          <mc:Choice Requires="wps">
            <w:drawing>
              <wp:anchor behindDoc="0" distT="97790" distB="0" distL="254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does not own, actually or constructively, 10% or more of the total combined voting power of all classes of the Issuer’s stock entitled to vote; </w:t>
      </w:r>
      <w:r>
        <mc:AlternateContent>
          <mc:Choice Requires="wps">
            <w:drawing>
              <wp:anchor behindDoc="0" distT="9779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is not a controlled foreign corporation described in section 957(a) of the Code that is related to us through actual or constructive stock ownership; </w:t>
      </w:r>
      <w:r>
        <mc:AlternateContent>
          <mc:Choice Requires="wps">
            <w:drawing>
              <wp:anchor behindDoc="0" distT="97790" distB="0" distL="254000" distR="0" simplePos="0" locked="0" layoutInCell="1" allowOverlap="1" relativeHeight="133">
                <wp:simplePos x="0" y="0"/>
                <wp:positionH relativeFrom="column">
                  <wp:align>left</wp:align>
                </wp:positionH>
                <wp:positionV relativeFrom="line">
                  <wp:align>top</wp:align>
                </wp:positionV>
                <wp:extent cx="254000" cy="52578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is not a bank whose receipt of such amounts is described in section 881(c)(3)(A) of the Code; and </w:t>
      </w:r>
      <w:r>
        <mc:AlternateContent>
          <mc:Choice Requires="wps">
            <w:drawing>
              <wp:anchor behindDoc="0" distT="97790" distB="0" distL="254000" distR="0" simplePos="0" locked="0" layoutInCell="1" allowOverlap="1" relativeHeight="134">
                <wp:simplePos x="0" y="0"/>
                <wp:positionH relativeFrom="column">
                  <wp:align>left</wp:align>
                </wp:positionH>
                <wp:positionV relativeFrom="line">
                  <wp:align>top</wp:align>
                </wp:positionV>
                <wp:extent cx="254000" cy="525780"/>
                <wp:effectExtent l="0" t="0" r="0" b="0"/>
                <wp:wrapSquare wrapText="right"/>
                <wp:docPr id="131" name="Frame1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 requirements described below are satisfied; and </w:t>
      </w:r>
      <w:r>
        <mc:AlternateContent>
          <mc:Choice Requires="wps">
            <w:drawing>
              <wp:anchor behindDoc="0" distT="9779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Non-U.S. Holder generally will not be subject to U.S. federal income or withholding tax on any gain recognized on the sale, exchange, retirement or other disposition of a note, unless (i) such gain is effectively connected with the conduct of a trade or business in the United States by such Non-U.S. Holder (and, if required by an applicable income tax treaty, the Non-U.S. Holder maintains a permanent establishment in the United States to which such gain is attributable), in which event such gain generally will be subject to U.S. federal income tax in the manner described below, or (ii) such Non-U.S. Holder is an individual who is present in the United States for 183 days or more during the taxable year of such sale, exchange, retirement or other disposition and certain other conditions are met, in which event such gain (net of certain U.S. source losses) generally will be subject to U.S. federal income tax at a rate of 30% (except as provided by an applicable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 requirements referred to in clause (a)(v) above generally will be satisfied if the Non-U.S. Holder provides the applicable withholding agent with a statement (generally on IRS Form W-8BEN or W-8BEN-E), signed under penalties of perjury, stating, among other things, that such Non-U.S. Holder is not a U.S. person. U.S. Treasury regulations provide additional rules for a note held through one or more intermediaries or pass-through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requirements set forth in clause (a) above are not satisfied with respect to a Non-U.S. Holder, amounts treated as payments of interest generally will be subject to U.S. federal withholding tax at a rate of 30%, unless another exemption is applicable. For example, an applicable tax treaty may reduce or eliminate this withholding tax if such Non-U.S. Holder provides the appropriate documentation (generally, IRS Form W-8BEN or W-8BEN-E) to the applicable withholding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 Non-U.S. Holder is engaged in the conduct of a trade or business in the United States, and if amounts treated as interest on a note or gain recognized on the sale, exchange, retirement or other disposition of a note are effectively connected with such trade or business (and, if required by an applicable income tax treaty, the Non-U.S. Holder maintains a permanent establishment in the United States to which such interest or gain is attributable), such Non-U.S. Holder generally will not be subject to U.S. federal withholding tax on such interest or gain;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amounts treated as interest, such Non-U.S. Holder provides the appropriate documentation (generally, IRS Form W-8ECI) to the applicable withholding agent. Instead, such Non-U.S. Holder generally will be subject to U.S. federal income tax (but not the Medicare Tax described above) on such interest or gain in substantially the same manner as a U.S. Holder (except as provided by an applicable tax treaty). In addition, a Non-U.S. Holder that is treated as a corporation for U.S. federal income tax purposes may be subject to a branch profits tax at a rate of 30% (or a lower rate if provided by an applicable tax treaty) on its effectively connected income for the taxable year, subject to certain adjustments.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treated as payments of interest on a note to a Non-U.S. Holder and the amount of any U.S. federal tax withheld from such payments generally will be reported annually to the IRS and to such Non-U.S. Holder by the applicable withholding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reporting and backup withholding rules that apply to payments of interest to certain U.S. Holders generally will not apply to amounts treated as payments of interest to a Non-U.S. Holder if such Non-U.S. Holder certifies under penalties of perjury that it is not a U.S. person (generally by providing an IRS Form W-8BEN or W-8BEN-E to the applicable withholding agent) or otherwise establishes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Proceeds from the sale, exchange, retirement or other disposition of a note by a Non-U.S. Holder effected outside the United States through a non-U.S. office of a non-U.S. broker generally will not be subject to the information reporting and backup withholding rules that apply to payments to certain U.S. Holders;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proceeds are paid to the Non-U.S. Holder outside the United States. However, proceeds from the sale, exchange, retirement or other disposition of a note by a Non-U.S. Holder effected through a non-U.S. office of a non-U.S. broker with certain specified U.S. connections or of a U.S. broker generally will be subject to these information reporting rules (but generally not to these backup withholding rules), even if the proceeds are paid to such Non-U.S. Holder outside the United States, unless such Non-U.S. Holder certifies under penalties of perjury that it is not a U.S. person (generally by providing an IRS Form W-8BEN or W-8BEN-E to the applicable withholding agent) or otherwise establishes an exemption. Proceeds from the sale, exchange, retirement or other disposition of a note by a Non-U.S. Holder effected through a U.S. office of a broker generally will be subject to these information reporting and backup withholding rules, unless such Non-U.S. Holder certifies under penalties of perjury that it is not a U.S. person (generally by providing an IRS Form W-8BEN or W-8BEN-E to the applicable withholding agent) or otherwise establishes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generally will be allowed as a refund or a credit against a Non-U.S. Holder’s U.S. federal income tax liability if the required information is furnished by such Non-U.S. Holder on a timely basis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Foreign Account Tax Compliance Act provisions of the Code and related U.S. Treasury guidance (“FATCA”), a withholding tax of 30% will be imposed in certain circumstances on payments of interest on the notes.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(or fails to comply with) similar requirements under applicable foreign law enacted in connection with an IGA. Each Holder should consult its own tax advisor regarding the application of FATCA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COI"/>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underwriting agreement dated the date of this prospectus supplement, each underwriter named below, for whom BofA Securities, Inc., J.P. Morgan Securities LLC, PNC Capital Markets LLC and Truist Securities, Inc. are acting as representatives, has severally and not jointly agreed to purchase, and we have agreed to sell to that underwriter, the principal amount of notes set forth opposite such underwriter’s name below at the public offering price less the underwriting discount set forth on the cover page of this prospectus supplement: </w:t>
      </w:r>
    </w:p>
    <w:tbl>
      <w:tblPr>
        <w:tblW w:w="4390" w:type="dxa"/>
        <w:jc w:val="left"/>
        <w:tblInd w:w="1393" w:type="dxa"/>
        <w:tblLayout w:type="fixed"/>
        <w:tblCellMar>
          <w:top w:w="0" w:type="dxa"/>
          <w:left w:w="0" w:type="dxa"/>
          <w:bottom w:w="43" w:type="dxa"/>
          <w:right w:w="0" w:type="dxa"/>
        </w:tblCellMar>
      </w:tblPr>
      <w:tblGrid>
        <w:gridCol w:w="2912"/>
        <w:gridCol w:w="109"/>
        <w:gridCol w:w="109"/>
        <w:gridCol w:w="112"/>
        <w:gridCol w:w="234"/>
        <w:gridCol w:w="648"/>
        <w:gridCol w:w="112"/>
        <w:gridCol w:w="154"/>
      </w:tblGrid>
      <w:tr>
        <w:trPr/>
        <w:tc>
          <w:tcPr>
            <w:tcW w:w="2912"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6"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amount of</w:t>
            </w:r>
            <w:r>
              <w:rPr/>
              <w:t xml:space="preserve"> </w:t>
              <w:br/>
            </w:r>
            <w:r>
              <w:rPr>
                <w:spacing w:val="-3"/>
              </w:rPr>
              <w:t xml:space="preserve">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12"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12"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12" w:type="dxa"/>
            <w:tcBorders/>
            <w:shd w:fill="CCEEFF" w:val="clear"/>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1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tcMar>
              <w:bottom w:w="50" w:type="dxa"/>
            </w:tcMar>
            <w:vAlign w:val="center"/>
          </w:tcPr>
          <w:p>
            <w:pPr>
              <w:pStyle w:val="TableContents"/>
              <w:bidi w:val="0"/>
              <w:spacing w:before="0" w:after="283"/>
              <w:jc w:val="righ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1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several underwriters to purchase the notes included in this offering be subject to approval of legal matters by counsel and to other conditions, including delivery of customary certificates and opinions. The underwriters are obligated to purchase all the notes if they purchase any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initially propose to offer the notes to the public at the public offering price as set forth on the cover page of this prospectus supplement. The underwriters may offer the notes to selected dealers at the public offering price minus a concession of up to    % of the principal amount of the notes. The underwriters may allow, and those selected dealers may reallow, a concession of up to    % of the principal amount of the notes. After the initial offering, the underwriters may change the public offering price and any other selling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may offer and sell notes through certain of their affiliates. The offering of the notes by the underwriters is subject to receipt and acceptance and subject to the underwriters’ right to reject any order in whole or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underwriting discount that we are to pay to the underwriters in connection with this offering (expressed as a percentage of the principal amount of the notes and in total): </w:t>
      </w:r>
    </w:p>
    <w:tbl>
      <w:tblPr>
        <w:tblW w:w="2698" w:type="dxa"/>
        <w:jc w:val="left"/>
        <w:tblInd w:w="1393" w:type="dxa"/>
        <w:tblLayout w:type="fixed"/>
        <w:tblCellMar>
          <w:top w:w="0" w:type="dxa"/>
          <w:left w:w="0" w:type="dxa"/>
          <w:bottom w:w="28" w:type="dxa"/>
          <w:right w:w="0" w:type="dxa"/>
        </w:tblCellMar>
      </w:tblPr>
      <w:tblGrid>
        <w:gridCol w:w="981"/>
        <w:gridCol w:w="109"/>
        <w:gridCol w:w="109"/>
        <w:gridCol w:w="109"/>
        <w:gridCol w:w="226"/>
        <w:gridCol w:w="901"/>
        <w:gridCol w:w="109"/>
        <w:gridCol w:w="154"/>
      </w:tblGrid>
      <w:tr>
        <w:trPr/>
        <w:tc>
          <w:tcPr>
            <w:tcW w:w="9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Paid by 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1" w:type="dxa"/>
            <w:tcBorders/>
            <w:shd w:fill="CCEEFF" w:val="clear"/>
            <w:tcMar>
              <w:bottom w:w="0" w:type="dxa"/>
            </w:tcMar>
            <w:vAlign w:val="center"/>
          </w:tcPr>
          <w:p>
            <w:pPr>
              <w:pStyle w:val="TableContents"/>
              <w:bidi w:val="0"/>
              <w:spacing w:before="0" w:after="0"/>
              <w:jc w:val="left"/>
              <w:rPr>
                <w:spacing w:val="4"/>
              </w:rPr>
            </w:pPr>
            <w:r>
              <w:rPr>
                <w:spacing w:val="4"/>
              </w:rPr>
              <w:t xml:space="preserve">Per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1"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total expenses for this offering, excluding the underwriting discount, will be approximately $             million, which will be payable by us. We have also agreed to reimburse the underwriters for certain of their expenses in an amount up to $15,000.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indemnify the several underwriters against certain liabilities, including liabilities under the Securities Act, or contribute to payments that the underwriters may be required to make in respect of those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and there is currently no established trading market for the notes. We do not intend to apply for the notes to be listed on any securities exchange or to arrange for the notes to be quoted on any automated quotation system. The underwriters have advised us that they intend to make a market in the notes, but they are not obligated to do so. The underwriters may discontinue any market making in the notes at any time in their sole discretion without notice. No assurance can be given as to the liquidity of the trading market for the notes or that an active public market for the notes will develop. If an active public trading market for the notes does not develop, the market price and liquidity of the notes may be adversely affected.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representatives, on behalf of the underwriters, may engage in transactions that stabilize, maintain or otherwise affect the price of the notes. Specifically, the representatives may overallot in connection with the offering, creating a short position. In addition, the representatives may bid for, and purchase, the notes in the open market to cover short positions or to stabilize the price of the notes. Any of these activities may stabilize or maintain the market price of the notes above independent market levels, but no representation is made hereby of the magnitude of any effect that the transactions described above may have on the market price of the notes. The underwriters will not be required to engage in these activities, and may engage in these activities, and may end any of these activities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This occurs when a particular underwriter repays to the underwriters a portion of the underwriting discount received by it because the representatives of the underwriters have repurchased notes sold by or for the account of such underwriter in stabilizing or short covering transactions. 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over-the-counter-market or otherwise. If underwriters commence any of these transactions, they may discontinue them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against payment therefor on             , 2026, which will be the     business day following the trade date (such settlement being referred to as “T+  ”). Under Rule 15c6-1 under the Exchange Act, trades in the secondary market are required to settle in one business day, unless the parties to any such trade expressly agree otherwise. Accordingly, purchasers who wish to trade notes more than one business day prior to         , 2026 will be required, by virtue of the fact that the notes initially settle in T+  , to specify an alternate settlement arrangement at the time of any such trade to prevent a failed settlement. Purchasers of the notes who wish to trade the notes during such period should consult their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In the ordinary course of their respective businesses, the underwriters or their affiliates have engaged, or may in the future engage, in various financial advisory, commercial banking or investment banking services for us and our affiliates, for which they received or will receive customary fees and expense reimbursement. Certain of the underwriters or their respective affiliates are lenders and/or agents under our Credit Agreement. Further, as certain of the underwriters or their affiliates are lenders under our Tranche A-1 Term Loan, such underwriters or their affiliates may receive a portion of the net proceeds from this offering. 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affiliates of BofA Securities, Inc. are lenders under our Tranche A-1 Term Loan and BofA Securities, Inc. will receive 5% or more of the net proceeds of this offering due to the repayment of borrowings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Tranche A-1 Term Loan, BofA Securities, Inc. is deemed to have a conflict of interest within the meaning of FINRA Rule 5121. Accordingly, this offering will be conducted in accordance with FINRA Rule 5121. The appointment of a “qualified independent underwriter” is not required in connection with this offering as the notes will be rated by one or more of the nationally recognized statistical rating organizations in one of the four highest generic rating categories. Pursuant to FINRA Rule 5121, BofA Securities, Inc. will not confirm any sales to any account over which they exercise discretionary authority without the specific written approval of the account holder. See “Use of Proceeds”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in Canada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applicable prospectus supplement does not include a section entitled “Prohibition of sales to EEA retail investors,” then in relation to each Member State of the EEA (each, a “Relevant State”) each underwriter in connection with an offering of debt securities will represent and agree that it has not made and will not make an offer of debt securities which are the subject of the offering contemplated by this prospectus as completed by the applicable prospectus supplement in relation thereto to the public in that Relevant State except that it may make an offer of such debt securities to the public in that Relevant State: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any time to any legal entity which is a qualified investor as defined in the Prospectus Regulation;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any time to fewer than 150 natural or legal persons (other than qualified investors as defined in the Prospectus Regulation), subject to obtaining the prior consent of the relevant underwriter, dealer or agent nominated by us for any such offer; or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at any time in any other circumstances falling within Article 1(4) of the Prospectus Regulation,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debt securities referred to in (a) to (c) above shall require us or any underwriter, to publish a prospectus pursuant to Article 3 of the Prospectus Regulation or supplement a prospectus pursuant to Article 23 of the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of debt securities to the public” in relation to any debt securities in any Relevant State means the communication in any form and by any means of sufficient information on the terms of the offer and the debt securities to be offered so as to enable an investor to decide to purchase or subscribe for the debt securities and the expression “Prospectus Regulation” means Regulation (EU) 2017/1129, as amended.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applicable prospectus supplement includes a section entitled “Prohibition of sales to EEA retail investors,” then each underwriter will represent and agree that it has not offered, sold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made available and will not offer, sell or otherwise make available any debt securities which are the subject of the offering contemplated by the applicable prospectus supplement to any retail investor in the EEA. For the purposes of this provision: (a) the expression “retail investor” means a person who is one (or more) of the following: (i) a retail client as defined in point (11) of Article 4(1) of MiFID II; or (ii) a customer within the meaning of the Insurance Distribution Directive,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debt securities to be offered so as to enable an investor to decide to purchase or subscribe for the debt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in connection with an offering of debt securities will represent and agree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it has only communicated or caused to be communicated and will only communicate or cause to be communicated an invitation or inducement to engage in investment activity (within the meaning of section 21 of the FSMA) received by it in connection with the issue or sale of any debt securities in circumstances in which section 21(1) of the FSMA does not apply to us;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it has complied and will comply with all applicable provisions of the FSMA with respect to anything done by it in relation to any debt securities in, from or otherwise involving the UK.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applicable prospectus supplement does not include a section entitled “Prohibition of sales to UK retail investors”, then each underwriter, dealer or agent in connection with an offering of debt securities will represent and agree that it has not made and will not make an offer of debt securities which are the subject of this prospectus as completed by the applicable prospectus supplement in relation thereto to the public in the UK except that it may make an offer of such debt securities to the public in the UK: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any time to any legal entity which is a qualified investor as defined in paragraph 15 of Schedule 1 to the POATRs;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any time to fewer than 150 persons (other than qualified investors as defined in paragraph 15 of Schedule 1 to the POATRs) in the UK subject to obtaining the prior consent of the relevant underwriter, dealer or agent nominated by us for any such offer; or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at any time in any other circumstances falling within Part 1 of Schedule 1 to the POATRs.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applicable prospectus supplement includes a section entitled “Prohibition of sales to UK retail investors,” each underwriter will represent and agree that it has not offered, sold, distributed or otherwise made available and will not offer, sell, distribute or otherwise make available any debt securities which are the subject of the applicable prospectus supplement to any retail investor in the UK. For these purposes, a retail investor means a person who is either one (or both) of the following: (i) not a professional client, as defined in point (8) of Article 2(1) of Regulation (EU) No 600/2014 as it forms part of UK domestic law; or (ii) not a qualified investor as defined in paragraph 15 of Schedule 1 to the POATRs. Consequently, no disclosure document required by the FCA Product Disclosure Sourcebook of the UK Financial Conduct Authority (the “DISC”) for offering, selling or distributing the Notes or otherwise making such Notes available to retail investors in the UK has been prepared and, therefore, offering, selling or distributing the Notes or otherwise making such Notes available to any retail investor in the UK may be unlawful under the DISC and the Consumer Composite Investments (Designated Activities) Regulations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thereunder; or in other circumstances which do not result in the document being a “prospectus” as defined in the Companies Ordinance (Cap. 32) of Hong Kong (the “CO”) or which do not constitute an offer or invitation to the public within the meaning of the CO or the SFO; and no advertisement, invitation or document relating to the notes may be issued or may be in the possession of any person for the purpose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whether in Hong Kong or elsewhere, which is directed at, or the contents of which are likely to be accessed or read by, the public of Hong Kong (except if permitted under the securities laws of Hong Kong) other than with respect to the notes which are or are intended to be disposed of only to persons outside Hong Kong or only to “professional investors” as defined in the SFO and any rules made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Instruments and Exchange Act of Japan (Act No. 25 of 1948 of Japan, as amended, the “FIEA”), and the notes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of the notes in Switzerland is exempt from requirement to prepare and publish a prospectus under the Swiss Financial Services Act (“FinSA”) because such offering is made to professional clients within the meaning of the FinSA only and the notes will not be admitted to trading on any trading venue (exchange or multilateral trading facility) in Switzerland. This prospectus supplement does not constitute a prospectus pursuant to the FinSA, and no such prospectus has been or will be prepared for or in connection with the offering of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EX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offered hereby and the guarantee will be passed upon for us by Debevoise &amp; Plimpton LLP, New York, New York. The validity of the notes offered hereby and the guarantee will be passed upon for the underwriters by Latham &amp; Watkins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Booz Allen Hamilton Holding Corporation appearing in Booz Allen Hamilton Holding Corporation’s </w:t>
      </w:r>
      <w:hyperlink r:id="rId13">
        <w:r>
          <w:rPr>
            <w:rStyle w:val="InternetLink"/>
          </w:rPr>
          <w:t>Annual Report (Form 10-K) for the year ended March 31, 2026</w:t>
        </w:r>
      </w:hyperlink>
      <w:r>
        <w:rPr>
          <w:rFonts w:ascii="Times New Roman;Times;serif" w:hAnsi="Times New Roman;Times;serif"/>
          <w:b w:val="false"/>
          <w:i w:val="false"/>
          <w:caps w:val="false"/>
          <w:smallCaps w:val="false"/>
          <w:color w:val="000000"/>
          <w:spacing w:val="4"/>
          <w:sz w:val="20"/>
        </w:rPr>
        <w:t>, and the effectiveness of Booz Allen Hamilton Holding Corporation’s internal control over financial reporting as of March 31, 2026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305175" cy="552450"/>
            <wp:effectExtent l="0" t="0" r="0" b="0"/>
            <wp:docPr id="1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 descr=""/>
                    <pic:cNvPicPr>
                      <a:picLocks noChangeAspect="1" noChangeArrowheads="1"/>
                    </pic:cNvPicPr>
                  </pic:nvPicPr>
                  <pic:blipFill>
                    <a:blip r:embed="rId14"/>
                    <a:stretch>
                      <a:fillRect/>
                    </a:stretch>
                  </pic:blipFill>
                  <pic:spPr bwMode="auto">
                    <a:xfrm>
                      <a:off x="0" y="0"/>
                      <a:ext cx="3305175" cy="5524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26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Booz Allen Hamilton Holding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1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Guarantees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400" w:before="1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Booz Allen Hamilton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1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Guarantees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this prospectus, we may offer from time to time the securities described in this prospectus separately or together in any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specific terms of any securities to be offered in supplements to this prospectus. You should read this prospectus and any prospectus supplement, as well as the documents incorporated by reference therein, carefully before you invest. A prospectus supplement may also change, add to, update, supplement or clarify information contained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use this prospectus to confirm sales of any of our securities unless it is attached to a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symbol “BAH.” Unless we state otherwise in this prospectus or an accompanying prospectus supplement, other than our common stock, we will not list any of these securities on any securities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agents, underwriters, dealers or other third parties or directly to one or more purchasers on a continuous or delayed basis.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24"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risks. See “</w:t>
      </w:r>
      <w:r>
        <w:rPr>
          <w:rFonts w:ascii="Times New Roman;Times;serif" w:hAnsi="Times New Roman;Times;serif"/>
          <w:b/>
          <w:i w:val="false"/>
          <w:caps w:val="false"/>
          <w:smallCaps w:val="false"/>
          <w:color w:val="000000"/>
          <w:spacing w:val="-4"/>
          <w:sz w:val="20"/>
          <w:u w:val="single"/>
        </w:rPr>
        <w:t>Risk Factors</w:t>
      </w:r>
      <w:r>
        <w:rPr>
          <w:rFonts w:ascii="Times New Roman;Times;serif" w:hAnsi="Times New Roman;Times;serif"/>
          <w:b/>
          <w:i w:val="false"/>
          <w:caps w:val="false"/>
          <w:smallCaps w:val="false"/>
          <w:color w:val="000000"/>
          <w:spacing w:val="-4"/>
          <w:sz w:val="20"/>
        </w:rPr>
        <w:t xml:space="preserve">”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xml:space="preserve"> of this prospectus, and any risk factors described in any accompanying prospectus supplement and in our filings with the U.S. Securities and Exchange Commission that are incorporated by reference into this prospectus and any accompanying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9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July 24,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II">
              <w:r>
                <w:rPr>
                  <w:rStyle w:val="InternetLink"/>
                  <w:spacing w:val="4"/>
                </w:rPr>
                <w:t xml:space="preserve">CERTAIN IMPORTANT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II">
              <w:r>
                <w:rPr>
                  <w:rStyle w:val="InternetLink"/>
                  <w:spacing w:val="4"/>
                </w:rPr>
                <w:t>ii</w:t>
              </w:r>
            </w:hyperlink>
            <w:hyperlink w:anchor="tCI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CNRF">
              <w:r>
                <w:rPr>
                  <w:rStyle w:val="InternetLink"/>
                  <w:spacing w:val="4"/>
                </w:rPr>
                <w:t>iii</w:t>
              </w:r>
            </w:hyperlink>
            <w:hyperlink w:anchor="t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NRRO">
              <w:r>
                <w:rPr>
                  <w:rStyle w:val="InternetLink"/>
                  <w:spacing w:val="4"/>
                </w:rPr>
                <w:t xml:space="preserve">NOTE REGARDING RELIANCE ON STATEMENTS IN OUR CONTRACTS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NRRO">
              <w:r>
                <w:rPr>
                  <w:rStyle w:val="InternetLink"/>
                  <w:spacing w:val="4"/>
                </w:rPr>
                <w:t>iv</w:t>
              </w:r>
            </w:hyperlink>
            <w:hyperlink w:anchor="tNR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THCO">
              <w:r>
                <w:rPr>
                  <w:rStyle w:val="InternetLink"/>
                  <w:spacing w:val="4"/>
                </w:rPr>
                <w:t>1</w:t>
              </w:r>
            </w:hyperlink>
            <w:hyperlink w:anchor="tTH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2</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GO">
              <w:r>
                <w:rPr>
                  <w:rStyle w:val="InternetLink"/>
                  <w:spacing w:val="4"/>
                </w:rPr>
                <w:t xml:space="preserve">DESCRIPTION OF GUARANTEES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GO">
              <w:r>
                <w:rPr>
                  <w:rStyle w:val="InternetLink"/>
                  <w:spacing w:val="4"/>
                </w:rPr>
                <w:t>3</w:t>
              </w:r>
            </w:hyperlink>
            <w:hyperlink w:anchor="tDOG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4</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CS">
              <w:r>
                <w:rPr>
                  <w:rStyle w:val="InternetLink"/>
                  <w:spacing w:val="4"/>
                </w:rPr>
                <w:t>15</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19</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W">
              <w:r>
                <w:rPr>
                  <w:rStyle w:val="InternetLink"/>
                  <w:spacing w:val="4"/>
                </w:rPr>
                <w:t>22</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PC">
              <w:r>
                <w:rPr>
                  <w:rStyle w:val="InternetLink"/>
                  <w:spacing w:val="4"/>
                </w:rPr>
                <w:t xml:space="preserve">DESCRIPTION OF PURCHASE CONTRACTS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PC">
              <w:r>
                <w:rPr>
                  <w:rStyle w:val="InternetLink"/>
                  <w:spacing w:val="4"/>
                </w:rPr>
                <w:t>25</w:t>
              </w:r>
            </w:hyperlink>
            <w:hyperlink w:anchor="tDO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U">
              <w:r>
                <w:rPr>
                  <w:rStyle w:val="InternetLink"/>
                  <w:spacing w:val="4"/>
                </w:rPr>
                <w:t>27</w:t>
              </w:r>
            </w:hyperlink>
            <w:hyperlink w:anchor="tDO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28</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VOS">
              <w:r>
                <w:rPr>
                  <w:rStyle w:val="InternetLink"/>
                  <w:spacing w:val="4"/>
                </w:rPr>
                <w:t xml:space="preserve">VALIDITY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VOS">
              <w:r>
                <w:rPr>
                  <w:rStyle w:val="InternetLink"/>
                  <w:spacing w:val="4"/>
                </w:rPr>
                <w:t>31</w:t>
              </w:r>
            </w:hyperlink>
            <w:hyperlink w:anchor="tV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31</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WYCF">
              <w:r>
                <w:rPr>
                  <w:rStyle w:val="InternetLink"/>
                  <w:spacing w:val="4"/>
                </w:rPr>
                <w:t>31</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IBR">
              <w:r>
                <w:rPr>
                  <w:rStyle w:val="InternetLink"/>
                  <w:spacing w:val="4"/>
                </w:rPr>
                <w:t>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
      <w:bookmarkEnd w:id="17"/>
      <w:r>
        <w:rPr>
          <w:rFonts w:ascii="calibri;arial;sans-serif" w:hAnsi="calibri;arial;sans-serif"/>
          <w:b w:val="false"/>
          <w:i w:val="false"/>
          <w:caps w:val="false"/>
          <w:smallCaps w:val="false"/>
          <w:color w:val="000000"/>
          <w:sz w:val="16"/>
        </w:rPr>
        <w:t>​</w:t>
      </w:r>
      <w:bookmarkStart w:id="18" w:name="tCI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U.S. Securities and Exchange Commission (the “SEC”) utilizing a “shelf” registration process. Under this shelf registration process, we are registering an unspecified amount of each class of the securities described in this prospectus, and we may sell any combination of the securities described in this prospectus in one or more offerings. In addition, we or any of our affiliates may use this prospectus and the applicable prospectus supplement in a remarketing or other resale transaction involving the securities after their initial sale. This prospectus provides you with a general description of the securities we may offer. Each time we sell securities, we will provide a prospectus supplement that will contain specific information about the terms of that offering. The prospectus supplement may also add to, change, update, supplement or clarify information contained in this prospectus. Any statement made in this prospectus will be modified or superseded by any inconsistent statement made in a prospectus supplement. The rules of the SEC allow us to incorporate by reference information into this prospectus. This information incorporated by reference is considered to be a part of this prospectus, and information that we file later with the SEC will automatically update and supersede this information. See “Incorporation by Reference.” You should read both this prospectus and any prospectus supplement together with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person has been authorized to give any information or to make any representations, other than those contained or incorporated by reference in this prospectus and, if given or made, such information or representation must not be relied upon as having been authorized by us, or any underwriter, agent, dealer or remarketing firm. Neither the delivery of this prospectus nor any sale made hereunder shall under any circumstances create any implication that there has been no change in the affairs of the Company since the date hereof or that the information contained or incorporated by reference herein is correct as of any time subsequent to the date of such information. This prospectus does not constitute an offer to sell or a solicitation of an offer to buy any securities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IMPORTANT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the following terms in this prospectus: </w:t>
      </w:r>
    </w:p>
    <w:p>
      <w:pPr>
        <w:pStyle w:val="TextBody"/>
        <w:bidi w:val="0"/>
        <w:spacing w:lineRule="atLeast" w:line="240" w:before="120" w:after="0"/>
        <w:ind w:left="2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val="false"/>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refer to Booz Allen Hamilton Holding Corporation, a Delaware corporation, and its subsidiaries, taken as a whole, unless the context otherwise requires (for example, in the descriptions of the securities in this prospectus, “</w:t>
      </w:r>
      <w:r>
        <w:rPr>
          <w:rFonts w:ascii="Times New Roman;Times;serif" w:hAnsi="Times New Roman;Times;serif"/>
          <w:b w:val="false"/>
          <w:i/>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refer to Booz Allen Hamilton Holding Corporation and Booz Allen Hamilton Inc. as the issuers of securities described in this prospectus, and the “</w:t>
      </w:r>
      <w:r>
        <w:rPr>
          <w:rFonts w:ascii="Times New Roman;Times;serif" w:hAnsi="Times New Roman;Times;serif"/>
          <w:b w:val="false"/>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refers to Booz Allen Hamilton Holding Corporation and not to any of its subsidiaries); and </w:t>
      </w:r>
      <w:r>
        <mc:AlternateContent>
          <mc:Choice Requires="wps">
            <w:drawing>
              <wp:anchor behindDoc="0" distT="76200" distB="0" distL="508000" distR="0" simplePos="0" locked="0" layoutInCell="1" allowOverlap="1" relativeHeight="136">
                <wp:simplePos x="0" y="0"/>
                <wp:positionH relativeFrom="column">
                  <wp:align>left</wp:align>
                </wp:positionH>
                <wp:positionV relativeFrom="line">
                  <wp:align>top</wp:align>
                </wp:positionV>
                <wp:extent cx="381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Booz Allen Hamilton</w:t>
      </w:r>
      <w:r>
        <w:rPr>
          <w:rFonts w:ascii="Times New Roman;Times;serif" w:hAnsi="Times New Roman;Times;serif"/>
          <w:b w:val="false"/>
          <w:i w:val="false"/>
          <w:caps w:val="false"/>
          <w:smallCaps w:val="false"/>
          <w:color w:val="000000"/>
          <w:spacing w:val="4"/>
          <w:sz w:val="20"/>
        </w:rPr>
        <w:t xml:space="preserve">” refers to Booz Allen Hamilton Inc., our primary operating company and a wholly-owned subsidiary of the Company. </w:t>
      </w:r>
      <w:r>
        <mc:AlternateContent>
          <mc:Choice Requires="wps">
            <w:drawing>
              <wp:anchor behindDoc="0" distT="76200" distB="0" distL="508000" distR="0" simplePos="0" locked="0" layoutInCell="1" allowOverlap="1" relativeHeight="137">
                <wp:simplePos x="0" y="0"/>
                <wp:positionH relativeFrom="column">
                  <wp:align>left</wp:align>
                </wp:positionH>
                <wp:positionV relativeFrom="line">
                  <wp:align>top</wp:align>
                </wp:positionV>
                <wp:extent cx="381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NR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contained or incorporated in this prospectus and any accompanying prospectus supplement, the documents incorporated by reference herein and therein, and other oral or written statements that we make from time to time may contain information that includes or is based upon forward-looking statements within the meaning of the Private Securities Litigation Reform Act of 1995.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the risks and factors described under “Risk Factors” in our most recent Annual Report on Form 10-K, as updated by our Quarterly Reports on Form 10-Q, our subsequent filings under the Securities Exchange Act of 1934, as amended (the “Exchange Act”), and all other information contained or incorporated by reference into this prospectus as well as the risk factors and other information contained or incorporated by reference in the applicable prospectus supplement. 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NRR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REGARDING RELIANCE ON STATEMENTS IN OUR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reviewing the agreements included as exhibits to any of the documents incorporated by reference into this prospectus and any accompanying prospectus supplement, please remember that they are included to provide you with information regarding their terms and are not intended to provide any other factual or disclosure information about the Company or the other parties to the agreements. The agreements contain representations and warranties by each of the parties to the applicable agreement. These representations and warranties have been made solely for the benefit of the other parties to the applicable agreement and: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not in all instances be treated as categorical statements of fact, but rather as a way of allocating the risk to one of the parties if those statements prove to be inaccurate;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been qualified by disclosures that were made to the other party in connection with the negotiation of the applicable agreement, which disclosures are not necessarily reflected in the agreement;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apply standards of materiality in a way that is different from what may be viewed as material to investors; and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made only as of the date of the applicable agreement or such other date or dates as may be specified in the agreement and are subject to more recent developments.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these representations and warranties may not describe the actual state of affairs as of the date they were made or at any other time. Additional information about the Company may be found elsewhere in this prospectus and any accompanying prospectus supplement, as well as the Company’s other public filings, which are available without charge through the SEC’s website at www.sec.gov.</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HC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Booz Allen Hamilton Holding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is an advanced technology company building products and solutions for government and business. For more than 112 years, Booz Allen has evolved to meet the needs of commercial, international, and government customers. After September 11th, 2001, the Company undertook a fundamental transformation when it expanded into critical and sensitive national security missions. Our teams began delivering mission impact, executing full-spectrum cyber operations, helping the U.S. military counter the threat of improvised explosive devices, standing up counter-terrorism fusion centers, and supporting intelligence missions. This work helped lay the foundation for the Company’s national security portfolio and strengthened its credibility in highly complex missions. In 2008, a strategic business decision was made to prioritize and protect the Company’s government and national security interests and spin off its global commercial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2013, Booz Allen began another massive multi-year transformation by making significant investments in the emerging technologies that would help transform government. The Company rebuilt its workforce with technologists that bring deep mission expertise in national security and other core government missions. These investments propelled Booz Allen as a leader in artificial intelligence (“AI”), cyber, quantum, and other advanced technologies.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Today, Booz Allen is a leader at the forefront of the nation’s technology ecosystem. We build tech for a diverse base of federal government and commercial customers, both domestically and in select foreign locations. By investing in emerging technologies, talent, and new business models, including partnerships with leading technology companies, venture investments, and the development of military grade products, we are accelerating the delivery of tech solutions.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Booz Allen Hamilton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Inc. is an indirect, wholly-owned subsidiary of Booz Allen Hamilton Holding Corporation, and the primary operating company of Booz Allen Hamilton Holding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executive office for both Booz Allen Hamilton Holding Corporation and Booz Allen Hamilton Inc. is located at 8283 Greensboro Drive, McLean, Virginia 22102, and our telephone number is (703) 902-5000.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RIFA"/>
      <w:bookmarkEnd w:id="22"/>
      <w:r>
        <w:rPr>
          <w:rFonts w:ascii="calibri;arial;sans-serif" w:hAnsi="calibri;arial;sans-serif"/>
          <w:b w:val="false"/>
          <w:i w:val="false"/>
          <w:caps w:val="false"/>
          <w:smallCaps w:val="false"/>
          <w:color w:val="000000"/>
          <w:sz w:val="16"/>
        </w:rPr>
        <w:t>​</w:t>
      </w:r>
      <w:bookmarkStart w:id="23" w:name="t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risks. You should carefully consider the risk factors incorporated by reference to our most recent Annual Report on Form 10-K, as updated by our subsequent filings under the Exchange Act, and all other information contained or incorporated by reference into this prospectus as well as the risk factors and other information contained or incorporated by reference in the applicable prospectus supplement before making a decision to invest in our securities. See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we intend to use the net proceeds from the sale of the securities offered by this prospectus for, among other things, general corporate purposes. We may include a more detailed description of the use of net proceeds of any specific offering of securities in the applicable prospectus supplement relating to the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GO"/>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GUARANTEES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Inc. may guarantee, fully and unconditionally or otherwise, Booz Allen Hamilton Holding Corporation’s obligations with respect to any non-convertible securities, other than common stock, as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Booz Allen Hamilton Inc. guarantees these obligations under any such securities, we will tell you in the applicable prospectus supplement and describe the terms of such subsidiary guarantee. Unless we tell you otherwise in the applicable prospectus supplement, the subsidiary guarantee will be an unsecured obligation of Booz Allen Hamilton Inc. and will be enforceable against Booz Allen Hamilton Inc. without any need to first enforce against Booz Allen Hamilton Holding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will fully and unconditionally guarantee Booz Allen Hamilton Inc.’s payment obligations with respect to the debt securities issued by Booz Allen Hamilton Inc. as described in this prospectus, unless the applicable prospectus supplement states otherwise. Unless we tell you otherwise in the applicable prospectus supplement, this parent guarantee will be an unsecured obligation of Booz Allen Hamilton Holding Corporation and will be enforceable against Booz Allen Hamilton Holding Corporation without any need to first enforce against Booz Allen Hamilton Inc. See “Description of Debt Securities—Certain Terms of the Debt Securities of Booz Allen Hamilton—Parent Guarantee”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D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and Booz Allen Hamilton, each of which we refer to in this section as an issuer, may offer, from time to time, senior debt securities which we refer to in this prospectus as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issue debt securities from time to time, in one or more series, under an indenture to be entered into by and between Booz Allen Hamilton Holding Corporation and U.S. Bank Trust Company, National Association, as trustee. Booz Allen Hamilton may issue debt securities from time to time, in one or more series, pursuant to the indenture, dated as of August 4, 2023 (the “Base Indenture”), among Booz Allen Hamilton, Booz Allen Hamilton Holding Corporation and U.S. Bank Trust Company, National Association, as trustee, as supplemented by the applicable supplemental indenture with respect to each series of debt securities. The form of indenture for Booz Allen Hamilton Holding Corporation and the Base Indenture are each referred to individually as an indenture and collectively as the indentures.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will not limit the aggregate principal amount of debt securities that the issuers may issue and will provide that the issuers may issue debt securities from time to time in one or more series, in each case with the same or various maturities, at par or at a discount. The issuers may issue additional debt securities of a particular series without the consent of the holders of the debt securities of such series outstanding at the time of the issuance. Any such additional debt securities, together with all other outstanding debt securities of that series, may constitute a single series of debt securities under the applicable indenture. The indentures will not limit the issuers’ ability to incur other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are filed as exhibits to the registration statement of which this prospectus is part. We have summarized selected portions of the indentures below. 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the debt securities, including the definitions therein of certain terms.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direct, senior obligations of the applicable issuer. The debt securities will rank equally in right of payment with all of the applicable issuer’s existing and future senior indebtedness and rank senior in right of payment to any of the applicable issuer’s future subordinated indebtedness. The debt securities will be structurally subordinated to all existing and future indebtedness and other liabilities (including accounts payable and other accrued expenses) of the subsidiaries of the applicable issuer that do not guarantee the debt securities, which means that creditors of such subsidiaries will be paid from the subsidiaries’ assets before holders of the debt securities would have any claims to those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operations of Booz Allen Hamilton Holding Corporation are conducted almost entirely through Booz Allen Hamilton, and its ability to generate cash to meet its debt service obligations is highly dependent on the earnings and receipt of funds from Booz Allen Hamilton via dividends or intercompany loans. 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issuers may issue debt securities in one or more series through an indenture that supplements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terms relating to the specific series of debt securities being offered. These terms may include some or all of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type and ranking of the debt securities;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 (if any) upon the aggregate principal amount of the debt securities; </w:t>
      </w:r>
      <w:r>
        <mc:AlternateContent>
          <mc:Choice Requires="wps">
            <w:drawing>
              <wp:anchor behindDoc="0" distT="0" distB="0" distL="254000" distR="0" simplePos="0" locked="0" layoutInCell="1" allowOverlap="1" relativeHeight="143">
                <wp:simplePos x="0" y="0"/>
                <wp:positionH relativeFrom="column">
                  <wp:align>left</wp:align>
                </wp:positionH>
                <wp:positionV relativeFrom="line">
                  <wp:posOffset>635</wp:posOffset>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the applicable issuer will sell the debt securities;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or dates of the debt securities and the right, if any, to extend such date or dates;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if any, at which the debt securities will bear interest, or the method of determining such rate or rates;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any interest will accrue, the interest payment dates on which such interest will be payable or the manner of determination of such interest payment dates and the related record dates;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if any, to extend the interest payment periods and the duration of any extension;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of paying principal of (and premium, if any) and interest on the debt securities and the place or places where and the date or dates on which principal (and premium, if any) and interest will be payable;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a sinking fund or other analogous fund, if any;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dates, prices, obligations and restrictions on the debt securities;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entire principal amount thereof, the portion of the principal amount of the debt securities that shall be payable upon declaration of acceleration of maturity of the debt securities in connection with an event of default;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for which you may purchase the debt securities and the currency, currencies or currency units in which principal and interest, if any, on the debt securities may be payable;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features of the debt securities;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upon what terms the debt securities may be defeased;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the events of default or the covenants set forth in the applicable indenture;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definitive or global form or in definitive form only upon satisfaction of certain conditions;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series of debt securities will be guaranteed and/or secured; and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debt securities.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debt securities will not be listed on any securities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also be issued under the indentures upon the exercise of warrants or delivery upon settlement of purchase contracts. See “Description of Warrants,” “Description of Purchase Contracts” and “Description of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specific terms, if any, on which the debt securities may be converted or exchanged. These terms will include provisions as to whether conversion or exchange is mandatory, at the option of the holder or at the option of the issuer. These provisions may allow or require the number of shares of Booz Allen Hamilton Holding Corporation’s common stock or other securities to be received by the holders of such series of debt securities to be adjusted.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Payment Terms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 sold at a substantial discount below their stated principal amount, bearing no interest or interest at a rate which at the time of issuance is below market rates. The applicable prospectus supplement will describe the U.S. federal income tax consequences and special considerations applicable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debt securities. The debt securities may also be issued as indexed securities or securities denominated in foreign currencies or currency units,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Denominations, Registration and Transfers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debt securities will be issued in fully registered form, without coupons, and in minimum denominations of $2,000 and integral multiples of $1,000 in excess thereof. Unless otherwise indicated in the applicable prospectus supplement, debt securities of any series will be exchangeable for other debt securities of the same issue and series, in any authorized denominations.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debt securities are issued in definitive form, wherein particular investors, or their nominees, are named as the owners of the debt securities, the definitive securities will only be issued in the minimum denomination and integral multiples in excess thereof specified in the applicable prospectus supplement. Transfers and exchanges of definitive securities will only be permitted in such minimum denomination and integral multiples in excess thereof. Transfers of definitive securities may be registered at the trustee’s corporate office or at the offices of any paying agent or trustee appointed by the applicable issuer under the applicable indenture. Exchanges of definitive securities for an equal aggregate principal amount of debt securities in different denominations may also be made at such locations. There will be no service charge in connection with any exchange or registration of transfer of such debt securities, but payment may be required of a sum sufficient to cover any tax or other governmental charge that may be imposed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debt securities will be represented by one or more global certificates registered in the name of a nominee for The Depository Trust Company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registered global security will be limited to persons that have accounts with DTC (the “participants”) or persons that may hold interests through participants. Upon the issuance of a registered global security, DTC will credit, on its book-entry registration and transfer system, the participants’ accounts with the respective principal or face amounts of the securities beneficially owned by the participants. The accounts will be designated by the dealers, underwriters or agents for the debt securities, or by the applicable issuer if the debt securities are offered and sold directly by the applicable issuer. Ownership and transfers of beneficial interests in the global security will be shown on, and transactions can be effected only through, records maintained by DTC, for interests of participants, and the records of participants, for interests of persons who hold through participants. The laws of some states require that you take physical delivery of securities in definitive form. These limits and laws may impair your ability to transfer beneficial interests in a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 or its nominee is the registered owner of a global security, DTC or its nominee will be considered the sole owner or holder of the debt securities represented by the global security for all purposes under the applicable indenture. Except as provided below, you: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any of the individual debt securities represented by the global security registered in your name;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receive or be entitled to receive physical delivery of any debt securities in definitive form; and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the owner or holder of the debt securities under the indenture.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debt securities may only exchange a beneficial interest in a global security for definitive securities registered in the holder’s name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serving as the depositary for the relevant global securities, or DTC ceases to maintain certain qualifications under the Exchange Act and no successor depositary has been appointed for 120 days; or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in our sole discretion and subject to the procedures of DTC, that the global debt security shall be exchangeable. </w:t>
      </w:r>
      <w:r>
        <mc:AlternateContent>
          <mc:Choice Requires="wps">
            <w:drawing>
              <wp:anchor behindDoc="0" distT="0" distB="0" distL="254000" distR="0" simplePos="0" locked="0" layoutInCell="1" allowOverlap="1" relativeHeight="164">
                <wp:simplePos x="0" y="0"/>
                <wp:positionH relativeFrom="column">
                  <wp:align>left</wp:align>
                </wp:positionH>
                <wp:positionV relativeFrom="line">
                  <wp:posOffset>635</wp:posOffset>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not be transferred except to another nominee of DTC, or to a successor depositary selected or approved by us or to a nominee of such successor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payment of interest on a debt security on any interest payment date will be made to the person in whose name a debt security is registered at the close of business on the record date for the interest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principal, interest and premium on the debt securities of a particular series will be payable at the office of such paying agent or paying agents as the applicable issuer may designate for such purpose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a paying agent designated by the applicable issuer and located in the Borough of Manhattan, The City of New York, will act as paying agent for payments with respect to debt securities of each series. The applicable issuer may at any time designate additional paying agents or rescind the designation of any paying agent or approve a change in the office through which any paying agent acts, except that such issuer will be required to maintain an office or agency in each place of payment for the debt securities of a particular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and subject to applicable law, any money or governmental obligations deposited with the trustee or any paying agent, or then held by the applicable issuer, in trust, for the payment of the principal, interest or premium on any debt security of any series which remain unclaimed at the end of two years after such principal, interest or premium has become due and payable will be repaid to the applicable issuer at its option and upon its request or (if then held by the issuer) will be discharged from such trust, and the holder of such debt security thereafter may look only to the issuer for payment thereof as a general unsecured creditor.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applicable issuer may, at its option, redeem any series of debt securities after its issuance date, in whole or in part, at any time and from time to time. Unless otherwise indicated in the applicable prospectus supplement, the applicable issuer may redeem debt securities in denominations larger than $2,000 but only in integral multiples of $1,000 in excess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debt securities will not be subject to any sinking fund.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redemption price for any debt security that the applicable issuer redeems will equal the applicable redemption price for debt securities of such series, together with interest accrued thereon to, but not including, the date fixed for redemption.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of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applicable issuer will transmit, or cause the trustee to transmit, a notice of any redemption of debt securities at least 10 days but not more than 60 days before the redemption date to the registered holders of the debt securities at their addresses as shown on the security register;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notice of redemption may be sent more than 60 days, but not more than one year, prior to the redemption date if such notice is sent in connection with a legal defeasance or a satisfaction and discharge of the relevant indenture. Unless the applicable issuer defaults in payment of the redemption price, on and after the redemption date interest will cease to accrue on the debt securities or the portions called for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Reporting Covenant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we are subject to the reporting requirements of Section 13 or Section 15(d) of the Exchange Act, the applicable issuer will be required to comply with Section 314(a) of the Trust Indenture Act of 1939, as amended, as in effect from time to time (the “TIA”) insofar as it relates to information, documentations, and other reports which we may be required to file with the SEC pursuant to Section 13 or Section 15(d) of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Notice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following shall constitute “events of default” under the indentures with respect to each series of debt securities: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issuer’s failure to pay any interest on any debt security of such series when due and payable, continued for 30 days;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issuer’s failure to pay principal of or premium, if any, on any debt security of such series when due, whether at maturity, redemption, acceleration or otherwise;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issuer’s failure to deposit any sinking fund payment when due, in respect of any debt security of such series;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issuer’s failure to observe or perform any other of its covenants or agreements with respect to the debt securities of such series for 90 days; however, a default under this subsection will not constitute an event of default until the trustee or the holders of at least 30% in the aggregate principal amount of the debt securities of that series notify in writing the applicable issuer of the default and such default is not cured within the times specified in this subsection after receipt of such notice;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reorganization, winding up or liquidation of the applicable issuer or, with respect to debt securities issued by Booz Allen Hamilton Inc., the guarantor;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debt securities issued by Booz Allen Hamilton Inc., the guarantee by Booz Allen Hamilton Holding Corporation ceases to be in full force and effect (except as contemplated by the terms of the indenture) or is declared null and void in a judicial proceeding or any guarantor denies or disaffirms its obligations under the indenture or the applicable guarantee, and such Default continues for 10 days; and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described in the applicable indenture.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involving certain events of bankruptcy, insolvency, reorganization, winding up or liquidation of the applicable issuer) with respect to any debt securities of any series outstanding under any of the indentures shall occur and be continuing, the trustee under such indenture or the holders of at least 30% in aggregate principal amount of the debt securities of that series outstanding may declare, by notice as provided in the applicable indenture, the principal amount of all the debt securities of that series outstanding (or such lesser amount as may be provided for in the debt securities of that series) to be due and payable immediately. In the case of an event of default involving certain events of bankruptcy, insolvency, reorganization, winding up or liquidation of the applicable issuer, the principal amount of all debt securities of any series outstanding will automatically become due and payable immediately. After any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debt securities, an amount less than the principal amount thereof will become due and payable. Reference is made to the prospectus supplement relating to any original issue discount debt securities for the particular provisions relating to acceleration of maturity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declaration of any existing or past default under any of the indentures with respect to debt securities of any series may be waived, rescinded or cancelled, and any event of default arising therefrom may be waived by the holders of a majority in aggregate principal amount of all debt securities of such series outstanding under such indenture if such waiver, rescission or cancellation would not conflict with any judgment or decree,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 continuing default or event of default in the case of the payment of the principal of (or premium, if any) or interest on any debt securities of such series.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trustee is required, within 90 days after notification of a default (of which a responsible officer of the trustee has received written notice and which is continuing), with respect to the debt securities of any series (without regard to any grace period or notice requirements), to give to the holders of the debt securities of such series notice of such default;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except in the case of a default in the payment of the principal of (and premium, if any) or interest on any debt securities of such series, the trustee shall be protected in withholding such notice if it in good faith determines that the withholding of such notice is in the interests of the holders of the debt securities of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require indemnification satisfactory to it by the holders of the debt securities of any series with respect to which a continuing default has occurred before proceeding to exercise any right or power under the applicable indenture at the request of the holders of the debt securities of such series. Subject to such right of indemnification and to certain other limitations, the holders of a majority in aggregate principal amount of the outstanding debt securities of any series under the applicable indenture may direct the time, method and place of conducting any proceeding for any remedy available to the trustee, or exercising any trust or power conferred on the trustee with respect to the debt securities of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 debt security of any series may institute any action against the applicable issuer under the applicable indenture (except actions for payment of overdue principal of (and premium, if any) or interest on such debt security or for the conversion or exchange of such debt security in accordance with its terms) unless (i) the holder has given to the trustee written notice of an event of default and of the continuance thereof with respect to the debt securities of such series specifying an event of default, as required under the applicable indenture, (ii) the holders of at least 30% in aggregate principal amount of the debt securities of that series then outstanding under such indenture shall have requested the trustee in writing to institute such action, (iii) such holder or holders shall have offered to the trustee indemnity satisfactory to it against the loss, liabilities or expenses to be incurred in compliance with such request, (iv) the trustee shall not have instituted such action within 60 days of such request and the offer of security or indemnity, and (v) during such 60-day period, the holders of a majority in principal amount of the debt securities of that series do not give the trustee a direction inconsistent with the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will provide that, in the case of a default in the payment of principal of or premium, if any, or interest on any series of debt securities, when the same has become due and payable, and in the case of any payment of interest, such default has continued for 30 days, the trustee or the holder of any debt security may or, if directed by the holders of at least a majority in aggregate principal amount of the debt securities of that series then outstanding under such indenture the trustee shall, subject to the provisions of the applicable indenture, demand payment of the amount then due and payable and may institute legal proceedings for the collection of such amount if the issuer fails to make payment thereof upon demand.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 will be required to furnish annually to the trustee statements as to its compliance with all conditions and covenants under the applicable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Protection in the Event of a Change in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herein or in the applicable prospectus supplement, the debt securities will not contain any provisions that may afford holders of the debt securities protection in the event the applicable issuer has a change in control or in the event of a highly leveraged transaction (whether or not such transaction results in a change in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indentures, the applicable issuer, the guarantor (if any) and the trustee may supplement the indenture, debt securities and guarantee (if any) for certain purposes without notice to or the consent of the holders of debt securities of any series, for, among other purposes, one or more of the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omission, mistake, defect or inconsistency; </w:t>
      </w:r>
      <w:r>
        <mc:AlternateContent>
          <mc:Choice Requires="wps">
            <w:drawing>
              <wp:anchor behindDoc="0" distT="0" distB="0" distL="254000" distR="0" simplePos="0" locked="0" layoutInCell="1" allowOverlap="1" relativeHeight="172">
                <wp:simplePos x="0" y="0"/>
                <wp:positionH relativeFrom="column">
                  <wp:align>left</wp:align>
                </wp:positionH>
                <wp:positionV relativeFrom="line">
                  <wp:posOffset>635</wp:posOffset>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text of the applicable indenture (including any supplemental indenture or other instrument pursuant to which debt securities are issued), or the debt securities (including any additional debt securities) to the description of debt securities set forth in this prospectus or in any applicable prospectus supplement or other instrument pursuant to which such debt securities are issued; </w:t>
      </w:r>
      <w:r>
        <mc:AlternateContent>
          <mc:Choice Requires="wps">
            <w:drawing>
              <wp:anchor behindDoc="0" distT="7874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applicable indenture regarding the limitations on consolidation, merger, sale of assets and other transactions; </w:t>
      </w:r>
      <w:r>
        <mc:AlternateContent>
          <mc:Choice Requires="wps">
            <w:drawing>
              <wp:anchor behindDoc="0" distT="7874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assumption by a successor entity of the obligations of the applicable issuer under the applicable indenture and the debt securities or guarantee provided by the applicable guarantor; </w:t>
      </w:r>
      <w:r>
        <mc:AlternateContent>
          <mc:Choice Requires="wps">
            <w:drawing>
              <wp:anchor behindDoc="0" distT="7874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guarantors with respect to the debt securities; </w:t>
      </w:r>
      <w:r>
        <mc:AlternateContent>
          <mc:Choice Requires="wps">
            <w:drawing>
              <wp:anchor behindDoc="0" distT="7874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debt securities; </w:t>
      </w:r>
      <w:r>
        <mc:AlternateContent>
          <mc:Choice Requires="wps">
            <w:drawing>
              <wp:anchor behindDoc="0" distT="7874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confirm and evidence the release, termination or discharge of any guarantee or lien with respect to or securing the debt securities when such release, termination or discharge is provided for under the indentures or the debt securities; </w:t>
      </w:r>
      <w:r>
        <mc:AlternateContent>
          <mc:Choice Requires="wps">
            <w:drawing>
              <wp:anchor behindDoc="0" distT="7874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applicable issuer’s covenants such new covenants, restrictions, conditions or provisions for the protection of the holders of debt securities of any series, to make the occurrence, or the occurrence and continuance, of a default in any such additional covenants, restrictions, conditions or provisions an event of default or to surrender any right or power conferred upon such issuer under the indentures; </w:t>
      </w:r>
      <w:r>
        <mc:AlternateContent>
          <mc:Choice Requires="wps">
            <w:drawing>
              <wp:anchor behindDoc="0" distT="7874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of debt securities in any material respect, as determined in good faith by the applicable issuer of any series; </w:t>
      </w:r>
      <w:r>
        <mc:AlternateContent>
          <mc:Choice Requires="wps">
            <w:drawing>
              <wp:anchor behindDoc="0" distT="7874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any requirement of the SEC in connection with the qualification of the indentures under the TIA; </w:t>
      </w:r>
      <w:r>
        <mc:AlternateContent>
          <mc:Choice Requires="wps">
            <w:drawing>
              <wp:anchor behindDoc="0" distT="7874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make any amendment to the provisions of the indentures relating to the transfer and legending of debt securities as permitted by the indentures, including, without limitation, to facilitate the issuance and administration of the debt securities;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 compliance with the indenture as so amended would not result in debt securities being transferred in violation of the Securities Act or any applicable securities law and (ii) such amendment does not materially and adversely affect the rights of the holders of debt securities to transfer debt securities; </w:t>
      </w:r>
      <w:r>
        <mc:AlternateContent>
          <mc:Choice Requires="wps">
            <w:drawing>
              <wp:anchor behindDoc="0" distT="7874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by a successor trustee,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successor trustee is otherwise qualified and eligible to act as such under the terms of the indentures or to make such changes as shall be necessary to provide for or facilitate the administration of the trusts in the applicable indenture by more than one trustee; or </w:t>
      </w:r>
      <w:r>
        <mc:AlternateContent>
          <mc:Choice Requires="wps">
            <w:drawing>
              <wp:anchor behindDoc="0" distT="7874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or confirm the issuance of the debt securities or additional debt securities of any series. </w:t>
      </w:r>
      <w:r>
        <mc:AlternateContent>
          <mc:Choice Requires="wps">
            <w:drawing>
              <wp:anchor behindDoc="0" distT="7874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 the guarantor (if any) and the trustee may modify the applicable indenture or any supplemental indenture, the debt securities, and the guarantee (if any) with the consent of the holders of at least a majority in aggregate principal amount of the outstanding debt securities of each affected series issued under such indenture and any existing or past event of default or compliance with any provisions of such documents may be waived with the consent of the holders of the debt securities of a majority in principal amount of the debt securities of each affected series then outstanding, in each case, other than debt securities beneficially owned by the issuer or its affiliates. It shall not be necessary for the consent of the holders of debt securities to approve the particular form of any proposed amendment, but it shall be sufficient if such consent approves the substance thereof. After an amendment becomes effective, the applicable issuer shall send to the holders of debt securities affected thereby a notice briefly describing such amendment. The failure of the applicable issuer to send such notice, or any defect therein, shall not in any way impair or affect the validity of an amendment.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without the consent of each holder of an outstanding debt security of any series affected (including, for the avoidance of doubt, any debt securities held by affiliates), no amendment, supplement or waiver pursuant to the indenture may: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 the final maturity of any debt securities; </w:t>
      </w:r>
      <w:r>
        <mc:AlternateContent>
          <mc:Choice Requires="wps">
            <w:drawing>
              <wp:anchor behindDoc="0" distT="7747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premium, if any, on any debt securities; </w:t>
      </w:r>
      <w:r>
        <mc:AlternateContent>
          <mc:Choice Requires="wps">
            <w:drawing>
              <wp:anchor behindDoc="0" distT="7747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or extend the time for payment of interest on the debt securities of any series; </w:t>
      </w:r>
      <w:r>
        <mc:AlternateContent>
          <mc:Choice Requires="wps">
            <w:drawing>
              <wp:anchor behindDoc="0" distT="7747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payable upon the redemption of any debt securities; </w:t>
      </w:r>
      <w:r>
        <mc:AlternateContent>
          <mc:Choice Requires="wps">
            <w:drawing>
              <wp:anchor behindDoc="0" distT="7747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original issue discount securities or any other debt securities payable upon acceleration of the maturity thereof; </w:t>
      </w:r>
      <w:r>
        <mc:AlternateContent>
          <mc:Choice Requires="wps">
            <w:drawing>
              <wp:anchor behindDoc="0" distT="7747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currency of payment of principal of, or premium, if any, or interest on, any debt securities; </w:t>
      </w:r>
      <w:r>
        <mc:AlternateContent>
          <mc:Choice Requires="wps">
            <w:drawing>
              <wp:anchor behindDoc="0" distT="7747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r>
        <mc:AlternateContent>
          <mc:Choice Requires="wps">
            <w:drawing>
              <wp:anchor behindDoc="0" distT="7747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the aggregate principal amount of debt securities whose holders must consent to an amendment, supplement or waiver; </w:t>
      </w:r>
      <w:r>
        <mc:AlternateContent>
          <mc:Choice Requires="wps">
            <w:drawing>
              <wp:anchor behindDoc="0" distT="7747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or impair the legal right of holders to receive payment or to institute suit for the enforcement of any payment or conversion of any debt securities of such series on or after the due date therefor; or </w:t>
      </w:r>
      <w:r>
        <mc:AlternateContent>
          <mc:Choice Requires="wps">
            <w:drawing>
              <wp:anchor behindDoc="0" distT="7747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amendment or waiver provisions of the applicable indenture that require each holder’s consent, as described in any of the above provisions. </w:t>
      </w:r>
      <w:r>
        <mc:AlternateContent>
          <mc:Choice Requires="wps">
            <w:drawing>
              <wp:anchor behindDoc="0" distT="7747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Consolidation, Merger, Sale of Assets and Other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will provide that so long as any debt securities are outstanding, (i) the applicable issuer may not consolidate, merge or amalgamate with or into or wind up into (whether or not such issuer is the surviving entity) another entity, and (ii) the applicable issuer may not sell, assign, transfer, lease, convey or otherwise dispose of all or substantially all of its properties or assets in one or more related transactions to another entity,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issuer is the surviving corporation; or the entity formed by or surviving any such consolidation, merger, amalgamation or winding up or to which such sale, assignment, transfer, lease or conveyance has been made (the “Successor Company”), if other than such issuer, is organized and validly existing under the laws of the United States of America, any State thereof, the District of Columbia, or any territory thereof; </w:t>
      </w:r>
      <w:r>
        <mc:AlternateContent>
          <mc:Choice Requires="wps">
            <w:drawing>
              <wp:anchor behindDoc="0" distT="7747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Company (if other than such issuer) expressly assumes all the obligations of such issuer under the applicable indenture and the applicable debt securities pursuant to supplemental indentures or other documents or instruments;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(and treating any indebtedness that becomes an obligation of the Successor Company as a result of such transaction as having been incurred by the Successor Company at the time of such transaction), no event of default has occurred and is continuing;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Successor Company is other than such issuer, any applicable guarantor, unless it is the other party to the transactions described above, shall have by supplemental indenture confirmed that the guarantee it provided shall apply to such entity’s obligations under the applicable indenture and the applicable debt securities; and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issuer delivers to the trustee an officers’ certificate and an opinion of counsel, each to the effect that such consolidation, merger, amalgamation or disposition complies with the applicable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indenture;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opinion of counsel will be required for a transaction described in the second sentence of the immediately following paragraph.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Successor Company will succeed to, and be substituted for, the applicable issuer under the applicable indenture and the applicable debt securities, and such issuer will automatically be released and discharged from its obligations under the applicable indenture and the applicable debt securities. Notwithstanding the foregoing, subject to the applicable indenture, (a) the applicable issuer may consolidate or amalgamate with, merge into or sell, assign, transfer, lease, convey or otherwise dispose of all or part of its properties and assets to any applicable guarantor, (b) such issuer may merge, consolidate or amalgamate with an affiliate of such issuer incorporated or organized solely for the purpose of reincorporating or reorganizing such issuer in another state of the United States, the District of Columbia or any territory of the United States, (c) such issuer may convert (including by way of merger, consolidation or amalgamation) into a corporation, partnership, limited partnership, limited liability company or trust organized or existing under the laws of a jurisdiction in the United States, (d) such issuer may change its name, (e) any subsidiary may merge, consolidate or amalgamate into such issuer;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in the case of this clause (e), that the surviving entity is or becomes the applicable issuer upon consummation of such merger, amalgamation or consolidations and (f) such issuer may merge, amalgamate or consolidate into a single direct or indirect wholly-owned subsidiary pursuant to Section 251(g) (or any successor provision) of the General Corporation Law of the State of Delaware (the “DGCL”), if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Legal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indicated in the applicable prospectus supplement, the applicable issuer may discharge or defease its obligations under each indenture as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 may discharge certain obligations to holders of any series of debt securities issued under the indentures which have not already been delivered to the trustee for cancellation and which have either become due and payable or are by their terms due and payable within one year (or scheduled for redemption within one year under arrangements satisfactory to the trustee for the giving of notice of redemption by the trustee) if the applicable issuer and guarantor irrevocably deposited with the trustee cash or U.S. government obligations, in an amount sufficient to pay and discharge the entire indebtedness on the debt securities, in addition to paying all other sums then due and payable under the applicable indenture and delivering to the trustee an officer’s certificate and an opinion of counsel stating that all conditions precedent under the applicable indenture relating to the satisfaction and discharge of the applicable indenture have been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indicated in the applicable prospectus supplement, the applicable issuer may elect either (i) to defease and be discharged from any and all obligations with respect to the debt securities of or within any series (except as otherwise provided in the relevant indenture) (“legal defeasance”) or (ii) to be released from its obligations with respect to certain covenants applicable to the debt securities of or within any series (“covenant defeasance”), upon the irrevocable deposit with the relevant trustee, in trust for such purpose, of cash or U.S. government obligations for the payment of principal, premium (if any) and interest on the applicable issue of debt securities to maturity or redemption, as the case may be. As a condition to legal defeasance or covenant defeasance, such issuer must deliver to the trustee an opinion of counsel to the effect that the holders of such debt securities will not recognize income, gain or loss for U.S. federal income tax purposes as a result of such deposit and legal defeasance or covenant defeasance and will be subject to U.S. federal income tax on the same amounts and in the same manner and at the same times as would have been the case if such legal defeasance or covenant defeasance had not occurred. Such opinion of counsel, in the case of legal defeasance under clause (i) above, must refer to and be based upon a ruling of the Internal Revenue Service or a change in applicable U.S. federal income tax law occurring after the date of the relevant indenture. In addition, in the case of either legal defeasance or covenant defeasance, such issuer shall have delivered to the trustee an officers’ certificate and an opinion of counsel, each to the effect that all conditions precedent with respect to such legal defeasance or covenant defeasance have been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 may exercise its legal defeasance option with respect to such debt securities notwithstanding its prior exercise of its covenant defeasance option.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and the debt securities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have all the duties and responsibilities of an indenture trustee specified in the TIA. The trustee will not be required to exercise any of its powers under the indentures at your request, unless you offer indemnity satisfactory to it against the costs, expenses and liabilities which the trustee might incur. The rights, privileges, protections and benefits, including its right to be indemnified, given to the trustee under the indentures will also be extended to each agent, custodian and other person employed to act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act as depositary for funds of, make loans to, and perform other services for, the applicable issuer and its subsidiaries in the normal course of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Terms of the Debt Securities of Booz Allen Hamilton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states otherwise, Booz Allen Hamilton Holding Corporation (the “parent guarantor”) will fully and unconditionally guarantee (the “parent guarantee”) to each holder of debt securities issued by Booz Allen Hamilton pursuant to this prospectus the due and punctual payment of the principal of, and any premium and any interest on, those debt securities, when and as the same becomes due and payable, whether at maturity, upon acceleration or otherwise. The parent guarantee will rank equally in right of payment with all of the parent guarantor’s existing and future senior indebtedness and rank senior in right of any of the parent guarantor’s future subordinated indebtedness. The parent guarantee will be effectively subordinated to all existing and future secured indebtedness of the parent guarantor to the extent of the value of the assets securing such indebtedness and will be structurally subordinated to all existing and future indebtedness of the parent guarantor’s subsidiaries, other than Booz Allen Hamilton.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Consolidation, Merger and Sale of Assets of the Parent Guarantor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so long as any debt securities are outstanding, (i) the parent guarantor may not consolidate, merge or amalgamate with or into or wind up into (whether or not the parent guarantor is the surviving entity) another entity, and (ii) the parent guarantor may not sell, assign, transfer, lease, convey or otherwise dispose of all or substantially all of its properties or assets in one or more related transactions to another entity unless such consolidation, merger, amalgamation, winding up, sale, assignment, transfer, lease, conveyance or other disposition is made in compliance with the indenture,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parent guarantor is the surviving corporation; or the entity formed by or surviving any such consolidation, merger, amalgamation or winding up or to which such sale, assignment, transfer, lease or conveyance has been made (the “Successor Guarantor”), if other than the parent guarantor, is organized and validly existing under the laws of the United States of America, any State thereof, the District of Columbia, or any territory thereof;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Guarantor (if other than the parent guarantor) expressly assumes all the obligations of the parent guarantor under the indentures and the guarantee pursuant to supplemental indentures or other documents or instruments; and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Successor Guarantor (if other than the parent guarantor) delivers to the trustee an officers’ certificate and an opinion of counsel, each to the effect that such consolidation, merger, amalgamation or disposition complies with the applicable indenture;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opinion of counsel will be required for a transaction described in the second sentence of the immediately following paragraph.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Guarantor will succeed to, and be substituted for, the parent guarantor under the indenture and guarantee, and the parent guarantor will automatically be released and discharged from its obligations under the indenture and guarantee. Subject to the indenture, (a) the parent guarantor may consolidate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amalgamate with, merge into or sell, assign, transfer, lease, convey or otherwise dispose of all or part of its properties and assets to the issuer, (b) the parent guarantor may merge, consolidate or amalgamate with an affiliate of the applicable issuer incorporated or organized solely for the purpose of reincorporating or reorganizing such guarantor in another state of the United States, the District of Columbia or any territory of the United States, (c) the parent guarantor may convert (including by way of merger, consolidation or amalgamation) into a corporation, partnership, limited partnership, limited liability company or trust organized or existing under the laws of a jurisdiction in the United States, (d) the parent guarantor may change its name and (e) any subsidiary may merge, amalgamate or consolidate into the parent guarantor;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in the case of this clause (e), that the surviving entity is or becomes a guarantor upon consummation of such merger, amalgamation or consolidation and (f) such parent guarantor may merge, amalgamate or consolidate into a single direct or indirect wholly-owned subsidiary pursuant to Section 251(g) (or any successor provision) of the DGCL, if applicable.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C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descriptions of Booz Allen Hamilton Holding Corporation’s capital stock and provisions of Booz Allen Hamilton Holding Corporation’s amended and restated certificate of incorporation (the “amended and restated certificate of incorporation”) and amended and restated bylaws (the “amended and restated bylaws”) are summaries of their material terms and provisions. For a complete description of Booz Allen Hamilton Holding Corporation’s capital stock, amended and restated certificate of incorporation and amended and restated bylaws, please refer to Booz Allen Hamilton Holding Corporation’s amended and restated certificate of incorporation, amended and restated bylaws and the applicable provisions of the DGCL. See “Where You Can Find More Information” for information on how to obtain copies of Booz Allen Hamilton Holding Corporation’s amended and restated certificate of incorporation and amended and restated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Corporation’s amended and restated certificate of incorporation authorizes the issuance of 600,000,000 shares of Class A common stock, par value $0.01 per share. The rights and privileges of holders of Booz Allen Hamilton Holding Corporation’s Class A common stock are subject to any series of preferred stock that Booz Allen Hamilton Holding Corporation may issue in the future. Booz Allen Hamilton Holding Corporation’s Class A common stock is registered on the New York Stock Exchange under the symbol “BAH”. As of July 20, 2026, 120,284,973 shares of Booz Allen Hamilton Holding Corporation’s Class A common stock were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Holders of Class A common stock are entitled to one vote for each share on all matters to be voted on by stockholders. Except as otherwise provided by the DGCL, the entire voting power of the shares of the Company for the election of directors and for all other purposes is vested exclusively in the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Election of Directors</w:t>
      </w:r>
      <w:r>
        <w:rPr>
          <w:rFonts w:ascii="Times New Roman;Times;serif" w:hAnsi="Times New Roman;Times;serif"/>
          <w:b w:val="false"/>
          <w:i w:val="false"/>
          <w:caps w:val="false"/>
          <w:smallCaps w:val="false"/>
          <w:color w:val="000000"/>
          <w:spacing w:val="4"/>
          <w:sz w:val="20"/>
        </w:rPr>
        <w:t xml:space="preserve">.   Directors are elected by the vote of the majority of the votes cast (as defined in Section 2.02 of the amended and restated bylaws) with respect to such director’s election; unless the director has been duly nominated by a stockholder in accordance with the amended and restated bylaws. Where a director has been duly nominated by a stockholder in accordance with the amended and restated bylaws, such director shall be elected by the vote of a plurality of votes cast in connection with the election of directors at any meeting of stockholders. Any nominee who is an incumbent director and does not receive a majority of the votes cast in an election where the director was not duly nominated by a stockholder in accordance with the amended and restated bylaws must promptly tender his or her resignation contingent on the acceptance of that resignation by the board of directors of Booz Allen Hamilton Holding Corporation pursuant to the procedure established in the amended and restated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Rights</w:t>
      </w:r>
      <w:r>
        <w:rPr>
          <w:rFonts w:ascii="Times New Roman;Times;serif" w:hAnsi="Times New Roman;Times;serif"/>
          <w:b w:val="false"/>
          <w:i w:val="false"/>
          <w:caps w:val="false"/>
          <w:smallCaps w:val="false"/>
          <w:color w:val="000000"/>
          <w:spacing w:val="4"/>
          <w:sz w:val="20"/>
        </w:rPr>
        <w:t xml:space="preserve">.   Each share of Class A common stock is entitled to participate equally, when and if declared by the board of directors of Booz Allen Hamilton Holding Corporation from time to time, in such dividends and other distributions in cash, stock, or property from the Company’s assets or funds as may become legally available for such purposes subject to any dividend preferences that may be attributable to preferred stock that may be authorized and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Right to Receive Liquidation Distributions</w:t>
      </w:r>
      <w:r>
        <w:rPr>
          <w:rFonts w:ascii="Times New Roman;Times;serif" w:hAnsi="Times New Roman;Times;serif"/>
          <w:b w:val="false"/>
          <w:i w:val="false"/>
          <w:caps w:val="false"/>
          <w:smallCaps w:val="false"/>
          <w:color w:val="000000"/>
          <w:spacing w:val="4"/>
          <w:sz w:val="20"/>
        </w:rPr>
        <w:t xml:space="preserve">.   In the event of Booz Allen Hamilton Holding Corporation’s liquidation, dissolution or winding up, holders of Booz Allen Hamilton Holding Corporation’s Class A common stock will be entitled to receive proportionately any of Booz Allen Hamilton Holding Corporation’s assets remaining after the payment of liabilities and subject to the prior rights of any outstanding preferred stock. Because Booz Allen Hamilton Holding Corporation is a holding company, its ability to pay dividends is subject to its subsidiaries’ ability to pay dividends to Booz Allen Hamilton Holding Corporation, which is in turn subject to the restrictions set forth in our debt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Rights</w:t>
      </w:r>
      <w:r>
        <w:rPr>
          <w:rFonts w:ascii="Times New Roman;Times;serif" w:hAnsi="Times New Roman;Times;serif"/>
          <w:b w:val="false"/>
          <w:i w:val="false"/>
          <w:caps w:val="false"/>
          <w:smallCaps w:val="false"/>
          <w:color w:val="000000"/>
          <w:spacing w:val="4"/>
          <w:sz w:val="20"/>
        </w:rPr>
        <w:t xml:space="preserve">.   Holders of Class A common stock have no preemptive, subscription, redemption, sinking fund, or conversion rights. All outstanding shares of Class A common stock are fully paid and non-assessable.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Corporation’s amended and restated certificate of incorporation authorizes the issuance of 54,000,000 shares of preferred stock, par value $0.01 per share, the terms and conditions of which will be determined by the board of directors of Booz Allen Hamilton Holding Corporation upon issuance. The rights, preferences and privileges of holders of common stock are subject to, and may be adversely affected by, the rights of holders of any shares of preferred stock that Booz Allen Hamilton Holding Corporation may designate and issue in the future. There are no shares of preferred stock outstanding. The Company has no present plans to issue any shares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Company’s amended and restated certificate of incorporation provides the Company’s board of directors with the authority to designate and issue, without any further vote or action by the Company’s stockholders, one or more series of preferred stock at their sole discretion. The Company’s board of directors by resolution may specify the number of shares to be included in a series of preferred stock, fix the voting powers (full, limited or no voting powers) and the designations, preferences and relative participating, optional or other special rights of a series of preferred stock, and the qualifications limitations or restrictions thereof, including, without limitation any dividend rights and redemption, sinking fund and conversion rights. Subject to the express terms of any other series of preferred stock outstanding at the time, the board of directors of the Company may increase or decrease the number of shares or alter the designation or classify or reclassify any unissued shares of a particular series of preferred stock by fixing or altering in any one or more respects from time to time before issuing the shares any terms, rights, restrictions and qualifications of the shares.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 Related Provisions of Our Amended and Restated Certificate of Incorporation, Amended and Restated Bylaws, and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in Booz Allen Hamilton Holding Corporation’s amended and restated certificate of incorporation and amended and restated bylaws, and in the DGCL, may make it difficult, expensive, and time-consuming for a third party to pursue a takeover attempt even if a change in control of Booz Allen Hamilton Holding Corporation would be beneficial to the interests of its stockholders. Any provision of Booz Allen Hamilton Holding Corporation’s amended and restated certificate of incorporation or amended and restated bylaws or Delaware law that has the effect of delaying or deterring a change in control could limit the opportunity for its stockholders to receive a premium for their shares of its common stock, and could also affect the price that some investors are willing to pay for its common stock. These provisions are intended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enhance the likelihood of continuity and stability in the composition of the board of directors of Booz Allen Hamilton Holding Corporation;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discourage some types of transactions that may involve an actual or threatened change in control of the Company;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discourage certain tactics that may be used in proxy fights;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ensure that the board of directors of Booz Allen Hamilton Holding Corporation will have sufficient time to act in what it believes to be the best interests of Booz Allen Hamilton Holding Corporation and its stockholders; and </w:t>
      </w:r>
      <w:r>
        <mc:AlternateContent>
          <mc:Choice Requires="wps">
            <w:drawing>
              <wp:anchor behindDoc="0" distT="7366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encourage persons seeking to acquire control of Booz Allen Hamilton Holding Corporation to first consult with its board of directors to negotiate the terms of any proposed business combination or offer. </w:t>
      </w:r>
      <w:r>
        <mc:AlternateContent>
          <mc:Choice Requires="wps">
            <w:drawing>
              <wp:anchor behindDoc="0" distT="7366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Unissued Shares of Capital Stock.</w:t>
      </w:r>
      <w:r>
        <w:rPr>
          <w:rFonts w:ascii="Times New Roman;Times;serif" w:hAnsi="Times New Roman;Times;serif"/>
          <w:b w:val="false"/>
          <w:i w:val="false"/>
          <w:caps w:val="false"/>
          <w:smallCaps w:val="false"/>
          <w:color w:val="000000"/>
          <w:spacing w:val="4"/>
          <w:sz w:val="20"/>
        </w:rPr>
        <w:t xml:space="preserve">   As of July 20, 2026, 120,284,973 shares of Booz Allen Hamilton Holding Corporation’s Class A common stock were issued and outstanding. The remaining shares of authorized and unissued Class A common stock are available for future issuance without additional stockholder approval, subject to the requirements of applicable law or regulation, including any listing requirement of the principal stock exchange on which Booz Allen Hamilton Holding Corporation’s Class A common stock is then listed. While the additional shares are not designed to deter or prevent a change of control, under some circumstances Booz Allen Hamilton Holding Corporation could use the additional shares to create voting impediments or to frustrate persons seeking to effect a takeover or otherwise gain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 by, for example, issuing those shares in private placements to purchasers who might side with the board of directors of Booz Allen Hamilton Holding Corporation in opposing a hostile takeover bid.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Booz Allen Hamilton Holding Corporation’s amended and restated certificate of incorporation provides its board of directors with the authority, without any further vote or action by our stockholders, to designate and issue one or more series of preferred stock at their sole discretion and to fix the numbers of shares and the preferences, limitations and relative rights of the shares constituting any series. This provision makes it possible for Booz Allen Hamilton Holding Corporation’s board of directors to issue preferred stock with super voting, special approval, dividend or other rights or preferences which could impede any attempt to acquire Booz Allen Hamilton Holding Corporation. These and other provisions may have the effect of deferring, delaying or discouraging hostile takeovers or changes in control or management of Booz Allen Hamilton Holding Corporation, discouraging bids for the Class A common stock at a premium over the market price of the common stock and may adversely affect the market price of, and the voting and other rights of the holder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Notice Provisions for Stockholder Nominations of Directors and Stockholder Proposals</w:t>
      </w:r>
      <w:r>
        <w:rPr>
          <w:rFonts w:ascii="Times New Roman;Times;serif" w:hAnsi="Times New Roman;Times;serif"/>
          <w:b w:val="false"/>
          <w:i w:val="false"/>
          <w:caps w:val="false"/>
          <w:smallCaps w:val="false"/>
          <w:color w:val="000000"/>
          <w:spacing w:val="4"/>
          <w:sz w:val="20"/>
        </w:rPr>
        <w:t xml:space="preserve">.   Booz Allen Hamilton Holding Corporation’s amended and restated bylaws establish an advance notice procedure for stockholders to make nominations of candidates for election as director or to bring other business before an annual meeting of Booz Allen Hamilton Holding Corporation’s stockholders. This procedure provides that, except as otherwise required by applicable law, only persons who are nominated by the board of directors of Booz Allen Hamilton Holding Corporation, a committee appointed by the board of directors of Booz Allen Hamilton Holding Corporation, or by a stockholder who (i) is entitled to vote at the meeting, (ii) has given timely written notice to Booz Allen Hamilton Holding Corporation’s secretary prior to the meeting and (iii) is a stockholder of record when the required notice is delivered and at the date of the meeting, will be eligible for election as directors, and only business that has been brought before an annual meeting by the board of directors of Booz Allen Hamilton Holding Corporation, any committee appointed by the board of directors of Booz Allen Hamilton Holding Corporation, or by a stockholder who has given timely written notice to Booz Allen Hamilton Holding Corporation’s secretary prior to the meeting, may be conducted. Under the procedure, to be timely, notice must be received by the secretary at Booz Allen Hamilton Holding Corporation’s principal executive offices not less than 90 days and not more than 120 days prior to the first anniversary date of the annual meeting of the preceding year. In addition, a stockholder’s notice proposing to nominate a person for election as director must, among other things, contain specific information about the nominating stockholder and the proposed nominee as well as the proposed nominee’s written consent to be named in the proxy statement as a nominee and to serving as a director if elected. A stockholder’s notice relating to the conduct of business other than the nomination of directors must contain, among other things, specific information about the proposing stockholder, the text of the proposal, the reasons for conducting such business at the meeting and any material interest in such business of such stockholder and beneficial owner, if any, on whose behalf the proposal is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Requiring advance notice of nominations by stockholders allows the board of directors of Booz Allen Hamilton Holding Corporation an opportunity to consider the qualifications of the proposed nominees and also provides a more orderly procedure for conducting annual meetings of stockholders. It also provides the board of directors of Booz Allen Hamilton Holding Corporation with the opportunity to inform stockholders of proposed business prior to the meeting, so that stockholders can better decide whether to attend the meeting or to grant a proxy regarding the disposition of the business. These provisions may also have the effect of precluding a contest for the election of directors or the consideration of stockholder proposals and of discouraging or deterring a third party from conducting a solicitation of proxies to elect its own slate of directors or to approve its own proposal without regard to whether consideration of the nominees or proposals might be harmful or beneficial to Booz Allen Hamilton Holding Corporation or its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and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Corporation’s amended and restated certificate of incorporation contains provisions permitted under the DGCL relating to the liability of directors and officers. These provisions eliminate a director’s or officer’s personal liability for monetary damages resulting from a breach of fiduciary duty, except in circumstances involving or related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or officer’s duty of loyalty; </w:t>
      </w:r>
      <w:r>
        <mc:AlternateContent>
          <mc:Choice Requires="wps">
            <w:drawing>
              <wp:anchor behindDoc="0" distT="0" distB="0" distL="254000" distR="0" simplePos="0" locked="0" layoutInCell="1" allowOverlap="1" relativeHeight="208">
                <wp:simplePos x="0" y="0"/>
                <wp:positionH relativeFrom="column">
                  <wp:align>left</wp:align>
                </wp:positionH>
                <wp:positionV relativeFrom="line">
                  <wp:posOffset>635</wp:posOffset>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or omissions by a director or officer not in good faith or which involve intentional misconduct or a knowing violation of the law;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 director, any violation of Section 174 of the DGCL (including, among other things, unlawful payment of dividends);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or officer derives an improper personal benefit; or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 officer, any action by or in right of Booz Allen Hamilton Holding Corporation.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effect of the limitation on liability provision is that a stockholder will be unable to prosecute an action for monetary damages against a director or officer unless the stockholder can demonstrate a basis for liability for which indemnification is not available under the DGCL. These provisions, however, should not limit or eliminate Booz Allen Hamilton Holding Corporation’s rights or any stockholder’s rights to seek non-monetary relief, such as an injunction or rescission, in the event of a breach of director’s or officer’s fiduciary duty. These provisions will not alter a director’s or officer’s liability under federal securities laws. The inclusion of this provision in Booz Allen Hamilton Holding Corporation’s certificate of incorporation may discourage or deter stockholders or management from bringing a lawsuit against directors or officers for a breach of their fiduciary duties, even though such an action, if successful, might otherwise have benefited Booz Allen Hamilton Holding Corporation and its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Corporation’s amended and restated bylaws require it to indemnify and advance expenses to its directors and officers to the fullest extent not prohibited by the DGCL and other applicable law, except in the case of a proceeding instituted by the director without the approval of the board of directors of Booz Allen Hamilton Holding Corporation. Booz Allen Hamilton Holding Corporation’s amended and restated bylaws also provide that it is required to indemnify its directors and officers, to the fullest extent permitted by law, for all judgments, fines, settlements, legal fees and other expenses incurred in connection with pending or threatened legal proceedings because of the director’s or officer’s positions with Booz Allen Hamilton Holding Corporation or another entity that the director or officer serves at Booz Allen Hamilton Holding Corporation’s request, subject to various conditions, and to advance funds to Booz Allen Hamilton Holding Corporation’s directors and officers to enable them to defend against such proceedings. To receive indemnification, the director or officer must have been successful in the legal proceeding or have acted in good faith and in what was reasonably believed to be a lawful manner in Booz Allen Hamilton Holding Corporation’s best interest and, with respect to any criminal proceeding, had no reasonable cause to believe his or her conduct was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has entered into an indemnification agreement with each of its directors and certain of its officers. The indemnification agreements provide its directors and certain of its officers with contractual rights to the indemnification and expense advancement rights provided under Booz Allen Hamilton Holding Corporation’s amended and restated bylaws, as well as contractual rights to additional indemnification as provided in the indemnification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Exclusive Forum Provision.</w:t>
      </w:r>
      <w:r>
        <w:rPr>
          <w:rFonts w:ascii="Times New Roman;Times;serif" w:hAnsi="Times New Roman;Times;serif"/>
          <w:b w:val="false"/>
          <w:i w:val="false"/>
          <w:caps w:val="false"/>
          <w:smallCaps w:val="false"/>
          <w:color w:val="000000"/>
          <w:spacing w:val="4"/>
          <w:sz w:val="20"/>
        </w:rPr>
        <w:t xml:space="preserve">   Booz Allen Hamilton Holding Corporation’s amended and restated certificate of incorporation provides that the Court of Chancery of the State of Delaware shall be the sole and exclusive forum for (i) any derivative action or proceeding brought on behalf of the Company, (ii) any action asserting a claim of breach of a fiduciary duty owed by any director or officer of the Company to the Company or the Company’s stockholders, (iii) any action asserting a claim against the Company arising pursuant to any provision of the DGCL or Booz Allen Hamilton Holding Corporation’s amended and restated certificate of incorporation or amended and restated bylaws, or (iv) any action asserting a claim against the Company governed by the internal affairs doctrine.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Computershare serves as transfer agent and registrar for Booz Allen Hamilton Holding Corporation’s Class A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DS1"/>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elect to offer depositary shares representing receipts for fractional interests in debt securities, common stock or preferred stock. Booz Allen Hamilton may elect to offer depositary shares representing receipts for fractional interests in debt securities. In this case, we will issue receipts for depositary shares, each of which will represent a fraction of a debt security, or share of common stock or of a particular series of preferred stock,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deposit the debt securities or shares of common stock or any series of preferred stock represented by depositary shares under a deposit agreement between Booz Allen Hamilton Holding Corporation or Booz Allen Hamilton, as applicable, and a depositary which we will name in the applicable prospectus supplement. The depositary will be the transfer agent, registrar and dividend disbursing agent for the depositary shares. Unless otherwise provided in the applicable prospectus supplement, and subject to the terms of the deposit agreement, as an owner of a depositary share you will be entitled, in proportion to the applicable fraction of a debt security or share of common stock or preferred stock represented by the depositary share, to all the rights and preferences of the debt security or common stock or preferred stock, as the case may be, represented by the depositary share, including, as the case may be, interest, dividend, voting, conversion, redemption, sinking fund, repayment at maturity, subscription and liquidation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terms of the deposit agreement is a summary. It summarizes only those terms of the deposit agreement that we believe will be most important to your decision to invest in our depositary shares. You should keep in mind, however, that it is the deposit agreement, and not this summary, which defines your rights as a holder of depositary shares. There may be other provisions in the deposit agreement, our amended and restated certificates of incorporation and the certificates of designation for the applicable series of preferred stock that are, or will be, filed with the SEC that are also important to you. You should read the deposit agreement for a full description of the terms of the depositary shares. The form of the deposit agreement will be filed as an exhibit to the registration statement of which this prospectus forms a part. See “Where You Can Find More Information” for information on how to obtain copies of these documents.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payments of interest, cash dividends or other cash distributions received on the debt securities, common stock or preferred stock, as the case may be, to you in proportion to the number of depositary shares that you own on the relevant record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distribution other than in cash, the depositary will distribute property received by it to you in an equitable manner, unless the depositary determines that it is not feasible to make a distribution. In that case the depositary may adopt another method for the distribution, including selling the property and distributing the net proceeds from the sale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a debt security, share of common stock or series of preferred stock represented by depositary shares, the depositary will redeem your depositary shares from the proceeds received by the depositary resulting from the redemption. The redemption price per depositary share will be equal to the applicable fraction of the redemption price per debt security or share of common stock or preferred stock, as the case may be, payable in relation to the redeemed series of debt securities, common stock or preferred stock. Whenever we redeem debt securities or shares of common stock or preferred stock held by the depositary, the depositary will redeem as of the same redemption date the number of depositary shares representing, as the case may be, the debt securities or shares of common stock or preferred stock redeemed. If fewer than all the depositary shares are to be redeemed, the depositary shares to be redeemed will be selected by lot, proportionately or by any other equitable method as the depositary may determine. After the date fixed for redemption, depositary shares called for redemption will no longer be deemed to be outstanding and all rights of the holders of depositary shares will cease, except the right to receive the monies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Rights under the Indentures or Voting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you, as a holder of fractional interests in deposited common stock or preferred stock, are entitled to vote, or of any request for instructions or directions from you, as a holder of interests in deposited debt securities, the depositary will mail to you the information contained in that notice. Each record holder of the depositary shares on the record date will be entitled to instruct the depositary how to give instructions or directions with respect to the debt securities represented by that holder’s depositary shares or how to vote the amount of the common stock or preferred stock represented by that holder’s depositary shares. The record date for the depositary shares will be the same date as the record date for the debt securities, common stock or preferred stock, as the case may be. The depositary will endeavor, to the extent practicable, to give instructions or directions with respect to the debt securities or to vote the amount of the common stock or preferred stock, as the case may be, represented by the depositary shares in accordance with those instructions. We will agree to take all reasonable action which the depositary may deem necessary to enable the depositary to do so. The depositary will abstain from giving instructions or directions with respect to the debt securities or voting shares of the common stock or preferred stock, as the case may be, if it does not receive specific instructions from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the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depositary may amend the form of depositary receipt evidencing the depositary shares and any provision of the deposit agreement at any time. However, any amendment which materially and adversely alters the rights of the holders of the depositary shares will not be effective unless the amendment has been approved by the holders of at least a majority of the depositary shares then outstanding.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will terminate if: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depositary shares have been redeemed, or </w:t>
      </w:r>
      <w:r>
        <mc:AlternateContent>
          <mc:Choice Requires="wps">
            <w:drawing>
              <wp:anchor behindDoc="0" distT="8763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complete repayment or redemption of the debt securities or a final distribution in respect of the common stock or preferred stock, including in connection with our liquidation, dissolution or winding up, and the repayment, redemption or distribution proceeds, as the case may be, have been distributed to you. </w:t>
      </w:r>
      <w:r>
        <mc:AlternateContent>
          <mc:Choice Requires="wps">
            <w:drawing>
              <wp:anchor behindDoc="0" distT="889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us notice of its election to do so. We also may, at any time, remove the depositary. Any resignation or removal will take effect upon the appointment of a successor depositary and its acceptance of such appointment. We must appoint the successor depositary within 60 days after delivery of the notice of resignation or removal. The successor depositary must be a bank or trust company having its principal office in the United States and having a combined capital and surplus of at least $50 million.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depositary arrangements. We will pay charges of the depositary in connection with the initial deposit of the debt securities, common stock or preferred stock, as the case may be, and issuance of depositary receipts, all withdrawals of shares of debt securities, common stock or preferred stock, as the case may be, by you and any repayment or redemption of the debt securities, common stock or preferred stock, as the case may be. You will pay transfer and other taxes and governmental charges, as well as the other charges that are expressly provided in the deposit agreement to be for your account.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forward all reports and communications from us which are delivered to the depositary and which we are required or otherwise determine to furnish to holders of debt securities, common stock or preferred stock, as the case may be. In addition, the depositary will make available for inspection by holders of depositary receipts at the principal office of the depositary, and at such other places as it may from time to time deem advisable, any reports and communications we deliver to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depositary will be liable under the deposit agreement to you other than for the depositary’s gross negligence, willful misconduct or bad faith. Neither we nor the depositary will be obligated to prosecute or defend any legal proceedings relating to any depositary shares, debt securities, common stock or preferred stock unless satisfactory indemnity is furnished. We and the depositary may rely upon written advice of counsel or accountants, or upon information provided by persons presenting debt securities or shares of common stock or preferred stock for deposit, you or other persons believed to be competent and on documents which we and the depositary believe to be genuine.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W"/>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issue warrants to purchase debt securities, preferred stock, common stock or other securities described in this prospectus, property or assets (including rights to receive payment in cash or securities based on the value, rate or price of one or more specified commodities, currencies, securities or indices) as well as other types of warrants. Booz Allen Hamilton may issue warrants to purchase debt securities. We may issue warrants independently or together with any other securities, and they may be attached to or separate from those securities. We will issue the warrants under warrant agreements between us and a bank or trust company, as warrant agent, that we will describe in the prospectus supplement relating to the warrants that we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terms of the warrants is a summary. It summarizes only those terms of the warrants and the warrant agreement which we believe will be most important to your decision to invest in our warrants. You should keep in mind, however, that it is the warrant agreement and the warrant certificate relating to the warrants, and not this summary, which defines your rights as a warrant holder. There may be other provisions in the warrant agreement and the warrant certificate relating to the warrants which are also important to you. You should read these documents for a full description of the terms of the warrants. Forms of these documents will be filed as exhibits to the registration statement of which this prospectus forms a part. See “Where You Can Find More Information” for information on how to obtain copies of these documents.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of warrants to purchase debt securities that we may offer, the warrant agreement relating to the debt warrants and the warrant certificates representing the debt warrants. These terms will include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warrants;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debt securities for which the debt warrants are exercisable; </w:t>
      </w:r>
      <w:r>
        <mc:AlternateContent>
          <mc:Choice Requires="wps">
            <w:drawing>
              <wp:anchor behindDoc="0" distT="6858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the debt warrants; </w:t>
      </w:r>
      <w:r>
        <mc:AlternateContent>
          <mc:Choice Requires="wps">
            <w:drawing>
              <wp:anchor behindDoc="0" distT="6858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we will issue the debt warrants, the principal amount of debt securities that you may purchase upon exercise of each debt warrant and the price or prices at which such principal amount may be purchased upon exercise; </w:t>
      </w:r>
      <w:r>
        <mc:AlternateContent>
          <mc:Choice Requires="wps">
            <w:drawing>
              <wp:anchor behindDoc="0" distT="6858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if other than in U.S. dollars, in which such debt warrants are to be issued or for which the debt warrants may be exercised; </w:t>
      </w:r>
      <w:r>
        <mc:AlternateContent>
          <mc:Choice Requires="wps">
            <w:drawing>
              <wp:anchor behindDoc="0" distT="6858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and conditions relating to the exercise of the debt warrants; </w:t>
      </w:r>
      <w:r>
        <mc:AlternateContent>
          <mc:Choice Requires="wps">
            <w:drawing>
              <wp:anchor behindDoc="0" distT="6858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any related debt securities and any guarantee issued with the debt warrants, and the number of debt warrants issued with each debt security; </w:t>
      </w:r>
      <w:r>
        <mc:AlternateContent>
          <mc:Choice Requires="wps">
            <w:drawing>
              <wp:anchor behindDoc="0" distT="6858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if other than in U.S. dollars, in which any principal, premium, if any, or interest on the debt securities purchasable upon exercise of the debt warrants will be payable; </w:t>
      </w:r>
      <w:r>
        <mc:AlternateContent>
          <mc:Choice Requires="wps">
            <w:drawing>
              <wp:anchor behindDoc="0" distT="6858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from which you may separately transfer the debt warrants and the related securities; </w:t>
      </w:r>
      <w:r>
        <mc:AlternateContent>
          <mc:Choice Requires="wps">
            <w:drawing>
              <wp:anchor behindDoc="0" distT="6858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your right to exercise the debt warrants commences, and the date on which your right expires; </w:t>
      </w:r>
      <w:r>
        <mc:AlternateContent>
          <mc:Choice Requires="wps">
            <w:drawing>
              <wp:anchor behindDoc="0" distT="6731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or minimum number of the debt warrants which you may exercise at any time; </w:t>
      </w:r>
      <w:r>
        <mc:AlternateContent>
          <mc:Choice Requires="wps">
            <w:drawing>
              <wp:anchor behindDoc="0" distT="6731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United States federal income tax considerations; </w:t>
      </w:r>
      <w:r>
        <mc:AlternateContent>
          <mc:Choice Requires="wps">
            <w:drawing>
              <wp:anchor behindDoc="0" distT="6731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warrants and terms, procedures and limitations relating to your exercise of the debt warrants; and </w:t>
      </w:r>
      <w:r>
        <mc:AlternateContent>
          <mc:Choice Requires="wps">
            <w:drawing>
              <wp:anchor behindDoc="0" distT="6731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securities you may purchase upon exercise of the debt warrants. </w:t>
      </w:r>
      <w:r>
        <mc:AlternateContent>
          <mc:Choice Requires="wps">
            <w:drawing>
              <wp:anchor behindDoc="0" distT="6731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describe in the applicable prospectus supplement any provisions for a change in the exercise price or expiration date of the warrants and the kind, frequency and timing of any notice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You may exchange debt warrant certificates for new debt warrant certificates of different denominations and may exercise debt warrants at the corporate trust office of the warrant agent or any other office that we indicate in the applicable prospectus supplement. Prior to exercise, you will not have any of the rights of holders of the debt securities purchasable upon that exercise and will not be entitled to payments of principal, premium, if any, or interest on the debt securities purchasable upon the exercise.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issue other warrants. Booz Allen Hamilton Holding Corporation will describe in the applicable prospectus supplement the following terms of those warrants: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warrants; </w:t>
      </w:r>
      <w:r>
        <mc:AlternateContent>
          <mc:Choice Requires="wps">
            <w:drawing>
              <wp:anchor behindDoc="0" distT="7874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which may include preferred stock, common stock or other securities, property or assets (including rights to receive payment in cash or securities based on the value, rate or price of one or more specified commodities, currencies, securities or indices), for which you may exercise the warrants; </w:t>
      </w:r>
      <w:r>
        <mc:AlternateContent>
          <mc:Choice Requires="wps">
            <w:drawing>
              <wp:anchor behindDoc="0" distT="7874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the warrants; </w:t>
      </w:r>
      <w:r>
        <mc:AlternateContent>
          <mc:Choice Requires="wps">
            <w:drawing>
              <wp:anchor behindDoc="0" distT="7747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Booz Allen Hamilton Holding Corporation will issue the warrants, the number of securities or amount of other property or assets that you may purchase upon exercise of each warrant and the price or prices at which such securities, property or assets may be purchased; </w:t>
      </w:r>
      <w:r>
        <mc:AlternateContent>
          <mc:Choice Requires="wps">
            <w:drawing>
              <wp:anchor behindDoc="0" distT="7747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currencies, or currency units, if other than in U.S. dollars, in which such debt warrants are to be issued or for which the debt warrants may be exercised; </w:t>
      </w:r>
      <w:r>
        <mc:AlternateContent>
          <mc:Choice Requires="wps">
            <w:drawing>
              <wp:anchor behindDoc="0" distT="7747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and conditions relating to the exercise of the warrants; </w:t>
      </w:r>
      <w:r>
        <mc:AlternateContent>
          <mc:Choice Requires="wps">
            <w:drawing>
              <wp:anchor behindDoc="0" distT="7747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any related securities issued with the warrants, and the number of warrants issued with each security;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from which you may separately transfer the warrants and the related securities; </w:t>
      </w:r>
      <w:r>
        <mc:AlternateContent>
          <mc:Choice Requires="wps">
            <w:drawing>
              <wp:anchor behindDoc="0" distT="7747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your right to exercise the warrants commences, and the date on which your right expires; </w:t>
      </w:r>
      <w:r>
        <mc:AlternateContent>
          <mc:Choice Requires="wps">
            <w:drawing>
              <wp:anchor behindDoc="0" distT="7747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or minimum number of warrants which you may exercise at any time; </w:t>
      </w:r>
      <w:r>
        <mc:AlternateContent>
          <mc:Choice Requires="wps">
            <w:drawing>
              <wp:anchor behindDoc="0" distT="7747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United States federal income tax considerations; and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warrants, including terms, procedures and limitations relating to your exchange and exercise of the warrants.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will also describe in the applicable prospectus supplement any provisions for a change in the exercise price or the expiration date of the warrants and the kind, frequency and timing of any notice to be given. You may exchange warrant certificates for new warrant certificates of different denominations and may exercise warrants at the corporate trust office of the warrant agent or any other office that Booz Allen Hamilton Holding Corporation indicates in the applicable prospectus supplement. Prior to the exercise of your warrants, you will not have any of the rights of holders of the preferred stock, common stock or other securities purchasable upon that exercise and will not be entitled to dividend payments, if any, or voting rights of the preferred stock, common stock or other securities purchasable upon the exercise.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prospectus supplement relating to the warrants the principal amount or the number of the securities, or amounts of other property or assets, that you may purchase for cash upon exercise of a warrant, and the exercise price. You may exercise a warrant as described in the prospectus supplement relating to the warrants at any time up to the close of business on the expiration date stated in the applicable prospectus supplement. Unexercised warrants will become void after the close of business on the expiration date, or any later expiration date that we determine.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forward the securities purchasable upon the exercise as soon as practicable after receipt of payment and the properly completed and executed warrant certificate at the corporate trust office of the warrant agent or other office stated in the applicable prospectus supplement. If you exercise less than all of the warrants represented by the warrant certificate, we will issue you a new warrant certificate for the remaining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PC"/>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issue purchase contracts for the purchase or sale of a number of its debt securities, shares of its common stock or preferred stock, or other securities described in this prospectus or the applicable prospectus supplement at a future date or dates. Booz Allen Hamilton may issue purchase contracts for the purchase or sale of its debt securities or other securities described in this prospectus or the applicable prospectus supplement at a future date or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will obligate holders to purchase from us and obligate us to sell to the holders a number of debt securities, shares of common stock or preferred stock, or other securities described in this prospectus or the applicable prospectus supplement at a future date or dates. Alternatively, the purchase contacts may obligate or entitle us to purchase from the holders, and obligate or entitle the holders to sell to us, a specific or varying number of debt securities, shares of common stock or preferred stock, or other securities described in this prospectus or the applicable prospectus supplement at a future date or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may require us to make periodic payments to the holders of the purchase contracts or vice versa. These payments may be unsecured or prefunded on some basis to be specified in the applicable prospectus supplement. The purchase contracts may require holders to secure their obligations thereunder in a specified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purchase contracts will specify the material terms of the purchase contracts and any applicable pledge or depositary arrangements, including one or more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stated amount that a holder will be obligated to pay under the purchase contract in order to purchase debt securities, common stock, preferred stock, or other securities described in this prospectus or the formula by which such amount shall be determined. </w:t>
      </w:r>
      <w:r>
        <mc:AlternateContent>
          <mc:Choice Requires="wps">
            <w:drawing>
              <wp:anchor behindDoc="0" distT="7366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date or dates on which the holder will be obligated to purchase such securities. The prospectus supplement will specify whether the occurrence of any events may cause the settlement date to occur on an earlier date and the terms on which an early settlement would occur. </w:t>
      </w:r>
      <w:r>
        <mc:AlternateContent>
          <mc:Choice Requires="wps">
            <w:drawing>
              <wp:anchor behindDoc="0" distT="7366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events, if any, that will cause our obligations and the obligations of the holder under the purchase contract to terminate. </w:t>
      </w:r>
      <w:r>
        <mc:AlternateContent>
          <mc:Choice Requires="wps">
            <w:drawing>
              <wp:anchor behindDoc="0" distT="7366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rate, which is a number that, when multiplied by the stated amount of a purchase contract, determines the number of securities that we will be obligated to sell and a holder will be obligated to purchase under that purchase contract upon payment of the stated amount of that purchase contract. The settlement rate may be determined by the application of a formula specified in the prospectus supplement. If a formula is specified, it may be based on the market price of such securities over a specified period or it may be based on some other reference statistic. </w:t>
      </w:r>
      <w:r>
        <mc:AlternateContent>
          <mc:Choice Requires="wps">
            <w:drawing>
              <wp:anchor behindDoc="0" distT="7366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contracts will be issued separately or as part of units consisting of a purchase contract and an underlying security with an aggregate principal amount equal to the stated amount. Any underlying securities will be pledged by the holder to secure its obligations under a purchase contract.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 of underlying security, if any, that is pledged by the holder to secure its obligations under a purchase contract. Underlying securities may be debt securities, common stock, preferred stock, or other securities described in this prospectus or the applicable prospectus supplement.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pledge arrangement relating to any underlying securities, including the terms on which distributions or payments of interest and principal on any underlying securities will be retained by a collateral agent, delivered to us or be distributed to the holder.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contract fee, if any, that may be payable by us to the holder or by the holder to us, the date or dates on which the contract fee will be payable and the extent to which we or the holder, as applicable, may defer payment of the contract fee on those payment dates. The contract fee may be calculated as a percentage of the stated amount of the purchase contract or otherwise.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of the purchase contracts and any applicable underlying security or pledge or depository arrangements in this prospectus and in any prospectus supplement are summaries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provisions of the applicable agreements and are subject to and qualified in their entirety by reference to the terms and provisions of the purchase contract agreement, pledge agreement and deposit agreement, forms of which will be filed as exhibits to the registration statement of which this prospectus forms a part. See “Where You Can Find More Information” for information on how to obtain copies of these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DOU"/>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the applicable prospectus supplement, we may issue units comprising one or more of the other securities described in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We may issue units in one or more series, which will be described in the applicable prospectus supplement. The applicable prospectus supplement will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the securities comprising the units may be held or transferred separately;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any unit agent for the units, if applicable, and of any other depositaries, execution or paying agents, transfer agents, registrars or other agents;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terms of any unit agreement governing the units;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provisions for the issuance, payment, settlement, transfer or exchange of the units or of the debt securities, common stock, preferred stock, purchase contracts or warrants constituting the unit; and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material U.S. federal income tax consequences.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will be filed as exhibits to the registration statement of which this prospectus forms a part. See “Where You Can Find More Information” for information on how to obtain copies of these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POD"/>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from time to time in one or more transactions separately or as units with other securities. We may sell the securities of or within any series to or through agents, underwriters, dealers, remarketing firms or other third parties or directly to one or more purchasers or through a combination of any of these methods. Booz Allen Hamilton Holding Corporation may issue securities as a dividend or distribution or in a subscription rights offering to our existing security holders. In some cases, we or dealers acting with us or on behalf of us may also purchase securities and reoffer them to the public. We may also offer and sell, or agree to deliver, securities pursuant to, or in connection with, any option agreement or other contractual arrangement. This prospectus may be used in connection with any offering of our securities through any of these methods or other methods described in the applicable prospectus supplement. Each prospectus supplement will describe the method of distribution of the securities and any applicable restrictions.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whom we designate may solicit offers to purchase the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name any agent involved in offering or selling securities, and disclose any commissions that we will pay to the agent, in the applicable prospectus supplement. </w:t>
      </w:r>
      <w:r>
        <mc:AlternateContent>
          <mc:Choice Requires="wps">
            <w:drawing>
              <wp:anchor behindDoc="0" distT="7747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agents will act on a best efforts basis for the period of their appointment. </w:t>
      </w:r>
      <w:r>
        <mc:AlternateContent>
          <mc:Choice Requires="wps">
            <w:drawing>
              <wp:anchor behindDoc="0" distT="7747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may be deemed to be underwriters under the Securities Act of 1933, as amended (the “Securities Act”) of any of the securities that they offer or sell.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an underwriter or underwriters in the offer or sale of the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an underwriter or underwriters, we will execute an underwriting agreement with the underwriter or underwriters at the time that we reach an agreement for the sale of the securities.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names of the managing underwriter or underwriters, as well as the names of any other underwriters, and the terms of the transactions, including the compensation the underwriters will receive, in the applicable prospectus supplement.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the obligations of the underwriters to purchase any securities will be conditioned on customary closing conditions and the underwriters will be obligated to purchase all of such series of securities, if any are purchased.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 dealer to sell the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 dealer, we, as principal, will sell the securities to the dealer.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 will then sell the securities to the public at varying prices that the dealer will determine at the time it sells the securities.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 of the dealer and the terms of the transactions with the dealer in the applicable prospectus supplement.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solicit directly offers to purchase the securities, and we may directly sell the securities to institutional or other investors. We will describe the terms of direct sales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engage in at-the-market offerings into an existing trading market in accordance with Rule 415(a)(4) of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Booz Allen Hamilton Holding Corporation offers securities in a subscription rights offering to its existing security holders, Booz Allen Hamilton Holding Corporation may enter into a standby underwriting agreement with dealers, acting as standby underwriters. Booz Allen Hamilton Holding Corporation may pay the standby underwriters a commitment fee for the securities they commit to purchase on a standby basis. If Booz Allen Hamilton Holding Corporation does not enter into a standby underwriting arrangement, it may retain a dealer-manager to manage a subscription rights offering for Booz Allen Hamilton Holding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in the ordinary course of their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and underwriters to solicit offers by certain institutions to purchase the securities at the public offering price under delayed delivery contracts.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delayed delivery contracts, we will disclose that we are using them in the applicable prospectus supplement and will tell you when we will demand payment and delivery of the securities under the delayed delivery contracts. </w:t>
      </w:r>
      <w:r>
        <mc:AlternateContent>
          <mc:Choice Requires="wps">
            <w:drawing>
              <wp:anchor behindDoc="0" distT="7493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delayed delivery contracts will be subject only to the conditions that we describe in the applicable prospectus supplement. </w:t>
      </w:r>
      <w:r>
        <mc:AlternateContent>
          <mc:Choice Requires="wps">
            <w:drawing>
              <wp:anchor behindDoc="0" distT="7493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commission that underwriters and agents soliciting purchases of the securities under delayed contracts will be entitled to receive.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distribution of the securities is completed, SEC rules may limit the ability of underwriters and other participants in the offering to bid for and purchase the securities. As an exception to these rules, the underwriters in certain circumstances are permitted to engage in certain transactions that stabilize the price of the securities. Such transactions consist of bids or purchases for the purpose of pegging, fixing or maintaining the price of the securities. In connection with an offering,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hold and must be closed out by purchasing those securities in the open market. Stabilizing transactions consist of various bids for or purchases made by the underwriters in the open market prior to the completion of an offering. The underwriters also may impose a penalty bid on certain underwriters. This occurs when a particular underwriter repays to the underwriting syndicate a portion of the underwriting discount received by it because the underwriting syndicate has repurchased securities sold by or for the account of that underwriter in stabilizing or short-covering transactions. These activities by the underwriters, as well as other purchases by the underwriters for their own account, may have the effect of preventing or retarding a decline in the market price of the securities, and may stabilize, maintain or otherwise affect the market price of the securities. As a result, the price of the securities may be higher than the price that otherwise might exist in the open market. If these activities are commenced, they may be discontinued by the underwriters at any time. These transactions may be effected on an exchange or automated quotation system, if the securities are listed on that exchange or admitted for trading on that automated quotation system, or in the over-the-counter market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loan or pledge securities to third parties that in turn may sell the securities using this prospectus and the applicable prospectus supplement or, if we default in the case of a pledge, may offer and sell the securities from time to time using this prospectus and the applicable prospectus supplement. Such third parties may transfer their short positions to investors in the securities or in connection with a concurrent offering of other securities offered by this prospectus and the applicable prospectus supplement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applicable prospectus supplement, including in short sale transactions, or may lend securities in order to facilitate short sale transactions by others. If so, the third party may use securities pledged by us or borrowed from us or others to settle those sales 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Exchange Act, trades in the secondary market generally are required to settle in one business day, unless the parties to any such trade expressly agree otherwise. The applicable prospectus supplement may provide that the settlement date for securities may be more than one business day after the trade date. Accordingly, in such a case, if you wish to trade securities on any date prior to the first business day before the settlement date for such securities, you will be required, by virtue of the fact that such securities initially are expected to settle in more than one scheduled business day after the trade date,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5% or more of the net proceeds of any offering of securities made under this prospectus will be received by a member of the Financial Industry Regulatory Authority (“FINRA”) participating in the offering or affiliates or associated persons of such FINRA member, the offering will be conducted in accordance with FINRA Rule 5121 (or any successor rule). In order 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any exemption from registration or qualification requirements is available and is complied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VOS"/>
      <w:bookmarkEnd w:id="32"/>
      <w:r>
        <w:rPr>
          <w:rFonts w:ascii="calibri;arial;sans-serif" w:hAnsi="calibri;arial;sans-serif"/>
          <w:b w:val="false"/>
          <w:i w:val="false"/>
          <w:caps w:val="false"/>
          <w:smallCaps w:val="false"/>
          <w:color w:val="000000"/>
          <w:sz w:val="16"/>
        </w:rPr>
        <w:t>​</w:t>
      </w:r>
      <w:bookmarkStart w:id="33" w:name="tEXP"/>
      <w:bookmarkEnd w:id="33"/>
      <w:r>
        <w:rPr>
          <w:rFonts w:ascii="calibri;arial;sans-serif" w:hAnsi="calibri;arial;sans-serif"/>
          <w:b w:val="false"/>
          <w:i w:val="false"/>
          <w:caps w:val="false"/>
          <w:smallCaps w:val="false"/>
          <w:color w:val="000000"/>
          <w:sz w:val="16"/>
        </w:rPr>
        <w:t>​</w:t>
      </w:r>
      <w:bookmarkStart w:id="34" w:name="tWYCF"/>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validity of any securities offered by this prospectus will be passed upon for us by Debevoise &amp; Plimpton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Booz Allen Hamilton Holding Corporation appearing in Booz Allen Hamilton Holding Corporation’s </w:t>
      </w:r>
      <w:hyperlink r:id="rId15">
        <w:r>
          <w:rPr>
            <w:rStyle w:val="InternetLink"/>
          </w:rPr>
          <w:t>Annual Report (Form 10-K) for the year ended March 31, 2026</w:t>
        </w:r>
      </w:hyperlink>
      <w:r>
        <w:rPr>
          <w:rFonts w:ascii="Times New Roman;Times;serif" w:hAnsi="Times New Roman;Times;serif"/>
          <w:b w:val="false"/>
          <w:i w:val="false"/>
          <w:caps w:val="false"/>
          <w:smallCaps w:val="false"/>
          <w:color w:val="000000"/>
          <w:spacing w:val="4"/>
          <w:sz w:val="20"/>
        </w:rPr>
        <w:t xml:space="preserve">, and the effectiveness of Booz Allen Hamilton Holding Corporation’s internal control over financial reporting as of March 31, 2026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under the Exchange Act. The SEC maintains an Internet site, http://www.sec.gov, which contains reports, proxy and information statements and other information regarding issuers that are subject to the SEC’s reporting requirements. Our website is located at www.boozallen.com. We post filings on our website as soon as practicable after they are electronically filed with, or furnished to, the SEC. All such postings and filings are available on the “Investor Relations” portion of our website free of charge. Information contained on or connected to any website referenced in this prospectus, any accompanying prospectus supplement and the documents incorporated by reference herein and therein is not incorporated by reference in this prospectus, any accompanying prospectus supplement and the documents incorporated by reference herein and therein, and any website references are intended to be inactive textual references only unless expressly noted.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have filed with the SEC relating to the securities to be offered. This prospectus does not contain all of the information we have included in the registration statement and the accompanying exhibits and schedules in accordance with the rules and regulations of the SEC, and we refer you to such documents. The statements in this prospectus pertaining to the content of any contract, agreement or other document that is an exhibit to the registration statement necessarily are summaries of their material provisions and do not describe all exceptions and qualifications contained in those contracts, agreements or documents. You should read those contracts, agreements or documents for information that may be important to you. The registration statement, exhibits and schedules are available through the SEC’s Internet 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IBR"/>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information into this prospectus,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This prospectus incorporates by reference the documents listed below: </w:t>
      </w:r>
    </w:p>
    <w:p>
      <w:pPr>
        <w:pStyle w:val="TextBody"/>
        <w:bidi w:val="0"/>
        <w:spacing w:lineRule="atLeast" w:line="240" w:before="120" w:after="0"/>
        <w:ind w:left="1993" w:right="0" w:hanging="0"/>
        <w:jc w:val="left"/>
        <w:rPr/>
      </w:pPr>
      <w:hyperlink r:id="rId16">
        <w:r>
          <w:rPr>
            <w:rStyle w:val="InternetLink"/>
          </w:rPr>
          <w:t>Annual Report on Form 10-K for the fiscal year ended March 31, 2026, filed with the SEC on May 22, 2026</w:t>
        </w:r>
      </w:hyperlink>
      <w:r>
        <w:rPr>
          <w:rFonts w:ascii="Times New Roman;Times;serif" w:hAnsi="Times New Roman;Times;serif"/>
          <w:b w:val="false"/>
          <w:i w:val="false"/>
          <w:caps w:val="false"/>
          <w:smallCaps w:val="false"/>
          <w:color w:val="000000"/>
          <w:spacing w:val="4"/>
          <w:sz w:val="20"/>
        </w:rPr>
        <w:t xml:space="preserve">, including those portions of our </w:t>
      </w:r>
      <w:hyperlink r:id="rId17">
        <w:r>
          <w:rPr>
            <w:rStyle w:val="InternetLink"/>
          </w:rPr>
          <w:t>definitive Proxy Statement on Schedule 14A for the 2026 Annual Meeting of Stockholders, filed with the SEC on June 11, 2026</w:t>
        </w:r>
      </w:hyperlink>
      <w:r>
        <w:rPr>
          <w:rFonts w:ascii="Times New Roman;Times;serif" w:hAnsi="Times New Roman;Times;serif"/>
          <w:b w:val="false"/>
          <w:i w:val="false"/>
          <w:caps w:val="false"/>
          <w:smallCaps w:val="false"/>
          <w:color w:val="000000"/>
          <w:spacing w:val="4"/>
          <w:sz w:val="20"/>
        </w:rPr>
        <w:t xml:space="preserve">, that are incorporated by reference into such Annual Report;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8">
        <w:r>
          <w:rPr>
            <w:rStyle w:val="InternetLink"/>
          </w:rPr>
          <w:t>Quarterly Report on Form 10-Q for the quarter ended June 30, 2026, filed with the SEC on July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19">
        <w:r>
          <w:rPr>
            <w:rStyle w:val="InternetLink"/>
          </w:rPr>
          <w:t>April 27, 2026</w:t>
        </w:r>
      </w:hyperlink>
      <w:r>
        <w:rPr>
          <w:rFonts w:ascii="Times New Roman;Times;serif" w:hAnsi="Times New Roman;Times;serif"/>
          <w:b w:val="false"/>
          <w:i w:val="false"/>
          <w:caps w:val="false"/>
          <w:smallCaps w:val="false"/>
          <w:color w:val="000000"/>
          <w:spacing w:val="4"/>
          <w:sz w:val="20"/>
        </w:rPr>
        <w:t xml:space="preserve"> (Item 5.02 only), </w:t>
      </w:r>
      <w:hyperlink r:id="rId20">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(Item 5.02 only), </w:t>
      </w:r>
      <w:hyperlink r:id="rId21">
        <w:r>
          <w:rPr>
            <w:rStyle w:val="InternetLink"/>
          </w:rPr>
          <w:t>June 22, 2026</w:t>
        </w:r>
      </w:hyperlink>
      <w:r>
        <w:rPr>
          <w:rFonts w:ascii="Times New Roman;Times;serif" w:hAnsi="Times New Roman;Times;serif"/>
          <w:b w:val="false"/>
          <w:i w:val="false"/>
          <w:caps w:val="false"/>
          <w:smallCaps w:val="false"/>
          <w:color w:val="000000"/>
          <w:spacing w:val="4"/>
          <w:sz w:val="20"/>
        </w:rPr>
        <w:t xml:space="preserve"> (Item 1.01 only), and </w:t>
      </w:r>
      <w:hyperlink r:id="rId22">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(Item 5.07); and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capital stock contained in our </w:t>
      </w:r>
      <w:hyperlink r:id="rId23">
        <w:r>
          <w:rPr>
            <w:rStyle w:val="InternetLink"/>
          </w:rPr>
          <w:t>Form 8-A12B, filed with the SEC on November 16, 2010</w:t>
        </w:r>
      </w:hyperlink>
      <w:r>
        <w:rPr>
          <w:rFonts w:ascii="Times New Roman;Times;serif" w:hAnsi="Times New Roman;Times;serif"/>
          <w:b w:val="false"/>
          <w:i w:val="false"/>
          <w:caps w:val="false"/>
          <w:smallCaps w:val="false"/>
          <w:color w:val="000000"/>
          <w:spacing w:val="4"/>
          <w:sz w:val="20"/>
        </w:rPr>
        <w:t xml:space="preserve">, as supplemented by the section entitled “Description of Capital Stock” in this prospectus.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documents filed by us pursuant to Sections 13(a), 13(c), 14 and 15(d) of the Exchange Act from the date of this prospectus and prior to the termination of the offering of the securities shall also be deemed to be incorporated in this prospectus by reference;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information furnished and not filed by us under any item of any current report on Form 8-K, including related exhibits, is not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filing incorporated by reference into this prospectus through us or from the SEC through the SEC’s Internet site or at the address listed above. We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You should direct requests for those documents to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Booz Allen Hamilton Holding Corporation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8283 Greensboro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McLean, Virginia 22102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(703) 902-5000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Attn: Investor Relations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910" w:after="283"/>
        <w:jc w:val="center"/>
        <w:rPr>
          <w:caps w:val="false"/>
          <w:smallCaps w:val="false"/>
          <w:color w:val="000000"/>
        </w:rPr>
      </w:pPr>
      <w:r>
        <w:rPr>
          <w:caps w:val="false"/>
          <w:smallCaps w:val="false"/>
          <w:color w:val="000000"/>
        </w:rPr>
        <w:drawing>
          <wp:inline distT="0" distB="0" distL="0" distR="0">
            <wp:extent cx="3305175" cy="552450"/>
            <wp:effectExtent l="0" t="0" r="0" b="0"/>
            <wp:docPr id="2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3" descr=""/>
                    <pic:cNvPicPr>
                      <a:picLocks noChangeAspect="1" noChangeArrowheads="1"/>
                    </pic:cNvPicPr>
                  </pic:nvPicPr>
                  <pic:blipFill>
                    <a:blip r:embed="rId24"/>
                    <a:stretch>
                      <a:fillRect/>
                    </a:stretch>
                  </pic:blipFill>
                  <pic:spPr bwMode="auto">
                    <a:xfrm>
                      <a:off x="0" y="0"/>
                      <a:ext cx="3305175" cy="55245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04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Booz Allen Hamilton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$             %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Fully and Unconditionally Guaranteed by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Booz Allen Hamilton Holding Corporation</w:t>
      </w:r>
      <w:r>
        <w:rPr>
          <w:rFonts w:ascii="Times New Roman;Times;serif" w:hAnsi="Times New Roman;Times;serif"/>
          <w:b/>
          <w:i w:val="false"/>
          <w:caps w:val="false"/>
          <w:smallCaps w:val="false"/>
          <w:color w:val="000000"/>
          <w:spacing w:val="6"/>
          <w:sz w:val="28"/>
        </w:rPr>
        <w:t xml:space="preserve"> </w:t>
      </w:r>
    </w:p>
    <w:p>
      <w:pPr>
        <w:pStyle w:val="TextBody"/>
        <w:bidi w:val="0"/>
        <w:spacing w:before="118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16"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 R O S P E C T U S   S U P P L E M E N T</w:t>
      </w:r>
      <w:r>
        <w:rPr>
          <w:rFonts w:ascii="Times New Roman;Times;serif" w:hAnsi="Times New Roman;Times;serif"/>
          <w:b/>
          <w:i w:val="false"/>
          <w:caps w:val="false"/>
          <w:smallCaps w:val="false"/>
          <w:color w:val="000000"/>
          <w:spacing w:val="5"/>
          <w:sz w:val="24"/>
        </w:rPr>
        <w:t xml:space="preserve"> </w:t>
      </w:r>
    </w:p>
    <w:p>
      <w:pPr>
        <w:pStyle w:val="TextBody"/>
        <w:bidi w:val="0"/>
        <w:spacing w:before="3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3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6834" w:type="dxa"/>
        <w:jc w:val="left"/>
        <w:tblInd w:w="1393" w:type="dxa"/>
        <w:tblLayout w:type="fixed"/>
        <w:tblCellMar>
          <w:top w:w="0" w:type="dxa"/>
          <w:left w:w="0" w:type="dxa"/>
          <w:bottom w:w="0" w:type="dxa"/>
          <w:right w:w="0" w:type="dxa"/>
        </w:tblCellMar>
      </w:tblPr>
      <w:tblGrid>
        <w:gridCol w:w="124"/>
        <w:gridCol w:w="1609"/>
        <w:gridCol w:w="109"/>
        <w:gridCol w:w="109"/>
        <w:gridCol w:w="1273"/>
        <w:gridCol w:w="109"/>
        <w:gridCol w:w="109"/>
        <w:gridCol w:w="1408"/>
        <w:gridCol w:w="109"/>
        <w:gridCol w:w="109"/>
        <w:gridCol w:w="1612"/>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283"/>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before="0" w:after="0"/>
              <w:jc w:val="center"/>
              <w:rPr/>
            </w:pPr>
            <w:r>
              <w:rPr>
                <w:spacing w:val="-6"/>
              </w:rPr>
              <w:t xml:space="preserve">PNC Capital </w:t>
            </w:r>
            <w:r>
              <w:rPr/>
              <w:br/>
            </w:r>
            <w:r>
              <w:rPr>
                <w:spacing w:val="-6"/>
              </w:rPr>
              <w:t>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right"/>
              <w:rPr/>
            </w:pPr>
            <w:r>
              <w:rPr>
                <w:spacing w:val="-6"/>
              </w:rPr>
              <w:t>Truist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43646/000162828026037521/bah-20260331.htm" TargetMode="External"/><Relationship Id="rId4" Type="http://schemas.openxmlformats.org/officeDocument/2006/relationships/hyperlink" Target="https://www.sec.gov/ix?doc=/Archives/edgar/data/1443646/000144364626000021/bah-20260611.htm" TargetMode="External"/><Relationship Id="rId5" Type="http://schemas.openxmlformats.org/officeDocument/2006/relationships/hyperlink" Target="https://www.sec.gov/ix?doc=/Archives/edgar/data/1443646/000162828026049495/bah-20260630.htm" TargetMode="External"/><Relationship Id="rId6" Type="http://schemas.openxmlformats.org/officeDocument/2006/relationships/hyperlink" Target="https://www.sec.gov/ix?doc=/Archives/edgar/data/1443646/000144364626000007/bah-20260421.htm" TargetMode="External"/><Relationship Id="rId7" Type="http://schemas.openxmlformats.org/officeDocument/2006/relationships/hyperlink" Target="https://www.sec.gov/ix?doc=/Archives/edgar/data/1443646/000144364626000014/bah-20260507.htm" TargetMode="External"/><Relationship Id="rId8" Type="http://schemas.openxmlformats.org/officeDocument/2006/relationships/hyperlink" Target="https://www.sec.gov/ix?doc=/Archives/edgar/data/1443646/000110465926076094/tm2618424d1_8k.htm" TargetMode="External"/><Relationship Id="rId9" Type="http://schemas.openxmlformats.org/officeDocument/2006/relationships/hyperlink" Target="https://www.sec.gov/ix?doc=/Archives/edgar/data/1443646/000144364626000029/bah-20260722.htm" TargetMode="External"/><Relationship Id="rId10" Type="http://schemas.openxmlformats.org/officeDocument/2006/relationships/hyperlink" Target="https://www.sec.gov/ix?doc=/Archives/edgar/data/1443646/000162828026037521/bah-20260331.htm" TargetMode="External"/><Relationship Id="rId11" Type="http://schemas.openxmlformats.org/officeDocument/2006/relationships/hyperlink" Target="https://www.sec.gov/ix?doc=/Archives/edgar/data/1443646/000162828026049495/bah-20260630.htm" TargetMode="External"/><Relationship Id="rId12" Type="http://schemas.openxmlformats.org/officeDocument/2006/relationships/hyperlink" Target="https://www.sec.gov/ix?doc=/Archives/edgar/data/1443646/000162828026049495/bah-20260630.htm" TargetMode="External"/><Relationship Id="rId13" Type="http://schemas.openxmlformats.org/officeDocument/2006/relationships/hyperlink" Target="https://www.sec.gov/ix?doc=/Archives/edgar/data/1443646/000162828026037521/bah-20260331.htm" TargetMode="External"/><Relationship Id="rId14" Type="http://schemas.openxmlformats.org/officeDocument/2006/relationships/image" Target="media/image1.jpeg"/><Relationship Id="rId15" Type="http://schemas.openxmlformats.org/officeDocument/2006/relationships/hyperlink" Target="https://www.sec.gov/ix?doc=/Archives/edgar/data/1443646/000162828026037521/bah-20260331.htm" TargetMode="External"/><Relationship Id="rId16" Type="http://schemas.openxmlformats.org/officeDocument/2006/relationships/hyperlink" Target="https://www.sec.gov/ix?doc=/Archives/edgar/data/1443646/000162828026037521/bah-20260331.htm" TargetMode="External"/><Relationship Id="rId17" Type="http://schemas.openxmlformats.org/officeDocument/2006/relationships/hyperlink" Target="https://www.sec.gov/ix?doc=/Archives/edgar/data/1443646/000144364626000021/bah-20260611.htm" TargetMode="External"/><Relationship Id="rId18" Type="http://schemas.openxmlformats.org/officeDocument/2006/relationships/hyperlink" Target="https://www.sec.gov/ix?doc=/Archives/edgar/data/0001443646/000162828026049495/bah-20260630.htm" TargetMode="External"/><Relationship Id="rId19" Type="http://schemas.openxmlformats.org/officeDocument/2006/relationships/hyperlink" Target="https://www.sec.gov/ix?doc=/Archives/edgar/data/1443646/000144364626000007/bah-20260421.htm" TargetMode="External"/><Relationship Id="rId20" Type="http://schemas.openxmlformats.org/officeDocument/2006/relationships/hyperlink" Target="https://www.sec.gov/ix?doc=/Archives/edgar/data/1443646/000144364626000014/bah-20260507.htm" TargetMode="External"/><Relationship Id="rId21" Type="http://schemas.openxmlformats.org/officeDocument/2006/relationships/hyperlink" Target="https://www.sec.gov/ix?doc=/Archives/edgar/data/1443646/000110465926076094/tm2618424d1_8k.htm" TargetMode="External"/><Relationship Id="rId22" Type="http://schemas.openxmlformats.org/officeDocument/2006/relationships/hyperlink" Target="https://www.sec.gov/ix?doc=/Archives/edgar/data/0001443646/000144364626000029/bah-20260722.htm" TargetMode="External"/><Relationship Id="rId23" Type="http://schemas.openxmlformats.org/officeDocument/2006/relationships/hyperlink" Target="https://www.sec.gov/Archives/edgar/data/1443646/000095012310106072/w80451e8va12b.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48015</Words>
  <Characters>252510</Characters>
  <CharactersWithSpaces>302910</CharactersWithSpaces>
  <Paragraphs>2527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