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9"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001-34972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80" w:type="dxa"/>
        <w:tblCellMar>
          <w:top w:w="0" w:type="dxa"/>
          <w:left w:w="0" w:type="dxa"/>
          <w:bottom w:w="0" w:type="dxa"/>
          <w:right w:w="0" w:type="dxa"/>
        </w:tblCellMar>
      </w:tblPr>
      <w:tr>
        <w:trPr>
          <w:trHeight w:val="218"/>
        </w:trPr>
        <w:tc>
          <w:tcPr>
            <w:tcW w:w="5020" w:type="dxa"/>
            <w:vAlign w:val="bottom"/>
          </w:tcPr>
          <w:p>
            <w:pPr>
              <w:jc w:val="center"/>
              <w:ind w:right="1764"/>
              <w:spacing w:after="0"/>
              <w:rPr>
                <w:sz w:val="20"/>
                <w:szCs w:val="20"/>
                <w:color w:val="auto"/>
              </w:rPr>
            </w:pPr>
            <w:r>
              <w:rPr>
                <w:rFonts w:ascii="Arial" w:cs="Arial" w:eastAsia="Arial" w:hAnsi="Arial"/>
                <w:sz w:val="18"/>
                <w:szCs w:val="18"/>
                <w:b w:val="1"/>
                <w:bCs w:val="1"/>
                <w:color w:val="auto"/>
                <w:w w:val="88"/>
              </w:rPr>
              <w:t>Delaware</w:t>
            </w:r>
          </w:p>
        </w:tc>
        <w:tc>
          <w:tcPr>
            <w:tcW w:w="2920" w:type="dxa"/>
            <w:vAlign w:val="bottom"/>
          </w:tcPr>
          <w:p>
            <w:pPr>
              <w:jc w:val="right"/>
              <w:ind w:right="44"/>
              <w:spacing w:after="0"/>
              <w:rPr>
                <w:sz w:val="20"/>
                <w:szCs w:val="20"/>
                <w:color w:val="auto"/>
              </w:rPr>
            </w:pPr>
            <w:r>
              <w:rPr>
                <w:rFonts w:ascii="Arial" w:cs="Arial" w:eastAsia="Arial" w:hAnsi="Arial"/>
                <w:sz w:val="18"/>
                <w:szCs w:val="18"/>
                <w:b w:val="1"/>
                <w:bCs w:val="1"/>
                <w:color w:val="auto"/>
              </w:rPr>
              <w:t>26-2634160</w:t>
            </w:r>
          </w:p>
        </w:tc>
      </w:tr>
      <w:tr>
        <w:trPr>
          <w:trHeight w:val="149"/>
        </w:trPr>
        <w:tc>
          <w:tcPr>
            <w:tcW w:w="5020" w:type="dxa"/>
            <w:vAlign w:val="bottom"/>
          </w:tcPr>
          <w:p>
            <w:pPr>
              <w:jc w:val="center"/>
              <w:ind w:right="178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7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020" w:type="dxa"/>
            <w:vAlign w:val="bottom"/>
          </w:tcPr>
          <w:p>
            <w:pPr>
              <w:jc w:val="center"/>
              <w:ind w:right="1784"/>
              <w:spacing w:after="0"/>
              <w:rPr>
                <w:sz w:val="20"/>
                <w:szCs w:val="20"/>
                <w:color w:val="auto"/>
              </w:rPr>
            </w:pPr>
            <w:r>
              <w:rPr>
                <w:rFonts w:ascii="Arial" w:cs="Arial" w:eastAsia="Arial" w:hAnsi="Arial"/>
                <w:sz w:val="14"/>
                <w:szCs w:val="14"/>
                <w:b w:val="1"/>
                <w:bCs w:val="1"/>
                <w:color w:val="auto"/>
                <w:w w:val="88"/>
              </w:rPr>
              <w:t>incorporation or organization)</w:t>
            </w:r>
          </w:p>
        </w:tc>
        <w:tc>
          <w:tcPr>
            <w:tcW w:w="2920" w:type="dxa"/>
            <w:vAlign w:val="bottom"/>
          </w:tcPr>
          <w:p>
            <w:pPr>
              <w:jc w:val="center"/>
              <w:ind w:left="178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5020" w:type="dxa"/>
            <w:vAlign w:val="bottom"/>
          </w:tcPr>
          <w:p>
            <w:pPr>
              <w:jc w:val="center"/>
              <w:ind w:right="1784"/>
              <w:spacing w:after="0"/>
              <w:rPr>
                <w:sz w:val="20"/>
                <w:szCs w:val="20"/>
                <w:color w:val="auto"/>
              </w:rPr>
            </w:pPr>
            <w:r>
              <w:rPr>
                <w:rFonts w:ascii="Arial" w:cs="Arial" w:eastAsia="Arial" w:hAnsi="Arial"/>
                <w:sz w:val="18"/>
                <w:szCs w:val="18"/>
                <w:b w:val="1"/>
                <w:bCs w:val="1"/>
                <w:color w:val="auto"/>
                <w:w w:val="90"/>
              </w:rPr>
              <w:t>8283 Greensboro Drive, McLean, Virginia</w:t>
            </w:r>
          </w:p>
        </w:tc>
        <w:tc>
          <w:tcPr>
            <w:tcW w:w="2920" w:type="dxa"/>
            <w:vAlign w:val="bottom"/>
          </w:tcPr>
          <w:p>
            <w:pPr>
              <w:jc w:val="right"/>
              <w:ind w:right="244"/>
              <w:spacing w:after="0"/>
              <w:rPr>
                <w:sz w:val="20"/>
                <w:szCs w:val="20"/>
                <w:color w:val="auto"/>
              </w:rPr>
            </w:pPr>
            <w:r>
              <w:rPr>
                <w:rFonts w:ascii="Arial" w:cs="Arial" w:eastAsia="Arial" w:hAnsi="Arial"/>
                <w:sz w:val="18"/>
                <w:szCs w:val="18"/>
                <w:b w:val="1"/>
                <w:bCs w:val="1"/>
                <w:color w:val="auto"/>
              </w:rPr>
              <w:t>22102</w:t>
            </w:r>
          </w:p>
        </w:tc>
      </w:tr>
      <w:tr>
        <w:trPr>
          <w:trHeight w:val="174"/>
        </w:trPr>
        <w:tc>
          <w:tcPr>
            <w:tcW w:w="5020" w:type="dxa"/>
            <w:vAlign w:val="bottom"/>
          </w:tcPr>
          <w:p>
            <w:pPr>
              <w:jc w:val="center"/>
              <w:ind w:right="178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20" w:type="dxa"/>
            <w:vAlign w:val="bottom"/>
          </w:tcPr>
          <w:p>
            <w:pPr>
              <w:jc w:val="center"/>
              <w:ind w:left="178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(703) 902-5000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jc w:val="both"/>
        <w:ind w:right="20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9700"/>
        <w:spacing w:after="0" w:line="207" w:lineRule="exact"/>
        <w:tabs>
          <w:tab w:leader="none" w:pos="103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9740"/>
        <w:spacing w:after="0" w:line="207" w:lineRule="exact"/>
        <w:tabs>
          <w:tab w:leader="none" w:pos="10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ind w:right="7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6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Pr>
          <w:p>
            <w:pPr>
              <w:ind w:left="44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6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660" w:type="dxa"/>
            <w:vAlign w:val="bottom"/>
          </w:tcPr>
          <w:p>
            <w:pPr>
              <w:ind w:left="440"/>
              <w:spacing w:after="0"/>
              <w:rPr>
                <w:sz w:val="20"/>
                <w:szCs w:val="20"/>
                <w:color w:val="auto"/>
              </w:rPr>
            </w:pPr>
            <w:r>
              <w:rPr>
                <w:rFonts w:ascii="Arial" w:cs="Arial" w:eastAsia="Arial" w:hAnsi="Arial"/>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58"/>
        </w:trPr>
        <w:tc>
          <w:tcPr>
            <w:tcW w:w="8420" w:type="dxa"/>
            <w:vAlign w:val="bottom"/>
            <w:gridSpan w:val="2"/>
          </w:tcPr>
          <w:p>
            <w:pPr>
              <w:spacing w:after="0"/>
              <w:rPr>
                <w:sz w:val="20"/>
                <w:szCs w:val="20"/>
                <w:color w:val="auto"/>
              </w:rPr>
            </w:pPr>
            <w:r>
              <w:rPr>
                <w:rFonts w:ascii="Arial" w:cs="Arial" w:eastAsia="Arial" w:hAnsi="Arial"/>
                <w:sz w:val="18"/>
                <w:szCs w:val="18"/>
                <w:color w:val="auto"/>
                <w:w w:val="93"/>
              </w:rPr>
              <w:t>Indicate by check mark whether the registrant is a shell company (as defined in Rule 12b-2 of the Exchange Act).</w:t>
            </w:r>
          </w:p>
        </w:tc>
        <w:tc>
          <w:tcPr>
            <w:tcW w:w="2660" w:type="dxa"/>
            <w:vAlign w:val="bottom"/>
            <w:vMerge w:val="restart"/>
          </w:tcPr>
          <w:p>
            <w:pPr>
              <w:ind w:left="13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76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6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180" w:type="dxa"/>
            <w:vAlign w:val="bottom"/>
          </w:tcPr>
          <w:p>
            <w:pPr>
              <w:jc w:val="right"/>
              <w:ind w:right="119"/>
              <w:spacing w:after="0"/>
              <w:rPr>
                <w:sz w:val="20"/>
                <w:szCs w:val="20"/>
                <w:color w:val="auto"/>
              </w:rPr>
            </w:pPr>
            <w:r>
              <w:rPr>
                <w:rFonts w:ascii="Arial" w:cs="Arial" w:eastAsia="Arial" w:hAnsi="Arial"/>
                <w:sz w:val="14"/>
                <w:szCs w:val="14"/>
                <w:color w:val="auto"/>
              </w:rPr>
              <w:t>Shares Outstanding</w:t>
            </w:r>
          </w:p>
        </w:tc>
        <w:tc>
          <w:tcPr>
            <w:tcW w:w="1820" w:type="dxa"/>
            <w:vAlign w:val="bottom"/>
          </w:tcPr>
          <w:p>
            <w:pPr>
              <w:spacing w:after="0"/>
              <w:rPr>
                <w:sz w:val="14"/>
                <w:szCs w:val="14"/>
                <w:color w:val="auto"/>
              </w:rPr>
            </w:pPr>
          </w:p>
        </w:tc>
      </w:tr>
      <w:tr>
        <w:trPr>
          <w:trHeight w:val="159"/>
        </w:trPr>
        <w:tc>
          <w:tcPr>
            <w:tcW w:w="18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3180" w:type="dxa"/>
            <w:vAlign w:val="bottom"/>
          </w:tcPr>
          <w:p>
            <w:pPr>
              <w:jc w:val="right"/>
              <w:ind w:right="19"/>
              <w:spacing w:after="0" w:line="159" w:lineRule="exact"/>
              <w:rPr>
                <w:sz w:val="20"/>
                <w:szCs w:val="20"/>
                <w:color w:val="auto"/>
              </w:rPr>
            </w:pPr>
            <w:r>
              <w:rPr>
                <w:rFonts w:ascii="Arial" w:cs="Arial" w:eastAsia="Arial" w:hAnsi="Arial"/>
                <w:sz w:val="14"/>
                <w:szCs w:val="14"/>
                <w:color w:val="auto"/>
              </w:rPr>
              <w:t>as of October 31, 2011</w:t>
            </w:r>
          </w:p>
        </w:tc>
        <w:tc>
          <w:tcPr>
            <w:tcW w:w="1820" w:type="dxa"/>
            <w:vAlign w:val="bottom"/>
          </w:tcPr>
          <w:p>
            <w:pPr>
              <w:spacing w:after="0"/>
              <w:rPr>
                <w:sz w:val="13"/>
                <w:szCs w:val="13"/>
                <w:color w:val="auto"/>
              </w:rPr>
            </w:pPr>
          </w:p>
        </w:tc>
      </w:tr>
      <w:tr>
        <w:trPr>
          <w:trHeight w:val="216"/>
        </w:trPr>
        <w:tc>
          <w:tcPr>
            <w:tcW w:w="18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3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127,556,598</w:t>
            </w:r>
          </w:p>
        </w:tc>
        <w:tc>
          <w:tcPr>
            <w:tcW w:w="18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Class B Non-Voting Common Stock</w:t>
            </w:r>
          </w:p>
        </w:tc>
        <w:tc>
          <w:tcPr>
            <w:tcW w:w="3180" w:type="dxa"/>
            <w:vAlign w:val="bottom"/>
          </w:tcPr>
          <w:p>
            <w:pPr>
              <w:jc w:val="right"/>
              <w:ind w:right="19"/>
              <w:spacing w:after="0"/>
              <w:rPr>
                <w:sz w:val="20"/>
                <w:szCs w:val="20"/>
                <w:color w:val="auto"/>
              </w:rPr>
            </w:pPr>
            <w:r>
              <w:rPr>
                <w:rFonts w:ascii="Arial" w:cs="Arial" w:eastAsia="Arial" w:hAnsi="Arial"/>
                <w:sz w:val="18"/>
                <w:szCs w:val="18"/>
                <w:color w:val="auto"/>
              </w:rPr>
              <w:t>2,704,310</w:t>
            </w:r>
          </w:p>
        </w:tc>
        <w:tc>
          <w:tcPr>
            <w:tcW w:w="18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Class C Restricted Common Stock</w:t>
            </w:r>
          </w:p>
        </w:tc>
        <w:tc>
          <w:tcPr>
            <w:tcW w:w="3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1,696,670</w:t>
            </w:r>
          </w:p>
        </w:tc>
        <w:tc>
          <w:tcPr>
            <w:tcW w:w="1820" w:type="dxa"/>
            <w:vAlign w:val="bottom"/>
          </w:tcPr>
          <w:p>
            <w:pPr>
              <w:spacing w:after="0"/>
              <w:rPr>
                <w:sz w:val="18"/>
                <w:szCs w:val="18"/>
                <w:color w:val="auto"/>
              </w:rPr>
            </w:pPr>
          </w:p>
        </w:tc>
      </w:tr>
      <w:tr>
        <w:trPr>
          <w:trHeight w:val="222"/>
        </w:trPr>
        <w:tc>
          <w:tcPr>
            <w:tcW w:w="184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Class E Special Voting Common Stock</w:t>
            </w:r>
          </w:p>
        </w:tc>
        <w:tc>
          <w:tcPr>
            <w:tcW w:w="3180" w:type="dxa"/>
            <w:vAlign w:val="bottom"/>
          </w:tcPr>
          <w:p>
            <w:pPr>
              <w:jc w:val="right"/>
              <w:ind w:right="19"/>
              <w:spacing w:after="0"/>
              <w:rPr>
                <w:sz w:val="20"/>
                <w:szCs w:val="20"/>
                <w:color w:val="auto"/>
              </w:rPr>
            </w:pPr>
            <w:r>
              <w:rPr>
                <w:rFonts w:ascii="Arial" w:cs="Arial" w:eastAsia="Arial" w:hAnsi="Arial"/>
                <w:sz w:val="18"/>
                <w:szCs w:val="18"/>
                <w:color w:val="auto"/>
              </w:rPr>
              <w:t>10,140,067</w:t>
            </w:r>
          </w:p>
        </w:tc>
        <w:tc>
          <w:tcPr>
            <w:tcW w:w="1820" w:type="dxa"/>
            <w:vAlign w:val="bottom"/>
          </w:tcPr>
          <w:p>
            <w:pPr>
              <w:spacing w:after="0"/>
              <w:rPr>
                <w:sz w:val="19"/>
                <w:szCs w:val="19"/>
                <w:color w:val="auto"/>
              </w:rPr>
            </w:pPr>
          </w:p>
        </w:tc>
      </w:tr>
      <w:tr>
        <w:trPr>
          <w:trHeight w:val="115"/>
        </w:trPr>
        <w:tc>
          <w:tcPr>
            <w:tcW w:w="1840" w:type="dxa"/>
            <w:vAlign w:val="bottom"/>
            <w:tcBorders>
              <w:bottom w:val="single" w:sz="8" w:color="auto"/>
            </w:tcBorders>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090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r>
      <w:tr>
        <w:trPr>
          <w:trHeight w:val="367"/>
        </w:trPr>
        <w:tc>
          <w:tcPr>
            <w:tcW w:w="3000" w:type="dxa"/>
            <w:vAlign w:val="bottom"/>
            <w:tcBorders>
              <w:bottom w:val="single" w:sz="8" w:color="0000EE"/>
            </w:tcBorders>
            <w:gridSpan w:val="5"/>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90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ITEM 1</w:t>
            </w:r>
          </w:p>
        </w:tc>
        <w:tc>
          <w:tcPr>
            <w:tcW w:w="9320" w:type="dxa"/>
            <w:vAlign w:val="bottom"/>
            <w:gridSpan w:val="1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w:t>
              </w:r>
            </w:hyperlink>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0"/>
        </w:trPr>
        <w:tc>
          <w:tcPr>
            <w:tcW w:w="15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ITEM 2</w:t>
            </w:r>
          </w:p>
        </w:tc>
        <w:tc>
          <w:tcPr>
            <w:tcW w:w="9080" w:type="dxa"/>
            <w:vAlign w:val="bottom"/>
            <w:tcBorders>
              <w:bottom w:val="single" w:sz="8" w:color="0000EE"/>
            </w:tcBorders>
            <w:gridSpan w:val="13"/>
          </w:tcPr>
          <w:p>
            <w:pPr>
              <w:spacing w:after="0"/>
              <w:rPr>
                <w:rFonts w:ascii="Arial" w:cs="Arial" w:eastAsia="Arial" w:hAnsi="Arial"/>
                <w:sz w:val="18"/>
                <w:szCs w:val="18"/>
                <w:b w:val="1"/>
                <w:bCs w:val="1"/>
                <w:color w:val="0000EE"/>
                <w:w w:val="97"/>
              </w:rPr>
            </w:pPr>
            <w:hyperlink w:anchor="page15">
              <w:r>
                <w:rPr>
                  <w:rFonts w:ascii="Arial" w:cs="Arial" w:eastAsia="Arial" w:hAnsi="Arial"/>
                  <w:sz w:val="18"/>
                  <w:szCs w:val="18"/>
                  <w:b w:val="1"/>
                  <w:bCs w:val="1"/>
                  <w:color w:val="0000EE"/>
                  <w:w w:val="97"/>
                </w:rPr>
                <w:t>MANAGEMENT’S DISCUSSION AND ANALYSIS OF FINANCIAL CONDITION AND RESULTS OF OPERATIONS</w:t>
              </w:r>
            </w:hyperlink>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ITEM 3</w:t>
            </w:r>
          </w:p>
        </w:tc>
        <w:tc>
          <w:tcPr>
            <w:tcW w:w="6300" w:type="dxa"/>
            <w:vAlign w:val="bottom"/>
            <w:tcBorders>
              <w:bottom w:val="single" w:sz="8" w:color="0000EE"/>
            </w:tcBorders>
            <w:gridSpan w:val="12"/>
          </w:tcPr>
          <w:p>
            <w:pPr>
              <w:spacing w:after="0"/>
              <w:rPr>
                <w:rFonts w:ascii="Arial" w:cs="Arial" w:eastAsia="Arial" w:hAnsi="Arial"/>
                <w:sz w:val="18"/>
                <w:szCs w:val="18"/>
                <w:b w:val="1"/>
                <w:bCs w:val="1"/>
                <w:color w:val="0000EE"/>
                <w:w w:val="98"/>
              </w:rPr>
            </w:pPr>
            <w:hyperlink w:anchor="page28">
              <w:r>
                <w:rPr>
                  <w:rFonts w:ascii="Arial" w:cs="Arial" w:eastAsia="Arial" w:hAnsi="Arial"/>
                  <w:sz w:val="18"/>
                  <w:szCs w:val="18"/>
                  <w:b w:val="1"/>
                  <w:bCs w:val="1"/>
                  <w:color w:val="0000EE"/>
                  <w:w w:val="98"/>
                </w:rPr>
                <w:t>QUANTITATIVE AND QUALITATIVE DISCLOSURES ABOUT MARKET RISK</w:t>
              </w:r>
            </w:hyperlink>
          </w:p>
        </w:tc>
        <w:tc>
          <w:tcPr>
            <w:tcW w:w="302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ITEM 4</w:t>
            </w:r>
          </w:p>
        </w:tc>
        <w:tc>
          <w:tcPr>
            <w:tcW w:w="2660" w:type="dxa"/>
            <w:vAlign w:val="bottom"/>
            <w:tcBorders>
              <w:bottom w:val="single" w:sz="8" w:color="0000EE"/>
            </w:tcBorders>
            <w:gridSpan w:val="9"/>
          </w:tcPr>
          <w:p>
            <w:pPr>
              <w:spacing w:after="0"/>
              <w:rPr>
                <w:rFonts w:ascii="Arial" w:cs="Arial" w:eastAsia="Arial" w:hAnsi="Arial"/>
                <w:sz w:val="18"/>
                <w:szCs w:val="18"/>
                <w:b w:val="1"/>
                <w:bCs w:val="1"/>
                <w:color w:val="0000EE"/>
                <w:w w:val="95"/>
              </w:rPr>
            </w:pPr>
            <w:hyperlink w:anchor="page28">
              <w:r>
                <w:rPr>
                  <w:rFonts w:ascii="Arial" w:cs="Arial" w:eastAsia="Arial" w:hAnsi="Arial"/>
                  <w:sz w:val="18"/>
                  <w:szCs w:val="18"/>
                  <w:b w:val="1"/>
                  <w:bCs w:val="1"/>
                  <w:color w:val="0000EE"/>
                  <w:w w:val="95"/>
                </w:rPr>
                <w:t>CONTROLS AND PROCEDURES</w:t>
              </w:r>
            </w:hyperlink>
          </w:p>
        </w:tc>
        <w:tc>
          <w:tcPr>
            <w:tcW w:w="666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04"/>
        </w:trPr>
        <w:tc>
          <w:tcPr>
            <w:tcW w:w="10900" w:type="dxa"/>
            <w:vAlign w:val="bottom"/>
            <w:gridSpan w:val="15"/>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0"/>
        </w:trPr>
        <w:tc>
          <w:tcPr>
            <w:tcW w:w="15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ITEM 1</w:t>
            </w:r>
          </w:p>
        </w:tc>
        <w:tc>
          <w:tcPr>
            <w:tcW w:w="9320" w:type="dxa"/>
            <w:vAlign w:val="bottom"/>
            <w:gridSpan w:val="1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ITEM 1A</w:t>
            </w:r>
          </w:p>
        </w:tc>
        <w:tc>
          <w:tcPr>
            <w:tcW w:w="130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4"/>
              </w:rPr>
            </w:pPr>
            <w:hyperlink w:anchor="page29">
              <w:r>
                <w:rPr>
                  <w:rFonts w:ascii="Arial" w:cs="Arial" w:eastAsia="Arial" w:hAnsi="Arial"/>
                  <w:sz w:val="18"/>
                  <w:szCs w:val="18"/>
                  <w:b w:val="1"/>
                  <w:bCs w:val="1"/>
                  <w:color w:val="0000EE"/>
                  <w:w w:val="94"/>
                </w:rPr>
                <w:t>RISK FACTORS</w:t>
              </w:r>
            </w:hyperlink>
          </w:p>
        </w:tc>
        <w:tc>
          <w:tcPr>
            <w:tcW w:w="640" w:type="dxa"/>
            <w:vAlign w:val="bottom"/>
            <w:tcBorders>
              <w:top w:val="single" w:sz="8" w:color="0000EE"/>
            </w:tcBorders>
            <w:gridSpan w:val="2"/>
          </w:tcPr>
          <w:p>
            <w:pPr>
              <w:spacing w:after="0"/>
              <w:rPr>
                <w:sz w:val="24"/>
                <w:szCs w:val="24"/>
                <w:color w:val="auto"/>
              </w:rPr>
            </w:pPr>
          </w:p>
        </w:tc>
        <w:tc>
          <w:tcPr>
            <w:tcW w:w="738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ITEM 2</w:t>
            </w:r>
          </w:p>
        </w:tc>
        <w:tc>
          <w:tcPr>
            <w:tcW w:w="9320" w:type="dxa"/>
            <w:vAlign w:val="bottom"/>
            <w:gridSpan w:val="1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UNREGISTERED SALES OF EQUITY SECURITIES AND USE OF PROCEEDS</w:t>
              </w:r>
            </w:hyperlink>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ITEM 3</w:t>
            </w:r>
          </w:p>
        </w:tc>
        <w:tc>
          <w:tcPr>
            <w:tcW w:w="622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DEFAULTS UPON SENIOR SECURITIES</w:t>
              </w:r>
            </w:hyperlink>
          </w:p>
        </w:tc>
        <w:tc>
          <w:tcPr>
            <w:tcW w:w="310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ITEM 4</w:t>
            </w:r>
          </w:p>
        </w:tc>
        <w:tc>
          <w:tcPr>
            <w:tcW w:w="326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(REMOVED AND RESERVED)</w:t>
              </w:r>
            </w:hyperlink>
          </w:p>
        </w:tc>
        <w:tc>
          <w:tcPr>
            <w:tcW w:w="606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ITEM 5</w:t>
            </w:r>
          </w:p>
        </w:tc>
        <w:tc>
          <w:tcPr>
            <w:tcW w:w="244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688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ITEM 6</w:t>
            </w:r>
          </w:p>
        </w:tc>
        <w:tc>
          <w:tcPr>
            <w:tcW w:w="196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EXHIBITS</w:t>
              </w:r>
            </w:hyperlink>
          </w:p>
        </w:tc>
        <w:tc>
          <w:tcPr>
            <w:tcW w:w="736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83"/>
        </w:trPr>
        <w:tc>
          <w:tcPr>
            <w:tcW w:w="158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5380" w:type="dxa"/>
            <w:vAlign w:val="bottom"/>
            <w:gridSpan w:val="10"/>
          </w:tcPr>
          <w:p>
            <w:pPr>
              <w:jc w:val="right"/>
              <w:ind w:right="20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8640" w:type="dxa"/>
            <w:vAlign w:val="bottom"/>
          </w:tcPr>
          <w:p>
            <w:pPr>
              <w:jc w:val="center"/>
              <w:ind w:left="149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b w:val="1"/>
                <w:bCs w:val="1"/>
                <w:i w:val="1"/>
                <w:iCs w:val="1"/>
                <w:color w:val="auto"/>
              </w:rPr>
              <w:t>.</w:t>
            </w:r>
          </w:p>
        </w:tc>
        <w:tc>
          <w:tcPr>
            <w:tcW w:w="864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0" w:type="dxa"/>
            <w:vAlign w:val="bottom"/>
          </w:tcPr>
          <w:p>
            <w:pPr>
              <w:spacing w:after="0"/>
              <w:rPr>
                <w:sz w:val="24"/>
                <w:szCs w:val="24"/>
                <w:color w:val="auto"/>
              </w:rPr>
            </w:pPr>
          </w:p>
        </w:tc>
        <w:tc>
          <w:tcPr>
            <w:tcW w:w="8640" w:type="dxa"/>
            <w:vAlign w:val="bottom"/>
          </w:tcPr>
          <w:p>
            <w:pPr>
              <w:jc w:val="center"/>
              <w:ind w:left="1512"/>
              <w:spacing w:after="0"/>
              <w:rPr>
                <w:sz w:val="20"/>
                <w:szCs w:val="20"/>
                <w:color w:val="auto"/>
              </w:rPr>
            </w:pPr>
            <w:r>
              <w:rPr>
                <w:rFonts w:ascii="Arial" w:cs="Arial" w:eastAsia="Arial" w:hAnsi="Arial"/>
                <w:sz w:val="18"/>
                <w:szCs w:val="18"/>
                <w:b w:val="1"/>
                <w:bCs w:val="1"/>
                <w:color w:val="auto"/>
                <w:w w:val="99"/>
              </w:rPr>
              <w:t>BOOZ ALLEN HAMILTON HOLDING CORPORATION</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0" w:type="dxa"/>
            <w:vAlign w:val="bottom"/>
          </w:tcPr>
          <w:p>
            <w:pPr>
              <w:spacing w:after="0"/>
              <w:rPr>
                <w:sz w:val="24"/>
                <w:szCs w:val="24"/>
                <w:color w:val="auto"/>
              </w:rPr>
            </w:pPr>
          </w:p>
        </w:tc>
        <w:tc>
          <w:tcPr>
            <w:tcW w:w="8640" w:type="dxa"/>
            <w:vAlign w:val="bottom"/>
          </w:tcPr>
          <w:p>
            <w:pPr>
              <w:jc w:val="center"/>
              <w:ind w:left="149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0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(Unaudited)</w:t>
            </w:r>
          </w:p>
        </w:tc>
        <w:tc>
          <w:tcPr>
            <w:tcW w:w="24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7"/>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(Amounts in thousands, except</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6"/>
              </w:rPr>
              <w:t>share and per share data)</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640" w:type="dxa"/>
            <w:vAlign w:val="bottom"/>
            <w:shd w:val="clear" w:color="auto" w:fill="CCEEFF"/>
          </w:tcPr>
          <w:p>
            <w:pPr>
              <w:ind w:left="35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356,220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192,631</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 of allowance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1,031,545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1,111,004</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0" w:type="dxa"/>
            <w:vAlign w:val="bottom"/>
          </w:tcPr>
          <w:p>
            <w:pPr>
              <w:spacing w:after="0"/>
              <w:rPr>
                <w:sz w:val="19"/>
                <w:szCs w:val="19"/>
                <w:color w:val="auto"/>
              </w:rPr>
            </w:pPr>
          </w:p>
        </w:tc>
        <w:tc>
          <w:tcPr>
            <w:tcW w:w="864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1,471,410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1,365,649</w:t>
            </w:r>
          </w:p>
        </w:tc>
        <w:tc>
          <w:tcPr>
            <w:tcW w:w="0" w:type="dxa"/>
            <w:vAlign w:val="bottom"/>
          </w:tcPr>
          <w:p>
            <w:pPr>
              <w:spacing w:after="0"/>
              <w:rPr>
                <w:sz w:val="1"/>
                <w:szCs w:val="1"/>
                <w:color w:val="auto"/>
              </w:rPr>
            </w:pPr>
          </w:p>
        </w:tc>
      </w:tr>
      <w:tr>
        <w:trPr>
          <w:trHeight w:val="210"/>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Property and equipment (less accumulated depreciation of $165.0 million and $138.1 million at September 30, 2011 and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31, 2011, respectively)</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188,789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173,430</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232,016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240,238</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1,177,031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1,163,549</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3,136,169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3,024,023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640" w:type="dxa"/>
            <w:vAlign w:val="bottom"/>
            <w:vMerge w:val="restart"/>
          </w:tcPr>
          <w:p>
            <w:pPr>
              <w:ind w:left="19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0" w:type="dxa"/>
            <w:vAlign w:val="bottom"/>
          </w:tcPr>
          <w:p>
            <w:pPr>
              <w:spacing w:after="0"/>
              <w:rPr>
                <w:sz w:val="18"/>
                <w:szCs w:val="18"/>
                <w:color w:val="auto"/>
              </w:rPr>
            </w:pPr>
          </w:p>
        </w:tc>
        <w:tc>
          <w:tcPr>
            <w:tcW w:w="8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36,250</w:t>
            </w:r>
          </w:p>
        </w:tc>
        <w:tc>
          <w:tcPr>
            <w:tcW w:w="2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 and other accrued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425,972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406,310</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343,961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396,996</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0" w:type="dxa"/>
            <w:vAlign w:val="bottom"/>
          </w:tcPr>
          <w:p>
            <w:pPr>
              <w:spacing w:after="0"/>
              <w:rPr>
                <w:sz w:val="19"/>
                <w:szCs w:val="19"/>
                <w:color w:val="auto"/>
              </w:rPr>
            </w:pPr>
          </w:p>
        </w:tc>
        <w:tc>
          <w:tcPr>
            <w:tcW w:w="86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831,610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866,135</w:t>
            </w:r>
          </w:p>
        </w:tc>
        <w:tc>
          <w:tcPr>
            <w:tcW w:w="0" w:type="dxa"/>
            <w:vAlign w:val="bottom"/>
          </w:tcPr>
          <w:p>
            <w:pPr>
              <w:spacing w:after="0"/>
              <w:rPr>
                <w:sz w:val="1"/>
                <w:szCs w:val="1"/>
                <w:color w:val="auto"/>
              </w:rPr>
            </w:pPr>
          </w:p>
        </w:tc>
      </w:tr>
      <w:tr>
        <w:trPr>
          <w:trHeight w:val="218"/>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943,628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964,328</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Income tax reserve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66,255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90,474</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223,898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0" w:type="dxa"/>
            <w:vAlign w:val="bottom"/>
          </w:tcPr>
          <w:p>
            <w:pPr>
              <w:spacing w:after="0"/>
              <w:rPr>
                <w:sz w:val="19"/>
                <w:szCs w:val="19"/>
                <w:color w:val="auto"/>
              </w:rPr>
            </w:pPr>
          </w:p>
        </w:tc>
        <w:tc>
          <w:tcPr>
            <w:tcW w:w="864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2,065,391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2,116,773</w:t>
            </w:r>
          </w:p>
        </w:tc>
        <w:tc>
          <w:tcPr>
            <w:tcW w:w="0" w:type="dxa"/>
            <w:vAlign w:val="bottom"/>
          </w:tcPr>
          <w:p>
            <w:pPr>
              <w:spacing w:after="0"/>
              <w:rPr>
                <w:sz w:val="1"/>
                <w:szCs w:val="1"/>
                <w:color w:val="auto"/>
              </w:rPr>
            </w:pPr>
          </w:p>
        </w:tc>
      </w:tr>
      <w:tr>
        <w:trPr>
          <w:trHeight w:val="218"/>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Class A — $0.01 par value — authorized, 600,000,000 shares; issued, 127,807,003 shares at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September 30, 2011 and 122,784,835 shares at March 31, 2011; outstanding, 127,473,228 shares at September 30,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shd w:val="clear" w:color="auto" w:fill="CCEEFF"/>
          </w:tcPr>
          <w:p>
            <w:pPr>
              <w:spacing w:after="0"/>
              <w:rPr>
                <w:sz w:val="19"/>
                <w:szCs w:val="19"/>
                <w:color w:val="auto"/>
              </w:rPr>
            </w:pPr>
          </w:p>
        </w:tc>
        <w:tc>
          <w:tcPr>
            <w:tcW w:w="8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2011 and 122,784,835 shares at March 31, 2011</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8"/>
        </w:trPr>
        <w:tc>
          <w:tcPr>
            <w:tcW w:w="9240" w:type="dxa"/>
            <w:vAlign w:val="bottom"/>
            <w:gridSpan w:val="2"/>
          </w:tcPr>
          <w:p>
            <w:pPr>
              <w:ind w:left="440"/>
              <w:spacing w:after="0"/>
              <w:rPr>
                <w:sz w:val="20"/>
                <w:szCs w:val="20"/>
                <w:color w:val="auto"/>
              </w:rPr>
            </w:pPr>
            <w:r>
              <w:rPr>
                <w:rFonts w:ascii="Arial" w:cs="Arial" w:eastAsia="Arial" w:hAnsi="Arial"/>
                <w:sz w:val="18"/>
                <w:szCs w:val="18"/>
                <w:color w:val="auto"/>
                <w:w w:val="97"/>
              </w:rPr>
              <w:t>Non-voting common stock, Class B — $0.01 par value — authorized, 16,000,000 shares; issued and outstanding,</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8640" w:type="dxa"/>
            <w:vAlign w:val="bottom"/>
          </w:tcPr>
          <w:p>
            <w:pPr>
              <w:ind w:left="60"/>
              <w:spacing w:after="0"/>
              <w:rPr>
                <w:sz w:val="20"/>
                <w:szCs w:val="20"/>
                <w:color w:val="auto"/>
              </w:rPr>
            </w:pPr>
            <w:r>
              <w:rPr>
                <w:rFonts w:ascii="Arial" w:cs="Arial" w:eastAsia="Arial" w:hAnsi="Arial"/>
                <w:sz w:val="18"/>
                <w:szCs w:val="18"/>
                <w:color w:val="auto"/>
              </w:rPr>
              <w:t>2,801,180 shares at September 30, 2011 and 3,053,130 shares at March 31, 2011</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Restricted common stock, Class C — $0.01 par value — authorized, 5,000,000 shares; issued and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shd w:val="clear" w:color="auto" w:fill="CCEEFF"/>
          </w:tcPr>
          <w:p>
            <w:pPr>
              <w:spacing w:after="0"/>
              <w:rPr>
                <w:sz w:val="19"/>
                <w:szCs w:val="19"/>
                <w:color w:val="auto"/>
              </w:rPr>
            </w:pPr>
          </w:p>
        </w:tc>
        <w:tc>
          <w:tcPr>
            <w:tcW w:w="8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1,706,670 shares at September 30, 2011 and 2,028,270 shares at March 31, 2011</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8"/>
        </w:trPr>
        <w:tc>
          <w:tcPr>
            <w:tcW w:w="9240" w:type="dxa"/>
            <w:vAlign w:val="bottom"/>
            <w:gridSpan w:val="2"/>
          </w:tcPr>
          <w:p>
            <w:pPr>
              <w:ind w:left="440"/>
              <w:spacing w:after="0"/>
              <w:rPr>
                <w:sz w:val="20"/>
                <w:szCs w:val="20"/>
                <w:color w:val="auto"/>
              </w:rPr>
            </w:pPr>
            <w:r>
              <w:rPr>
                <w:rFonts w:ascii="Arial" w:cs="Arial" w:eastAsia="Arial" w:hAnsi="Arial"/>
                <w:sz w:val="18"/>
                <w:szCs w:val="18"/>
                <w:color w:val="auto"/>
                <w:w w:val="93"/>
              </w:rPr>
              <w:t>Special voting common stock, Class E — $0.003 par value — authorized, 25,000,000 shares; issued and outstanding,</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8640" w:type="dxa"/>
            <w:vAlign w:val="bottom"/>
          </w:tcPr>
          <w:p>
            <w:pPr>
              <w:ind w:left="60"/>
              <w:spacing w:after="0"/>
              <w:rPr>
                <w:sz w:val="20"/>
                <w:szCs w:val="20"/>
                <w:color w:val="auto"/>
              </w:rPr>
            </w:pPr>
            <w:r>
              <w:rPr>
                <w:rFonts w:ascii="Arial" w:cs="Arial" w:eastAsia="Arial" w:hAnsi="Arial"/>
                <w:sz w:val="18"/>
                <w:szCs w:val="18"/>
                <w:color w:val="auto"/>
              </w:rPr>
              <w:t>10,140,067 shares at September 30, 2011 and 12,348,860 shares at March 31, 2011</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7"/>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stock, at cost — 333,775 shares at September 30, 2011 and 0 shares at March 31, 2011</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882,242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840,058</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197,798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71,330</w:t>
            </w:r>
          </w:p>
        </w:tc>
        <w:tc>
          <w:tcPr>
            <w:tcW w:w="0" w:type="dxa"/>
            <w:vAlign w:val="bottom"/>
          </w:tcPr>
          <w:p>
            <w:pPr>
              <w:spacing w:after="0"/>
              <w:rPr>
                <w:sz w:val="1"/>
                <w:szCs w:val="1"/>
                <w:color w:val="auto"/>
              </w:rPr>
            </w:pPr>
          </w:p>
        </w:tc>
      </w:tr>
      <w:tr>
        <w:trPr>
          <w:trHeight w:val="223"/>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(5,238)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1,070,778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3,136,169</w:t>
            </w:r>
          </w:p>
        </w:tc>
        <w:tc>
          <w:tcPr>
            <w:tcW w:w="22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3,024,023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4"/>
                <w:szCs w:val="14"/>
                <w:color w:val="auto"/>
              </w:rPr>
            </w:pPr>
          </w:p>
        </w:tc>
        <w:tc>
          <w:tcPr>
            <w:tcW w:w="22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7"/>
              </w:rPr>
              <w:t>September 30,</w:t>
            </w:r>
          </w:p>
        </w:tc>
        <w:tc>
          <w:tcPr>
            <w:tcW w:w="80" w:type="dxa"/>
            <w:vAlign w:val="bottom"/>
          </w:tcPr>
          <w:p>
            <w:pPr>
              <w:spacing w:after="0"/>
              <w:rPr>
                <w:sz w:val="14"/>
                <w:szCs w:val="14"/>
                <w:color w:val="auto"/>
              </w:rPr>
            </w:pPr>
          </w:p>
        </w:tc>
        <w:tc>
          <w:tcPr>
            <w:tcW w:w="22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5"/>
              </w:rPr>
              <w:t>(Amounts in thousands, except per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5"/>
          </w:tcPr>
          <w:p>
            <w:pPr>
              <w:jc w:val="center"/>
              <w:ind w:right="14"/>
              <w:spacing w:after="0" w:line="129" w:lineRule="exact"/>
              <w:rPr>
                <w:sz w:val="20"/>
                <w:szCs w:val="20"/>
                <w:color w:val="auto"/>
              </w:rPr>
            </w:pPr>
            <w:r>
              <w:rPr>
                <w:rFonts w:ascii="Arial" w:cs="Arial" w:eastAsia="Arial" w:hAnsi="Arial"/>
                <w:sz w:val="14"/>
                <w:szCs w:val="14"/>
                <w:b w:val="1"/>
                <w:bCs w:val="1"/>
                <w:color w:val="auto"/>
                <w:w w:val="85"/>
              </w:rPr>
              <w:t>(Amounts in thousands, except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left="558"/>
              <w:spacing w:after="0"/>
              <w:rPr>
                <w:sz w:val="20"/>
                <w:szCs w:val="20"/>
                <w:color w:val="auto"/>
              </w:rPr>
            </w:pPr>
            <w:r>
              <w:rPr>
                <w:rFonts w:ascii="Arial" w:cs="Arial" w:eastAsia="Arial" w:hAnsi="Arial"/>
                <w:sz w:val="14"/>
                <w:szCs w:val="14"/>
                <w:b w:val="1"/>
                <w:bCs w:val="1"/>
                <w:color w:val="auto"/>
                <w:w w:val="85"/>
              </w:rPr>
              <w:t>share data)</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left="558"/>
              <w:spacing w:after="0"/>
              <w:rPr>
                <w:sz w:val="20"/>
                <w:szCs w:val="20"/>
                <w:color w:val="auto"/>
              </w:rPr>
            </w:pPr>
            <w:r>
              <w:rPr>
                <w:rFonts w:ascii="Arial" w:cs="Arial" w:eastAsia="Arial" w:hAnsi="Arial"/>
                <w:sz w:val="14"/>
                <w:szCs w:val="14"/>
                <w:b w:val="1"/>
                <w:bCs w:val="1"/>
                <w:color w:val="auto"/>
                <w:w w:val="85"/>
              </w:rPr>
              <w:t>share data)</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1,429,044</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1,367,214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2,875,880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2,709,143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698,563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1,442,473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1,375,658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Billable expenses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380,911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359,243</w:t>
            </w: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773,101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217,911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432,125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19,588</w:t>
            </w: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36,394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38,972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1,335,379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1,295,305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2,684,093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2,548,489</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93,665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71,909</w:t>
            </w:r>
          </w:p>
        </w:tc>
        <w:tc>
          <w:tcPr>
            <w:tcW w:w="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191,787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160,654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(38,830)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(24,488)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(6,803)</w:t>
            </w: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3,609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26,276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170,908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11,459</w:t>
            </w: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44,440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31,375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75,332</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126,468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42,986</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(Note 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0.53</w:t>
            </w:r>
          </w:p>
        </w:tc>
        <w:tc>
          <w:tcPr>
            <w:tcW w:w="1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line="45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Pr>
          <w:p>
            <w:pPr>
              <w:spacing w:after="0"/>
              <w:rPr>
                <w:sz w:val="13"/>
                <w:szCs w:val="13"/>
                <w:color w:val="auto"/>
              </w:rPr>
            </w:pPr>
          </w:p>
        </w:tc>
        <w:tc>
          <w:tcPr>
            <w:tcW w:w="16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7900" w:type="dxa"/>
            <w:vAlign w:val="bottom"/>
          </w:tcPr>
          <w:p>
            <w:pPr>
              <w:spacing w:after="0"/>
              <w:rPr>
                <w:sz w:val="14"/>
                <w:szCs w:val="14"/>
                <w:color w:val="auto"/>
              </w:rPr>
            </w:pPr>
          </w:p>
        </w:tc>
        <w:tc>
          <w:tcPr>
            <w:tcW w:w="17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9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94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7900" w:type="dxa"/>
            <w:vAlign w:val="bottom"/>
          </w:tcPr>
          <w:p>
            <w:pPr>
              <w:spacing w:after="0"/>
              <w:rPr>
                <w:sz w:val="12"/>
                <w:szCs w:val="12"/>
                <w:color w:val="auto"/>
              </w:rPr>
            </w:pPr>
          </w:p>
        </w:tc>
        <w:tc>
          <w:tcPr>
            <w:tcW w:w="15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(Amounts 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(Amounts in thousands)</w:t>
            </w:r>
          </w:p>
        </w:tc>
        <w:tc>
          <w:tcPr>
            <w:tcW w:w="100" w:type="dxa"/>
            <w:vAlign w:val="bottom"/>
          </w:tcPr>
          <w:p>
            <w:pPr>
              <w:spacing w:after="0"/>
              <w:rPr>
                <w:sz w:val="12"/>
                <w:szCs w:val="12"/>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$ 75,332</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$ 14,817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$126,468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$42,986</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Actuarial gain related to employee benefits, net of taxes</w:t>
            </w: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r>
      <w:tr>
        <w:trPr>
          <w:trHeight w:val="27"/>
        </w:trPr>
        <w:tc>
          <w:tcPr>
            <w:tcW w:w="79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$ 75,440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$ 14,899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126,683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43,150</w:t>
            </w:r>
          </w:p>
        </w:tc>
        <w:tc>
          <w:tcPr>
            <w:tcW w:w="100" w:type="dxa"/>
            <w:vAlign w:val="bottom"/>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center"/>
              <w:ind w:right="33"/>
              <w:spacing w:after="0" w:line="142" w:lineRule="exact"/>
              <w:rPr>
                <w:sz w:val="20"/>
                <w:szCs w:val="20"/>
                <w:color w:val="auto"/>
              </w:rPr>
            </w:pPr>
            <w:r>
              <w:rPr>
                <w:rFonts w:ascii="Arial" w:cs="Arial" w:eastAsia="Arial" w:hAnsi="Arial"/>
                <w:sz w:val="14"/>
                <w:szCs w:val="14"/>
                <w:b w:val="1"/>
                <w:bCs w:val="1"/>
                <w:color w:val="auto"/>
                <w:w w:val="85"/>
              </w:rPr>
              <w:t>(Amounts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126,468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Gain on sale of state and local transportation business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Transaction costs on sale of state and local transportation business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36,394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Amortization of debt issuance costs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Amortization of original issuance discount on debt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Excess tax benefits from the exercise of stock options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(15,960)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Stock-based compensation expense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18,448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Loss on disposition of property and equipment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 net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71,045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(6,674)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long-term assets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Accrued compensation and benefits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(49,198)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other accrued expenses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Accrued interest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 reserve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(24,219)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Other current liabilities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(6,412)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long-term liabilities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6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177,117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170,885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(43,640)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(38,957)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Escrow payments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Proceeds from sale of state and local transportation business</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(20,308)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(37,573)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common stock</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Repayment of debt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(95,925)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the exercise of stock options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Stock option exercises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6,502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Repurchases of common stock</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86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(74,621)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163,589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192,631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307,835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356,220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366,526</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8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17,085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net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50,072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6" w:name="page7"/>
    <w:bookmarkEnd w:id="6"/>
    <w:p>
      <w:pPr>
        <w:ind w:left="3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BOOZ ALLEN HAMILTON HOLDING CORPORATION</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 or unless otherwise noted)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159" w:lineRule="exact"/>
        <w:rPr>
          <w:sz w:val="20"/>
          <w:szCs w:val="20"/>
          <w:color w:val="auto"/>
        </w:rPr>
      </w:pPr>
    </w:p>
    <w:p>
      <w:pPr>
        <w:ind w:left="240" w:right="9320" w:hanging="232"/>
        <w:spacing w:after="0" w:line="391" w:lineRule="auto"/>
        <w:tabs>
          <w:tab w:leader="none" w:pos="18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BUSINESS OVERVIEW </w:t>
      </w:r>
      <w:r>
        <w:rPr>
          <w:rFonts w:ascii="Arial" w:cs="Arial" w:eastAsia="Arial" w:hAnsi="Arial"/>
          <w:sz w:val="16"/>
          <w:szCs w:val="16"/>
          <w:b w:val="1"/>
          <w:bCs w:val="1"/>
          <w:i w:val="1"/>
          <w:iCs w:val="1"/>
          <w:color w:val="auto"/>
        </w:rPr>
        <w:t>Organization</w:t>
      </w:r>
    </w:p>
    <w:p>
      <w:pPr>
        <w:spacing w:after="0" w:line="1"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Booz Allen Hamilton Holding Corporation, including its wholly owned subsidiaries, or the Company, provides management and technology consulting services primarily to the U.S. government and its agencies in the defense, intelligence, and civil markets. The Company offers clients functional knowledge spanning strategy and organization, analytics, technology, engineering, and operations, which it combines with specialized expertise in clients’ mission and domain areas to help solve critical problems. The Company, an affiliate of The Carlyle Group, or Carlyle, was incorporated in Delaware in May 2008 and is headquartered in McLean, Virginia, with approximately 26,000 employees as of September 30,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prepared the condensed consolidated financial statements in this Quarterly Report on Form 10-Q, or Quarterly Report, in accordance with accounting principles generally accepted in the United States, or GAAP, for interim financial information and with the instructions to Form 10-Q and Article 10 of Regulation S-X. As a result, certain information and footnote disclosures normally included in financial statements prepared in accordance with GAAP have been condensed or omitted. The Company followed the accounting policies used and disclosed in the consolidated financial statements included in the Annual Report on Form 10-K for the fiscal year ended March 31, 2011 filed with the Securities and Exchange Commission on June 8, 2011, or Annual Report. The Company’s fiscal year ends on March 31 and unless otherwise noted, references to fiscal year or fiscal are for fiscal years ended March 31.</w:t>
      </w:r>
    </w:p>
    <w:p>
      <w:pPr>
        <w:spacing w:after="0" w:line="12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six months ended September 30, 2011 are not necessarily indicative of results to be expected for the full fiscal year.</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experienced by the Company may differ materially from management’s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2011, the Financial Accounting Standards Board, or FASB, issued Accounting Standards Update 2011-08, Testing Goodwill for Impairment, which amends Topic 350, Intangibles – Goodwill and Other. This guidance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guidance is effective for interim and annual goodwill impairment tests performed for fiscal years beginning after December 15, 2011 and early adoption is permitted. The Company will early adopt as of our measurement date, January 1, 2012. The implementation of this guidance will not have a material impact on the Company’s condensed consolidated financial statements.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Other recent accounting pronouncements issued by the FASB during the three months ended September 30, 2011 and through the filing date did not or are not believed by management to have a material impact on the Company’s condensed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is computed similar to basic EPS, except the weighted average number of shares outstanding is increased to include the dilutive effect of outstanding common stock options and other stock-based awards.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currently has outstanding shares of Class A Common Stock, Class B Non-Voting Common Stock, Class C Restricted Common Stock, and Class E Special Voting Common Stock. Class E Special Voting Common Stock shares are not included in the calculation of EPS as these shares represent voting rights only and are not entitled to participate in dividends or other distributions.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Basic and diluted EPS for the periods presented are computed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gridSpan w:val="5"/>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gridSpan w:val="5"/>
          </w:tcPr>
          <w:p>
            <w:pPr>
              <w:jc w:val="right"/>
              <w:ind w:right="794"/>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for basic and diluted computations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Weighted-average Class A Common Stock outstanding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125,883,669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104,329,887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124,432,403</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103,543,008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Class B Non-Voting 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2,833,324</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3,053,130</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2,929,808</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2,861,073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60" w:type="dxa"/>
            <w:vAlign w:val="bottom"/>
          </w:tcPr>
          <w:p>
            <w:pPr>
              <w:spacing w:after="0"/>
              <w:rPr>
                <w:sz w:val="20"/>
                <w:szCs w:val="20"/>
                <w:color w:val="auto"/>
              </w:rPr>
            </w:pPr>
            <w:r>
              <w:rPr>
                <w:rFonts w:ascii="Arial" w:cs="Arial" w:eastAsia="Arial" w:hAnsi="Arial"/>
                <w:sz w:val="18"/>
                <w:szCs w:val="18"/>
                <w:color w:val="auto"/>
              </w:rPr>
              <w:t>Weighted-average Class C Restricted Common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6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1,739,986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2,028,270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1,863,790</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2,028,270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weighted-average common shares outstanding</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 basic computations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130,456,979</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109,411,287</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129,226,001</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108,432,351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440"/>
              <w:spacing w:after="0"/>
              <w:rPr>
                <w:sz w:val="20"/>
                <w:szCs w:val="20"/>
                <w:color w:val="auto"/>
              </w:rPr>
            </w:pPr>
            <w:r>
              <w:rPr>
                <w:rFonts w:ascii="Arial" w:cs="Arial" w:eastAsia="Arial" w:hAnsi="Arial"/>
                <w:sz w:val="18"/>
                <w:szCs w:val="18"/>
                <w:color w:val="auto"/>
              </w:rPr>
              <w:t>Dilutive stock options and restricted stock</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10,802,985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13,098,121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11,374,985</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13,305,491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number of common shares outstanding for</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 computations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141,259,964</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122,509,408</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140,600,986</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121,737,842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vMerge w:val="continue"/>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EPS calculation for the three and six months ended September 30, 2011 and 2010, 2,220,000 options and 1,750,000 options, respectively, were not included in the EPS calculation as their impact was anti-dilutive. For the three and six months ended September 30, 2011, 514,896 shares of Class A Common Stock with certain restrictions, or Class A Restricted Stock, were not included in the EPS calculation as they have not vested. Such options and Class A Restricted Stock may have a dilutive effect in future periods.</w:t>
      </w:r>
    </w:p>
    <w:p>
      <w:pPr>
        <w:spacing w:after="0" w:line="218" w:lineRule="exact"/>
        <w:rPr>
          <w:sz w:val="20"/>
          <w:szCs w:val="20"/>
          <w:color w:val="auto"/>
        </w:rPr>
      </w:pPr>
    </w:p>
    <w:p>
      <w:pPr>
        <w:ind w:left="240" w:right="7940" w:hanging="232"/>
        <w:spacing w:after="0" w:line="347"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As of September 30, 2011 and March 31, 2011, goodwill was $1,177.0 million and $1,163.5 million, respectively. The increase in the carrying amount of goodwill is primarily attributable to the increase in the deferred payment obligation as a result of the release of approximately $24.0 million of reserves for uncertain tax positions, partially offset by a $10.7 million reduction to goodwill related to the sale of the Company’s state and local transportation business.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September 30, 2011</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2"/>
              </w:rPr>
              <w:t>As of March 31,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5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8"/>
              </w:rPr>
              <w:t>Net</w:t>
            </w:r>
          </w:p>
        </w:tc>
        <w:tc>
          <w:tcPr>
            <w:tcW w:w="3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3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5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58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Value</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2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580" w:type="dxa"/>
            <w:vAlign w:val="bottom"/>
            <w:tcBorders>
              <w:top w:val="single" w:sz="8" w:color="CCEEFF"/>
            </w:tcBorders>
            <w:shd w:val="clear" w:color="auto" w:fill="CCEEFF"/>
          </w:tcPr>
          <w:p>
            <w:pPr>
              <w:jc w:val="center"/>
              <w:ind w:right="3412"/>
              <w:spacing w:after="0" w:line="196" w:lineRule="exact"/>
              <w:rPr>
                <w:sz w:val="20"/>
                <w:szCs w:val="20"/>
                <w:color w:val="auto"/>
              </w:rPr>
            </w:pPr>
            <w:r>
              <w:rPr>
                <w:rFonts w:ascii="Arial" w:cs="Arial" w:eastAsia="Arial" w:hAnsi="Arial"/>
                <w:sz w:val="18"/>
                <w:szCs w:val="18"/>
                <w:color w:val="auto"/>
                <w:w w:val="88"/>
              </w:rPr>
              <w:t>Amortizable intangible assets</w:t>
            </w: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tcPr>
          <w:p>
            <w:pPr>
              <w:jc w:val="center"/>
              <w:ind w:right="3412"/>
              <w:spacing w:after="0"/>
              <w:rPr>
                <w:sz w:val="20"/>
                <w:szCs w:val="20"/>
                <w:color w:val="auto"/>
              </w:rPr>
            </w:pPr>
            <w:r>
              <w:rPr>
                <w:rFonts w:ascii="Arial" w:cs="Arial" w:eastAsia="Arial" w:hAnsi="Arial"/>
                <w:sz w:val="18"/>
                <w:szCs w:val="18"/>
                <w:color w:val="auto"/>
                <w:w w:val="88"/>
              </w:rPr>
              <w:t>Contract backlog</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$160,615</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119,225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41,390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$160,800</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111,330</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49,470</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Favorable leases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r>
      <w:tr>
        <w:trPr>
          <w:trHeight w:val="221"/>
        </w:trPr>
        <w:tc>
          <w:tcPr>
            <w:tcW w:w="5580" w:type="dxa"/>
            <w:vAlign w:val="bottom"/>
          </w:tcPr>
          <w:p>
            <w:pPr>
              <w:jc w:val="center"/>
              <w:ind w:right="3372"/>
              <w:spacing w:after="0"/>
              <w:rPr>
                <w:sz w:val="20"/>
                <w:szCs w:val="20"/>
                <w:color w:val="auto"/>
              </w:rPr>
            </w:pPr>
            <w:r>
              <w:rPr>
                <w:rFonts w:ascii="Arial" w:cs="Arial" w:eastAsia="Arial" w:hAnsi="Arial"/>
                <w:sz w:val="18"/>
                <w:szCs w:val="18"/>
                <w:color w:val="auto"/>
                <w:w w:val="89"/>
              </w:rPr>
              <w:t>Total</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163,415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121,599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41,816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163,600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113,562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50,038</w:t>
            </w:r>
          </w:p>
        </w:tc>
        <w:tc>
          <w:tcPr>
            <w:tcW w:w="100" w:type="dxa"/>
            <w:vAlign w:val="bottom"/>
          </w:tcPr>
          <w:p>
            <w:pPr>
              <w:spacing w:after="0"/>
              <w:rPr>
                <w:sz w:val="19"/>
                <w:szCs w:val="19"/>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Unamortizable intangible assets</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580" w:type="dxa"/>
            <w:vAlign w:val="bottom"/>
          </w:tcPr>
          <w:p>
            <w:pPr>
              <w:ind w:left="440"/>
              <w:spacing w:after="0"/>
              <w:rPr>
                <w:sz w:val="20"/>
                <w:szCs w:val="20"/>
                <w:color w:val="auto"/>
              </w:rPr>
            </w:pPr>
            <w:r>
              <w:rPr>
                <w:rFonts w:ascii="Arial" w:cs="Arial" w:eastAsia="Arial" w:hAnsi="Arial"/>
                <w:sz w:val="18"/>
                <w:szCs w:val="18"/>
                <w:color w:val="auto"/>
              </w:rPr>
              <w:t>Trade name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190,200</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190,200</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190,200</w:t>
            </w:r>
          </w:p>
        </w:tc>
        <w:tc>
          <w:tcPr>
            <w:tcW w:w="100" w:type="dxa"/>
            <w:vAlign w:val="bottom"/>
          </w:tcPr>
          <w:p>
            <w:pPr>
              <w:spacing w:after="0"/>
              <w:rPr>
                <w:sz w:val="19"/>
                <w:szCs w:val="19"/>
                <w:color w:val="auto"/>
              </w:rPr>
            </w:pPr>
          </w:p>
        </w:tc>
      </w:tr>
      <w:tr>
        <w:trPr>
          <w:trHeight w:val="216"/>
        </w:trPr>
        <w:tc>
          <w:tcPr>
            <w:tcW w:w="5580" w:type="dxa"/>
            <w:vAlign w:val="bottom"/>
            <w:shd w:val="clear" w:color="auto" w:fill="CCEEFF"/>
          </w:tcPr>
          <w:p>
            <w:pPr>
              <w:jc w:val="center"/>
              <w:ind w:right="3372"/>
              <w:spacing w:after="0"/>
              <w:rPr>
                <w:sz w:val="20"/>
                <w:szCs w:val="20"/>
                <w:color w:val="auto"/>
              </w:rPr>
            </w:pPr>
            <w:r>
              <w:rPr>
                <w:rFonts w:ascii="Arial" w:cs="Arial" w:eastAsia="Arial" w:hAnsi="Arial"/>
                <w:sz w:val="18"/>
                <w:szCs w:val="18"/>
                <w:color w:val="auto"/>
                <w:w w:val="89"/>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353,615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121,599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232,016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353,800</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113,562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240,238</w:t>
            </w:r>
          </w:p>
        </w:tc>
        <w:tc>
          <w:tcPr>
            <w:tcW w:w="100" w:type="dxa"/>
            <w:vAlign w:val="bottom"/>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Amortization expense for the three months ended September 30, 2011 and 2010 was $4.1 million and $7.1 million, respectively, and $8.2 million and $14.3 million for the six months ended September 30, 2011 and 2010,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net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March 31,</w:t>
            </w:r>
          </w:p>
        </w:tc>
      </w:tr>
      <w:tr>
        <w:trPr>
          <w:trHeight w:val="161"/>
        </w:trPr>
        <w:tc>
          <w:tcPr>
            <w:tcW w:w="6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Accounts receivable–billed</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426,120</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466,688</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receivable–unbilled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608,003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645,664</w:t>
            </w:r>
          </w:p>
        </w:tc>
        <w:tc>
          <w:tcPr>
            <w:tcW w:w="120" w:type="dxa"/>
            <w:vAlign w:val="bottom"/>
            <w:shd w:val="clear" w:color="auto" w:fill="CCEEFF"/>
          </w:tcPr>
          <w:p>
            <w:pPr>
              <w:spacing w:after="0"/>
              <w:rPr>
                <w:sz w:val="18"/>
                <w:szCs w:val="18"/>
                <w:color w:val="auto"/>
              </w:rPr>
            </w:pPr>
          </w:p>
        </w:tc>
      </w:tr>
      <w:tr>
        <w:trPr>
          <w:trHeight w:val="223"/>
        </w:trPr>
        <w:tc>
          <w:tcPr>
            <w:tcW w:w="6340" w:type="dxa"/>
            <w:vAlign w:val="bottom"/>
          </w:tcPr>
          <w:p>
            <w:pPr>
              <w:ind w:left="440"/>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(2,578)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(1,348)</w:t>
            </w:r>
          </w:p>
        </w:tc>
      </w:tr>
      <w:tr>
        <w:trPr>
          <w:trHeight w:val="216"/>
        </w:trPr>
        <w:tc>
          <w:tcPr>
            <w:tcW w:w="6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1,031,545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1,111,004</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Long-term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Unbilled receivables related to retainage and holdbacks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17,075</w:t>
            </w:r>
          </w:p>
        </w:tc>
        <w:tc>
          <w:tcPr>
            <w:tcW w:w="120" w:type="dxa"/>
            <w:vAlign w:val="bottom"/>
            <w:shd w:val="clear" w:color="auto" w:fill="CCEEFF"/>
          </w:tcPr>
          <w:p>
            <w:pPr>
              <w:spacing w:after="0"/>
              <w:rPr>
                <w:sz w:val="18"/>
                <w:szCs w:val="18"/>
                <w:color w:val="auto"/>
              </w:rPr>
            </w:pPr>
          </w:p>
        </w:tc>
      </w:tr>
      <w:tr>
        <w:trPr>
          <w:trHeight w:val="222"/>
        </w:trPr>
        <w:tc>
          <w:tcPr>
            <w:tcW w:w="6340" w:type="dxa"/>
            <w:vAlign w:val="bottom"/>
          </w:tcPr>
          <w:p>
            <w:pPr>
              <w:ind w:left="860"/>
              <w:spacing w:after="0"/>
              <w:rPr>
                <w:sz w:val="20"/>
                <w:szCs w:val="20"/>
                <w:color w:val="auto"/>
              </w:rPr>
            </w:pPr>
            <w:r>
              <w:rPr>
                <w:rFonts w:ascii="Arial" w:cs="Arial" w:eastAsia="Arial" w:hAnsi="Arial"/>
                <w:sz w:val="18"/>
                <w:szCs w:val="18"/>
                <w:color w:val="auto"/>
              </w:rPr>
              <w:t>Total accounts receivable, net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1,052,833</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1,128,079</w:t>
            </w:r>
          </w:p>
        </w:tc>
        <w:tc>
          <w:tcPr>
            <w:tcW w:w="12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280"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280" w:right="239" w:bottom="1440" w:gutter="0" w:footer="0" w:header="0"/>
          <w:type w:val="continuous"/>
        </w:sectPr>
      </w:pPr>
    </w:p>
    <w:bookmarkStart w:id="8" w:name="page9"/>
    <w:bookmarkEnd w:id="8"/>
    <w:p>
      <w:pPr>
        <w:ind w:right="2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recognized a provision for doubtful accounts of $2.3 million and $1.8 million for the three months ended September 30, 2011 and 2010, respectively, and $2.9 million and $5.3 million for the six months ended September 30, 2011 and 2010, respectively. Long-term unbilled receivables related to retainage, holdbacks, and long-term rate settlements to be billed at contract closeout are included in other long-term assets in the accompanying condensed consolidated balance sheets.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COMPENSATION AND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420" w:type="dxa"/>
            <w:vAlign w:val="bottom"/>
            <w:gridSpan w:val="3"/>
          </w:tcPr>
          <w:p>
            <w:pPr>
              <w:ind w:left="1600"/>
              <w:spacing w:after="0"/>
              <w:rPr>
                <w:sz w:val="20"/>
                <w:szCs w:val="20"/>
                <w:color w:val="auto"/>
              </w:rPr>
            </w:pPr>
            <w:r>
              <w:rPr>
                <w:rFonts w:ascii="Arial" w:cs="Arial" w:eastAsia="Arial" w:hAnsi="Arial"/>
                <w:sz w:val="14"/>
                <w:szCs w:val="14"/>
                <w:b w:val="1"/>
                <w:bCs w:val="1"/>
                <w:color w:val="auto"/>
                <w:w w:val="83"/>
              </w:rPr>
              <w:t>September 30,</w:t>
            </w:r>
          </w:p>
        </w:tc>
        <w:tc>
          <w:tcPr>
            <w:tcW w:w="58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4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2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Bonus</w:t>
            </w:r>
          </w:p>
        </w:tc>
        <w:tc>
          <w:tcPr>
            <w:tcW w:w="1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39,605</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$136,503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Retirement</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138,453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93,826</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Vacation</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133,447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133,643</w:t>
            </w:r>
          </w:p>
        </w:tc>
        <w:tc>
          <w:tcPr>
            <w:tcW w:w="100" w:type="dxa"/>
            <w:vAlign w:val="bottom"/>
            <w:shd w:val="clear" w:color="auto" w:fill="CCEEFF"/>
          </w:tcPr>
          <w:p>
            <w:pPr>
              <w:spacing w:after="0"/>
              <w:rPr>
                <w:sz w:val="18"/>
                <w:szCs w:val="18"/>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32,456</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33,024</w:t>
            </w: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accrued compensation and benefits</w:t>
            </w:r>
          </w:p>
        </w:tc>
        <w:tc>
          <w:tcPr>
            <w:tcW w:w="17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343,961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396,996</w:t>
            </w:r>
          </w:p>
        </w:tc>
        <w:tc>
          <w:tcPr>
            <w:tcW w:w="10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PAYMENT OBLIGATION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merger transaction as described in the Company’s Annual Report, or the acquisition, the Company established a deferred payment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obligation, or DPO, of $158.0 million, payable 8.5 years after July 31, 2008, less any settled claims. Of the $158.0 million, $78.0 million was required to be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full to the selling shareholders and $80.0 million is available to indemnify the Company for certain pre-acquisition tax contingencies, related interest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penalties, and other matters pursuant to the Agreement and Plan of Merger dated as of May 15, 2008, as amended as of July 30, 2008. On December 11, 2009,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recapitalization transaction as described in the Company’s Annual Report, $100.4 million was paid to selling shareholders,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$78.0 million was the repayment of that portion of the DPO described above, with $22.4 million representing accrued interest. Any amounts remaining after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settlement of claims will be paid out to selling shareholders.</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September 30, 2011 and March 31, 2011, the Company has recorded $66.3 million and $90.5 million, respectively, for pre-acquisition uncertain tax positions, of which approximately $28.5 million and $52.7 million, respectively, may be indemnified under the remaining available DPO. During the six months ended September 30, 2011, the Company favorably settled approximately $29.0 million of its pre-acquisition uncertain tax positions, thereby reducing the estimated amount to be indemnified under the remaining available DPO and increasing the DPO amount to be paid to the selling shareholders. Accordingly, the $67.0 million and $38.2 million DPO balances recorded as of September 30, 2011 and March 31, 2011, respectively, within other long-term liabilities in the accompanying condensed consolidated balance sheets, represent the residual balance estimated to be paid to the selling shareholders based on consideration of contingent tax claims, accrued interest, and other matters.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reconciliation of the principal balance of the DPO to the amount recorded in the condensed consolidated balance sheets for the periods presented are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98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210"/>
        </w:trPr>
        <w:tc>
          <w:tcPr>
            <w:tcW w:w="6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payment obligation</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Indemnified pre-acquisition uncertain tax positions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(28,502)</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(52,721)</w:t>
            </w: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10,904</w:t>
            </w:r>
          </w:p>
        </w:tc>
        <w:tc>
          <w:tcPr>
            <w:tcW w:w="120" w:type="dxa"/>
            <w:vAlign w:val="bottom"/>
            <w:shd w:val="clear" w:color="auto" w:fill="CCEEFF"/>
          </w:tcPr>
          <w:p>
            <w:pPr>
              <w:spacing w:after="0"/>
              <w:rPr>
                <w:sz w:val="18"/>
                <w:szCs w:val="18"/>
                <w:color w:val="auto"/>
              </w:rPr>
            </w:pPr>
          </w:p>
        </w:tc>
      </w:tr>
      <w:tr>
        <w:trPr>
          <w:trHeight w:val="222"/>
        </w:trPr>
        <w:tc>
          <w:tcPr>
            <w:tcW w:w="6380" w:type="dxa"/>
            <w:vAlign w:val="bottom"/>
          </w:tcPr>
          <w:p>
            <w:pPr>
              <w:ind w:left="860"/>
              <w:spacing w:after="0"/>
              <w:rPr>
                <w:sz w:val="20"/>
                <w:szCs w:val="20"/>
                <w:color w:val="auto"/>
              </w:rPr>
            </w:pPr>
            <w:r>
              <w:rPr>
                <w:rFonts w:ascii="Arial" w:cs="Arial" w:eastAsia="Arial" w:hAnsi="Arial"/>
                <w:sz w:val="18"/>
                <w:szCs w:val="18"/>
                <w:color w:val="auto"/>
              </w:rPr>
              <w:t>Amount recorded in the condensed consolidated balance sheets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66,973</w:t>
            </w:r>
          </w:p>
        </w:tc>
        <w:tc>
          <w:tcPr>
            <w:tcW w:w="3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$ 38,183</w:t>
            </w:r>
          </w:p>
        </w:tc>
        <w:tc>
          <w:tcPr>
            <w:tcW w:w="12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3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 2011</w:t>
            </w:r>
          </w:p>
        </w:tc>
        <w:tc>
          <w:tcPr>
            <w:tcW w:w="460" w:type="dxa"/>
            <w:vAlign w:val="bottom"/>
          </w:tcPr>
          <w:p>
            <w:pPr>
              <w:spacing w:after="0"/>
              <w:rPr>
                <w:sz w:val="14"/>
                <w:szCs w:val="14"/>
                <w:color w:val="auto"/>
              </w:rPr>
            </w:pPr>
          </w:p>
        </w:tc>
        <w:tc>
          <w:tcPr>
            <w:tcW w:w="14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88"/>
              </w:rPr>
              <w:t>March 31, 2011</w:t>
            </w:r>
          </w:p>
        </w:tc>
      </w:tr>
      <w:tr>
        <w:trPr>
          <w:trHeight w:val="129"/>
        </w:trPr>
        <w:tc>
          <w:tcPr>
            <w:tcW w:w="620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6"/>
              </w:rPr>
              <w:t>Interest</w:t>
            </w: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312"/>
              <w:spacing w:after="0" w:line="129" w:lineRule="exact"/>
              <w:rPr>
                <w:sz w:val="20"/>
                <w:szCs w:val="20"/>
                <w:color w:val="auto"/>
              </w:rPr>
            </w:pPr>
            <w:r>
              <w:rPr>
                <w:rFonts w:ascii="Arial" w:cs="Arial" w:eastAsia="Arial" w:hAnsi="Arial"/>
                <w:sz w:val="14"/>
                <w:szCs w:val="14"/>
                <w:b w:val="1"/>
                <w:bCs w:val="1"/>
                <w:color w:val="auto"/>
                <w:w w:val="86"/>
              </w:rPr>
              <w:t>Interest</w:t>
            </w:r>
          </w:p>
        </w:tc>
        <w:tc>
          <w:tcPr>
            <w:tcW w:w="2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1"/>
                <w:szCs w:val="11"/>
                <w:color w:val="auto"/>
              </w:rPr>
            </w:pPr>
          </w:p>
        </w:tc>
      </w:tr>
      <w:tr>
        <w:trPr>
          <w:trHeight w:val="161"/>
        </w:trPr>
        <w:tc>
          <w:tcPr>
            <w:tcW w:w="6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5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r>
      <w:tr>
        <w:trPr>
          <w:trHeight w:val="210"/>
        </w:trPr>
        <w:tc>
          <w:tcPr>
            <w:tcW w:w="6200" w:type="dxa"/>
            <w:vAlign w:val="bottom"/>
            <w:shd w:val="clear" w:color="auto" w:fill="CCEEFF"/>
          </w:tcPr>
          <w:p>
            <w:pPr>
              <w:jc w:val="center"/>
              <w:ind w:right="4892"/>
              <w:spacing w:after="0" w:line="202" w:lineRule="exact"/>
              <w:rPr>
                <w:sz w:val="20"/>
                <w:szCs w:val="20"/>
                <w:color w:val="auto"/>
              </w:rPr>
            </w:pPr>
            <w:r>
              <w:rPr>
                <w:rFonts w:ascii="Arial" w:cs="Arial" w:eastAsia="Arial" w:hAnsi="Arial"/>
                <w:sz w:val="18"/>
                <w:szCs w:val="18"/>
                <w:color w:val="auto"/>
                <w:w w:val="88"/>
              </w:rPr>
              <w:t>Tranche A Loans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$ 485,030</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$ 497,185</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jc w:val="center"/>
              <w:ind w:right="4892"/>
              <w:spacing w:after="0"/>
              <w:rPr>
                <w:sz w:val="20"/>
                <w:szCs w:val="20"/>
                <w:color w:val="auto"/>
              </w:rPr>
            </w:pPr>
            <w:r>
              <w:rPr>
                <w:rFonts w:ascii="Arial" w:cs="Arial" w:eastAsia="Arial" w:hAnsi="Arial"/>
                <w:sz w:val="18"/>
                <w:szCs w:val="18"/>
                <w:color w:val="auto"/>
                <w:w w:val="88"/>
              </w:rPr>
              <w:t>Tranche B Loans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494,848</w:t>
            </w:r>
          </w:p>
        </w:tc>
        <w:tc>
          <w:tcPr>
            <w:tcW w:w="860" w:type="dxa"/>
            <w:vAlign w:val="bottom"/>
            <w:gridSpan w:val="2"/>
          </w:tcPr>
          <w:p>
            <w:pPr>
              <w:jc w:val="right"/>
              <w:ind w:right="172"/>
              <w:spacing w:after="0"/>
              <w:rPr>
                <w:sz w:val="20"/>
                <w:szCs w:val="20"/>
                <w:color w:val="auto"/>
              </w:rPr>
            </w:pPr>
            <w:r>
              <w:rPr>
                <w:rFonts w:ascii="Arial" w:cs="Arial" w:eastAsia="Arial" w:hAnsi="Arial"/>
                <w:sz w:val="18"/>
                <w:szCs w:val="18"/>
                <w:color w:val="auto"/>
              </w:rPr>
              <w:t>4.00%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497,143</w:t>
            </w:r>
          </w:p>
        </w:tc>
      </w:tr>
      <w:tr>
        <w:trPr>
          <w:trHeight w:val="27"/>
        </w:trPr>
        <w:tc>
          <w:tcPr>
            <w:tcW w:w="6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jc w:val="center"/>
              <w:ind w:right="4872"/>
              <w:spacing w:after="0"/>
              <w:rPr>
                <w:sz w:val="20"/>
                <w:szCs w:val="20"/>
                <w:color w:val="auto"/>
              </w:rPr>
            </w:pPr>
            <w:r>
              <w:rPr>
                <w:rFonts w:ascii="Arial" w:cs="Arial" w:eastAsia="Arial" w:hAnsi="Arial"/>
                <w:sz w:val="18"/>
                <w:szCs w:val="18"/>
                <w:color w:val="auto"/>
                <w:w w:val="89"/>
              </w:rPr>
              <w:t>Total</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979,878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994,328</w:t>
            </w:r>
          </w:p>
        </w:tc>
      </w:tr>
      <w:tr>
        <w:trPr>
          <w:trHeight w:val="216"/>
        </w:trPr>
        <w:tc>
          <w:tcPr>
            <w:tcW w:w="6200" w:type="dxa"/>
            <w:vAlign w:val="bottom"/>
          </w:tcPr>
          <w:p>
            <w:pPr>
              <w:ind w:left="880"/>
              <w:spacing w:after="0"/>
              <w:rPr>
                <w:sz w:val="20"/>
                <w:szCs w:val="20"/>
                <w:color w:val="auto"/>
              </w:rPr>
            </w:pPr>
            <w:r>
              <w:rPr>
                <w:rFonts w:ascii="Arial" w:cs="Arial" w:eastAsia="Arial" w:hAnsi="Arial"/>
                <w:sz w:val="18"/>
                <w:szCs w:val="18"/>
                <w:color w:val="auto"/>
              </w:rPr>
              <w:t>Less: Current portion of long-term debt</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(36,250)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(30,000)</w:t>
            </w:r>
          </w:p>
        </w:tc>
      </w:tr>
      <w:tr>
        <w:trPr>
          <w:trHeight w:val="27"/>
        </w:trPr>
        <w:tc>
          <w:tcPr>
            <w:tcW w:w="6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Long-term debt, net of current portion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$ 943,628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$ 964,328</w:t>
            </w:r>
          </w:p>
        </w:tc>
      </w:tr>
      <w:tr>
        <w:trPr>
          <w:trHeight w:val="20"/>
        </w:trPr>
        <w:tc>
          <w:tcPr>
            <w:tcW w:w="6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5680" w:right="2000" w:hanging="5205"/>
        <w:spacing w:after="0" w:line="440" w:lineRule="auto"/>
        <w:rPr>
          <w:sz w:val="20"/>
          <w:szCs w:val="20"/>
          <w:color w:val="auto"/>
        </w:rPr>
      </w:pPr>
      <w:r>
        <w:rPr>
          <w:rFonts w:ascii="Arial" w:cs="Arial" w:eastAsia="Arial" w:hAnsi="Arial"/>
          <w:sz w:val="18"/>
          <w:szCs w:val="18"/>
          <w:color w:val="auto"/>
        </w:rPr>
        <w:t>The Company maintains a senior secured credit agreement, as amended, with a syndicate of lenders. The senior secured credit 8</w:t>
      </w:r>
    </w:p>
    <w:p>
      <w:pPr>
        <w:sectPr>
          <w:pgSz w:w="11900" w:h="16838" w:orient="portrait"/>
          <w:cols w:equalWidth="0" w:num="1">
            <w:col w:w="11320"/>
          </w:cols>
          <w:pgMar w:left="240" w:top="280" w:right="339" w:bottom="1440" w:gutter="0" w:footer="0" w:header="0"/>
        </w:sectPr>
      </w:pPr>
    </w:p>
    <w:bookmarkStart w:id="9" w:name="page10"/>
    <w:bookmarkEnd w:id="9"/>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as amended, provides for $1.0 billion in term loans ($500.0 million of Tranche A Loans and $500.0 million of Tranche B Loans) and a $275.0 million revolving credit facility. The loans under the senior secured credit agreement, as amended, are secured by substantially all of the Company’s assets.</w:t>
      </w:r>
    </w:p>
    <w:p>
      <w:pPr>
        <w:spacing w:after="0" w:line="8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senior secured agreement, as amended, requires quarterly principal payments of 1.25% of the stated principal amount of the Tranche A Loans, with annual incremental increases to 1.875%, 2.50%, 3.125%, and 16.25%, prior to the Tranche A Loans’ maturity date of February 3, 2016, and 0.25% of the stated principal amount of the Tranche B Loans, with the remaining balance payable on the Tranche B Loans’ maturity date of August 3, 2017. The revolving credit facility matures on July 31, 2014, at which time any outstanding principal balance is due in full. As of September 30, 2011 and March 31, 2011, there were no amounts outstanding on the revolving credit facility.</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total outstanding debt balance is recorded in the accompanying condensed consolidated balance sheets, net of unamortized discount of $5.1 million and $5.7 million as of September 30, 2011 and March 31, 2011, respectively.</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September 30, 2011 and March 31, 2011, the Company was contingently liable under open standby letters of credit and bank guarantees issued by the Company’s banks in favor of third parties. These letters of credit and bank guarantees, which totaled $2.2 million and $1.9 million as of September 30, 2011 and March 31, 2011, respectively, primarily relate to leases and support of insurance obligations. These instruments reduce the Company’s available borrowings under the revolving credit facility.</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senior secured credit agreement, as amended, requires the maintenance of certain financial and non-financial covenants. As of September 30, 2011 and March 31, 2011, the Company was in compliance with all of its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Company’s effective income tax rate was 11.9% and 43.6% for the three months ended September 30, 2011 and 2010, respectively, and 26.0% and 42.2% for the six months ended September 30, 2011 and 2010, respectively. The decrease in the effective tax rate for the three and six months ended September 30, 2011 as compared to the same prior year periods is primarily due to the release of uncertain tax position reserves in the current quarter. The three and six month effective tax rate of 11.9% and 26.0%, respectively, differ from the statutory rate of 35.0% due to the release of uncertain tax positions, state taxes and the effect of other permanent rate differences, which primarily related to meals and entertainment.</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settled its Internal Revenue Service, or IRS, audit for fiscal years 2004, 2005, and 2006 during the quarter. The IRS adjusted the Company’s research credit claims for the audit years. The adjustments did not result in a material change to the Company’s financial position. Due to the federal audit settlement, the Company released approximately $24.0 million of reserves for uncertain tax positions in the current quarter. The Company is also subject to taxes imposed by various taxing authorities including state and foreign jurisdictions. Tax years that remain open and subject to examination related to state and foreign jurisdictions are not considered to be material or will be indemnified under the merger agreement as described in the Company’s Annual Report. Additionally, due to statute of limitations expirations and potential audit settlements, it is reasonably possible that a portion of the reserves recorded on previously recognized tax benefits may be effectively settled by March 31, 2012.</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the three months ended September 30, 2011, the Company utilized $14.9 million of its capital loss carryforward from the disposition of the state and local transportation business. In prior periods, the Company had provided a full valuation allowance against the deferred tax assets associated with the capital loss carryforward. As a result, the Company recognized an income tax benefit of $5.9 million in the three and six months ended September 30, 2011.</w:t>
      </w:r>
    </w:p>
    <w:p>
      <w:pPr>
        <w:spacing w:after="0" w:line="182" w:lineRule="exact"/>
        <w:rPr>
          <w:sz w:val="20"/>
          <w:szCs w:val="20"/>
          <w:color w:val="auto"/>
        </w:rPr>
      </w:pPr>
    </w:p>
    <w:p>
      <w:pPr>
        <w:ind w:left="240" w:right="8700" w:hanging="232"/>
        <w:spacing w:after="0" w:line="391" w:lineRule="auto"/>
        <w:tabs>
          <w:tab w:leader="none" w:pos="27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EMPLOYEE BENEFIT PLANS </w:t>
      </w:r>
      <w:r>
        <w:rPr>
          <w:rFonts w:ascii="Arial" w:cs="Arial" w:eastAsia="Arial" w:hAnsi="Arial"/>
          <w:sz w:val="16"/>
          <w:szCs w:val="16"/>
          <w:b w:val="1"/>
          <w:bCs w:val="1"/>
          <w:i w:val="1"/>
          <w:iCs w:val="1"/>
          <w:color w:val="auto"/>
        </w:rPr>
        <w:t>Defined Contribution Plan</w:t>
      </w:r>
    </w:p>
    <w:p>
      <w:pPr>
        <w:spacing w:after="0" w:line="1"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Total expense recognized under ECAP for the three months ended September 30, 2011 and 2010 was $55.5 million and</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$57.3 million, respectively, and $114.7 million and $113.6 million for the six months ended September 30, 2011 and 2010, respectively. The Company-paid contributions for the three months ended September 30, 2011 and 2010 were $28.3 million and $24.6 million, respectively, and $70.0 million and $62.2 million for the six months ended September 30, 2011 and 2010, respectively.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maintains and administers a defined benefit retirement plan and a postretirement medical plan for current, retired, and resigned officers.</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Total expense for the Company’s Retired Officers’ Bonus Plan was $217,000 and $216,000 for the three months ended September 30, 2011 and 2010, respectively, and $434,000 and $432,000 for the six months ended September 30, 2011 and 2010, respectively. The Retired Officers’ Bonus Plan is an unfunded plan and contributions are made as benefits are paid. As of September 30, 2011 and March 31, 2011, the accumulated liability of $4.7 million and $5.2 million, respectively, included in other long-term liabilities in the accompanying condensed consolidated balance sheets is unfunded.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components of net postretirement medical expense for the Officer Medical Plan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5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5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2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0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$ 1,000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$1,956</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Interest cost</w:t>
            </w:r>
          </w:p>
        </w:tc>
        <w:tc>
          <w:tcPr>
            <w:tcW w:w="2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642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1,493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8"/>
                <w:szCs w:val="18"/>
                <w:color w:val="auto"/>
              </w:rPr>
            </w:pPr>
          </w:p>
        </w:tc>
      </w:tr>
      <w:tr>
        <w:trPr>
          <w:trHeight w:val="27"/>
        </w:trPr>
        <w:tc>
          <w:tcPr>
            <w:tcW w:w="5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postretirement medical expense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$ 1,724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1,483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2,966</w:t>
            </w:r>
          </w:p>
        </w:tc>
        <w:tc>
          <w:tcPr>
            <w:tcW w:w="100" w:type="dxa"/>
            <w:vAlign w:val="bottom"/>
            <w:shd w:val="clear" w:color="auto" w:fill="CCEEFF"/>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September 30, 2011 and March 31, 2011, the unfunded status of the Officer Medical Plan was $55.5 million and $52.8 million, respectively, and is included in other long-term liabilities in the accompanying condensed consolidated balance sheets.</w:t>
      </w:r>
    </w:p>
    <w:p>
      <w:pPr>
        <w:spacing w:after="0" w:line="207" w:lineRule="exact"/>
        <w:rPr>
          <w:sz w:val="20"/>
          <w:szCs w:val="20"/>
          <w:color w:val="auto"/>
        </w:rPr>
      </w:pPr>
    </w:p>
    <w:p>
      <w:pPr>
        <w:ind w:left="240" w:right="8900" w:hanging="232"/>
        <w:spacing w:after="0" w:line="347" w:lineRule="auto"/>
        <w:tabs>
          <w:tab w:leader="none" w:pos="26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Class B</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Class C</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Class 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4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rPr>
              <w:t>Class A</w:t>
            </w: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Non-Voting</w:t>
            </w: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Restricted</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Special Voting</w:t>
            </w:r>
          </w:p>
        </w:tc>
        <w:tc>
          <w:tcPr>
            <w:tcW w:w="7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Treasury</w:t>
            </w: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7"/>
              </w:rPr>
              <w:t>Common Stock</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Common Stock</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Common Stock</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Common Stock</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2010</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102,922,900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2,350,200</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2,028,270</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13,345,880</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Issuance of common stock</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16,189,830</w:t>
            </w:r>
          </w:p>
        </w:tc>
        <w:tc>
          <w:tcPr>
            <w:tcW w:w="28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702,930</w:t>
            </w:r>
          </w:p>
        </w:tc>
        <w:tc>
          <w:tcPr>
            <w:tcW w:w="32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 exercised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4,375,035</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(1,699,950)</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Share exchange</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(702,930)</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702,930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122,784,835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3,053,130</w:t>
            </w:r>
          </w:p>
        </w:tc>
        <w:tc>
          <w:tcPr>
            <w:tcW w:w="30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2,028,270</w:t>
            </w:r>
          </w:p>
        </w:tc>
        <w:tc>
          <w:tcPr>
            <w:tcW w:w="30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12,348,860</w:t>
            </w:r>
          </w:p>
        </w:tc>
        <w:tc>
          <w:tcPr>
            <w:tcW w:w="3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Issuance of common stock</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829,429</w:t>
            </w:r>
          </w:p>
        </w:tc>
        <w:tc>
          <w:tcPr>
            <w:tcW w:w="28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 exercised</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3,619,189</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(2,208,793)</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Share exchange</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573,550</w:t>
            </w: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(251,950)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(321,600)</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(333,775)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333,775</w:t>
            </w:r>
          </w:p>
        </w:tc>
        <w:tc>
          <w:tcPr>
            <w:tcW w:w="100" w:type="dxa"/>
            <w:vAlign w:val="bottom"/>
            <w:shd w:val="clear" w:color="auto" w:fill="CCEEFF"/>
          </w:tcPr>
          <w:p>
            <w:pPr>
              <w:spacing w:after="0"/>
              <w:rPr>
                <w:sz w:val="18"/>
                <w:szCs w:val="18"/>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127,473,228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2,801,180</w:t>
            </w: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1,706,670</w:t>
            </w: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10,140,067</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2"/>
              </w:rPr>
              <w:t>333,775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connection with the Company’s initial public offering in November 2010, the Company established a tax qualified Employee Stock Purchase Plan, or ESPP, which is designed to enable eligible employees to periodically purchase shares of the Company’s Class A Common Stock up to an aggregate of 10,000,000 shares at a five percent discount from the fair market value of the Company’s common stock. The ESPP provides for quarterly offering periods, the first of which commenced on April 1, 2011. For the first quarterly offering period that closed on June 30, 2011, 133,223 Class A Common Stock shares were purchased by employees under the ESPP. For the second quarterly offering period that closed on September 30, 2011, 161,106 Class A Common Stock shares were purchased by employees under the ESPP.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47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8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78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2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$2,213</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5,558</w:t>
            </w:r>
          </w:p>
        </w:tc>
        <w:tc>
          <w:tcPr>
            <w:tcW w:w="580" w:type="dxa"/>
            <w:vAlign w:val="bottom"/>
          </w:tcPr>
          <w:p>
            <w:pPr>
              <w:jc w:val="right"/>
              <w:spacing w:after="0"/>
              <w:rPr>
                <w:sz w:val="20"/>
                <w:szCs w:val="20"/>
                <w:color w:val="auto"/>
              </w:rPr>
            </w:pPr>
            <w:r>
              <w:rPr>
                <w:rFonts w:ascii="Arial" w:cs="Arial" w:eastAsia="Arial" w:hAnsi="Arial"/>
                <w:sz w:val="18"/>
                <w:szCs w:val="18"/>
                <w:color w:val="auto"/>
              </w:rPr>
              <w:t>8,278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13,179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19,411</w:t>
            </w:r>
          </w:p>
        </w:tc>
        <w:tc>
          <w:tcPr>
            <w:tcW w:w="100" w:type="dxa"/>
            <w:vAlign w:val="bottom"/>
          </w:tcPr>
          <w:p>
            <w:pPr>
              <w:spacing w:after="0"/>
              <w:rPr>
                <w:sz w:val="18"/>
                <w:szCs w:val="18"/>
                <w:color w:val="auto"/>
              </w:rPr>
            </w:pPr>
          </w:p>
        </w:tc>
      </w:tr>
      <w:tr>
        <w:trPr>
          <w:trHeight w:val="27"/>
        </w:trPr>
        <w:tc>
          <w:tcPr>
            <w:tcW w:w="4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7,771</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18,448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27,295</w:t>
            </w:r>
          </w:p>
        </w:tc>
        <w:tc>
          <w:tcPr>
            <w:tcW w:w="100" w:type="dxa"/>
            <w:vAlign w:val="bottom"/>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of September 30, 2011, there was $41.7 million of total unrecognized compensation cost related to unvested stock-based compensation agreements. The unrecognized compensation cost as of September 30, 2011 is expected to be amortized over the next 4.75 years.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Officers’ Rollover Stock Plan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three and six months ended September 30, 2011, 0 and 766,890 shares of Class C Restricted Common Stock, or Class C Restricted Stock, vested, respectively. Total compensation expense recorded in conjunction with all Class C Restricted Stock for the three months ended September 30, 2011 and 2010 was $148,000 and $854,000, respectively, and $740,000 and $2.2 million for the six months ended September 30, 2011 and 2010, respectively. Future compensation cost related to non-vested Class C Restricted Stock not yet recognized in the condensed consolidated statements of operations was $686,000, and is expected to be recognized over 1.75 years.</w:t>
      </w:r>
    </w:p>
    <w:p>
      <w:pPr>
        <w:spacing w:after="0" w:line="143"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A portion of the old stock rights held by Booz Allen Hamilton, Inc.’s U.S. government consulting partners issued under the stock rights plan that existed for Booz Allen Hamilton, Inc.’s Officers prior to the merger transaction, as described in the Company’s Annual Report, were exchanged for new options, or Rollover Options. As of September 30, 2011, there were 9,437,102 Rollover Options outstanding, of which 3,758,750 options were unvested. As Rollover Options granted to retirement eligible Officers were fully vested as of September 30, 2011, the remaining 3,758,750 options unvested as of September 30, 2011 represent only non-retirement eligible options. Total compensation expense recorded in conjunction with all Rollover Options for the three months ended September 30, 2011 and 2010 was $2.0 million and $6.6 million, respectively, and $7.1 million and $14.8 million for the six months ended September 30, 2011 and 2010, respectively. Future compensation cost related to non-vested Rollover Options not yet recognized in the condensed consolidated statements of operations was $7.6 million, and is expected to be recognized over 1.75 years.</w:t>
      </w:r>
    </w:p>
    <w:p>
      <w:pPr>
        <w:spacing w:after="0" w:line="118"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As permitted under the terms of the Officers’ Rollover Stock Plan, or the Rollover Plan, the Compensation Committee, as Administrator of the Rollover Plan, authorized on June 3, 2011 the payment of withholding taxes not to exceed the minimum statutory withholding amount arising in connection with the exercise of Rollover Options through the surrender of shares of Class A common stock, issuable upon the exercise of such Rollover Options. The Company extended this offer to the holders of the Rollover Options to provide for an additional alternative to either paying the minimum required withholding tax arising in connection with the exercise of the Rollover Options from each holder’s existing personal funds or from the proceeds of the open market sale of a portion of the shares issuable upon the exercise of the Rollover Options. The surrender program was limited to the Rollover Options that were required to be exercised between June 30, 2011 and September 15, 2011 and, for those holders who elected to participate, the trade date was August 12, 2011 for the exercise of the Rollover Options. As a result of this transaction, the Company repurchased 333,775 shares at $16.11 and recorded them as treasury shares at a cost of $5.4 million.</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On July 1, 2011 and August 10, 2011, 60,000 and 140,000 options, respectively, were granted under the Equity Incentive Plan, or EIP. The estimated fair value of the common stock on July 1, 2011 and August 10, 2011, at the time of the option grant, was $19.08 and $16.07,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2011, there were 11,867,854 EIP options outstanding, of which 8,149,550 were unvested. Total compensation expense recorded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conjunction with EIP options for the three months ended September 30, 2011 and 2010 was $3.1 million and $4.1 million, respectively, and $8.0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$10.2 million for the six months ended September 30, 2011 and 2010, respectively. Future compensation cost related to non-vested EIP options not yet recognized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the condensed consolidated statements of operations was $25.8 million, and is expected to be recognized over 4.75 years.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Grants of Class A Restricted Common Stock</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April 1, 2011, the Compensation Committee of the Board of Directors granted 20,231 shares of Class A Restricted Stock to certain Board members for their continued service to the Company. These shares vest in equal installments on September 30, 2011 and March 31, 2012, and were issued with an aggregate grant date fair value of $370,000. Total compensation expense recorded in conjunction with this grant for the three and six months ended September 30, 2011 was $139,000 and $278,000 respectively. Future compensation cost related to this award not yet recognized in the condensed consolidated statements of operations was $93,000 and is expected to be recognized over the next six months. There were no additional shares authorized to be issued under the April 2011 Compensation Committee grant.</w:t>
      </w:r>
    </w:p>
    <w:p>
      <w:pPr>
        <w:spacing w:after="0" w:line="14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July 1, 2011, the Compensation Committee of the Board of Directors granted 514,869 shares of Class A Restricted Stock in conjunction with the new Annual Incentive Plan adopted on October 1, 2010. The amount of the annual incentive payment was determined based on performance targets established by the Compensation Committee and a portion of the bonus was paid in the form of Class A Restricted Stock. Equity awards will vest based on the passage of time, subject to the officer’s continued employment by the Company. The portion to be paid in the form of equity will be recognized in the accompanying consolidated statements of operations based on grant date fair value over the vesting period of three years and the aggregate value was estimated at $9.8 million based on the stock price of $19.08 on the grant date. Total compensation expense recorded in conjunction with this grant for the three months ended September 30, 2011 was $2.3 million. Future compensation cost related to this award not yet recognized in the condensed consolidated statements of operations was $7.5 million and is expected to be recognized over the next 2.75 years.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December 2009 Dividend</w:t>
      </w:r>
    </w:p>
    <w:p>
      <w:pPr>
        <w:spacing w:after="0" w:line="90"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As of September 30, 2011 and March 31, 2011, the Company recorded a stock-based compensation liability of $25.8 million and $31.4 million, respectively, in other long-term liabilities, related to the reduction in stock option exercise price associated with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 w:name="page13"/>
    <w:bookmarkEnd w:id="1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 paid in December 2009. The Company also recorded $8.9 million and $9.0 million as of September 30, 2011 and March 31, 2011, respectively, of a stock-based compensation liability in accrued compensation and benefits, which represents the amounts of the reduction in stock option exercise price expected to be paid within one year. Options vested and not yet exercised that would have had an exercise price below zero as a result of the dividend were reduced to one cent, with the remaining reduction to be paid in cash upon exercise of the options. Refer to the Company’s Annual Report for further discussion of the dividend paid in December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fair value of the Company’s cash and cash equivalents as of September 30, 2011 and March 31, 2011 approximated its carrying value of $356.2 million and $192.6 million, respectively, because of the short-term nature of these accounts. The fair value of the Company’s debt instruments as of September 30, 2011 and March 31, 2011 approximated its carrying value of $979.9 million and $994.3 million, respectively. The fair value of debt is determined based on interest rates available for debt with terms and maturities similar to the Company’s existing debt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is an affiliate of Carlyle and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the three months ended September 30, 2011 were $343,000 and $305,000, respectively, and $946,000 and $852,000 for the six months ended September 30, 2011, respectively. Revenue and cost associated with these related parties for the three months ended September 30, 2010 were $1.9 million and $1.7 million, respectively, and $5.0 million and $4.3 million for the six months ended September 30, 2010, respectively.</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July 31, 2008, the Company entered into a management agreement, or Management Agreement, with TC Group V US, L.L.C., or TC Group, a company affiliated with Carlyle. In accordance with the Management Agreement, TC Group provides the Company with advisory, consulting, and other services and the Company pays TC Group an aggregate annual fee of $1.0 million, plus expenses. For the three months ended September 30, 2011 and 2010, the Company incurred $250,000 in advisory fees. For the six months ended September 30, 2011 and 2010, the Company incurred $500,000 in advisory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As a result of the July 2008 merger transaction, as described in the Company’s Annual Report, the Company assigned a total of nine leases to Booz &amp; Co. The facilities are located in New York, New York; Troy, Michigan; Florham Park, New Jersey; Parsippany, New Jersey; Houston, Texas; Chicago, Illinois; Cleveland, Ohio; Dallas, Texas; and London, England. Except for the Cleveland and Dallas leases, which expired, the Company remains liable under the terms of the original leases should Booz &amp; Co. default on its obligations. There were no events of default under theses leases as of September 30, 2011 and March 31, 2011. The maximum potential amount of undiscounted future payments is $41.4 million, and the leases expire at different dates between February 2012 and March 2017. Based on the Company’s assessment of the likelihood of future payment, no amounts have been recorded related to the Company’s contingent liability on such leases.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For the three and six months ended September 30, 2011 and 2010, 98% of the Company’s revenue was generated from contracts with U.S. government agencies or other U.S. government contractors.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adequately reserved for any losses that may be experienced from any investigation of which it is aware. The Defense Contract Management Agency Administrative Contracting Officer has negotiated annual final indirect cost rates through fiscal year 2006. Audits of subsequent years may result in cost reductions and/or penalties. Management believes it has adequately reserved for any losses that may be experienced from any such reductions and/or penalties. As of September 30, 2011 and March 31, 2011, the Company has recorded a liability of approximately $115.8 million and $100.2 million, respectively, for its current best estimate of net amounts to be refunded to customers for potential adjustments from such audits or reviews of contract costs incurred subsequent to fiscal year 2006.</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3" w:name="page14"/>
    <w:bookmarkEnd w:id="1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Litigation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$40.0 million or have a reasonably estimated outcome within that range,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Six former officers and stockholders who had departed the firm prior to the acquisition, as described in the Company’s Annual Report, have filed a total of nine suits,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Two of these suits have been dismissed with all appeals exhausted and a third suit has been dismissed but the former stockholder has sought leave to re-plead in New York state court. Five of the remaining suits are pending in the United States District Court for the Southern District of New York, the sixth is pending in New York state court and the seventh is pending in the United States District Court for the Southern District of California. As of September 30, 2011 and March 31, 2011, the aggregate alleged damages sought in the seven remaining suits was approximately $348.7 million ($291.5 million of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4" w:name="page15"/>
    <w:bookmarkEnd w:id="1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2011 filed with the Securities and Exchange Commission on June 8, 2011,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16"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i w:val="1"/>
          <w:iCs w:val="1"/>
          <w:color w:val="auto"/>
        </w:rPr>
        <w:t>Our fiscal year ends March 31 and, unless otherwise noted, references to years or fiscal are for fiscal years ended March 31. See “—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a leading provider of management and technology consulting services to the U.S. government in the defense, intelligence, and civil markets. As the needs of our clients have grown more complex, we have developed deep expertise in technology, engineering, and analytics. Leveraging our 97-year consulting heritage and a talent base of approximately 26,000 people, we deploy our deep domain knowledge, functional expertise, and experience to help our clients achieve their objectives.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have a collaborative culture, supported by our operating model, which helps our professionals identify and respond to emerging trends across the markets we serve and deliver enduring results for our clients.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96"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Revenue grew 4.5% from the three months ended September 30, 2010 to the three months ended September 30, 2011, and grew 6.2% from the six months ended September 30, 2010 to the six months ended September 31, 2011. Revenue generated by our direct consulting staff labor grew 4.0% from the three months ended September 30, 2010 to the three months ended September 30, 2011, and grew 5.5% from the six months ended September 30, 2010 to the six months ended September 31, 2011. Direct consulting staff labor represents our consulting staff’s labor under contracts for which we act as a prime contractor or subcontractor.</w:t>
      </w:r>
    </w:p>
    <w:p>
      <w:pPr>
        <w:spacing w:after="0" w:line="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Total backlog grew 16.4% to $12.9 billion from September 30, 2010 to September 30, 2011. Substantially all of our revenue and backlog is derived from services and solutions provided to client organizations across the U.S. government, primarily by our consulting staff and, to a lesser extent, our subcontractors. The mix of revenue generated by consulting staff and subcontractors affects our operating margin, substantially all of which is derived from direct consulting staff labor, as the portion of our revenue derived from fees we earn on services provided by our subcontractors is not significant. We experienced revenue growth during the three and six month periods ending September 30, 2011 with the highest revenue growth in areas relating to health and finance consulting services for civil government agencies and classified services to the U.S. Intelligence community.</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Operating income grew 30.3% to $93.7 million in the three months ended September 30, 2011 from $71.9 million in the three months ended September 30, 2010, which reflects a 130 basis point increase in operating margin to 6.6% from 5.3% in the comparable periods. Operating income increased 19.4% to $191.8 million in the six months ended September 30, 2011 from $160.7 million in the six months ended September 30, 2010, which reflects an 80 basis point increase in operating margin to 6.7% from 5.9% in the comparable periods. The improvement in operating income was driven by the continued growth in revenue and increased profitability resulting from decreases in incentive and stock-based compensation costs and lower amortization of our intangible assets. The increase in operating income also was due to higher profitability on contracts driven by a shift in contract mix towards fixed-price contracts, largely as a result of a decrease in time-and-material contracts, as well as improved profitability on subcontractor arrangements. The factors contributing to the increased operating income were partially offset by increases in business development costs and marketing and bid and proposal activity in preparation for the government fiscal year 2012 and other administrative costs associated with delays in deploying certain direct consulting staff labor against funded backlog.</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Cash provided by operations was $177.1 million compared to $126.5 million in net income. The increase in cash provided by operations was a result of overall profitability of our contracts, our ability to invoice and collect from clients in a timely manner, and our effective management of vendor payments. Our tax payments increased by approximately $47.4 million in the six months ended September 30, 2011 principally due to the utilization of our net operating loss, or NOL, carryforward. We expect that cash taxes to be paid during the remainder of fiscal 2012 will continue to increase as the utilization of our NOL carryforward is subject to the limitation under Section 382 of the Internal Revenue Code.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5" w:name="page16"/>
    <w:bookmarkEnd w:id="15"/>
    <w:p>
      <w:pPr>
        <w:ind w:right="3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of the refinancing of our credit facilities in February 2011 which resulted in a reduction in our outstanding debt at lower interest rates, as described in our Annual Report, we realized a reduction in interest expense in the three and six months ended September 30, 2011 of $26.6 million and $54.7 million, as compared to the same prior year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Net Income, and Adjusted Diluted Earnings Per Share, or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cash flows to Free Cash Flows, and the explanatory footnotes regarding those adjustments, each as defined under GAAP, (ii) use Adjusted Operating Income, Adjusted EBITDA, Adjusted Net Income, and Adjusted Diluted EPS in addition to, and not as an alternative to, operating income, net income, or diluted EPS as a measure of operating results, and (iii) use Free Cash Flows, in addition to, and not as an alternative to, net cash generated from operating activities as a measure of liquidity, as defined under GAAP. We have defined the aforementioned non-GAAP measures as follows:</w:t>
      </w:r>
    </w:p>
    <w:p>
      <w:pPr>
        <w:spacing w:after="0" w:line="4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Operating Income” represents operating income before (i) certain stock option-based and other equity-based compensation expenses,</w:t>
      </w:r>
    </w:p>
    <w:p>
      <w:pPr>
        <w:spacing w:after="0" w:line="38" w:lineRule="exact"/>
        <w:rPr>
          <w:rFonts w:ascii="Arial" w:cs="Arial" w:eastAsia="Arial" w:hAnsi="Arial"/>
          <w:sz w:val="16"/>
          <w:szCs w:val="16"/>
          <w:color w:val="auto"/>
        </w:rPr>
      </w:pPr>
    </w:p>
    <w:p>
      <w:pPr>
        <w:jc w:val="both"/>
        <w:ind w:left="900" w:right="300" w:hanging="1"/>
        <w:spacing w:after="0" w:line="302" w:lineRule="auto"/>
        <w:tabs>
          <w:tab w:leader="none" w:pos="1158" w:val="left"/>
        </w:tabs>
        <w:numPr>
          <w:ilvl w:val="1"/>
          <w:numId w:val="7"/>
        </w:numPr>
        <w:rPr>
          <w:rFonts w:ascii="Arial" w:cs="Arial" w:eastAsia="Arial" w:hAnsi="Arial"/>
          <w:sz w:val="16"/>
          <w:szCs w:val="16"/>
          <w:color w:val="auto"/>
        </w:rPr>
      </w:pPr>
      <w:r>
        <w:rPr>
          <w:rFonts w:ascii="Arial" w:cs="Arial" w:eastAsia="Arial" w:hAnsi="Arial"/>
          <w:sz w:val="16"/>
          <w:szCs w:val="16"/>
          <w:color w:val="auto"/>
        </w:rPr>
        <w:t>adjustments related to the amortization of intangible assets, and (iii)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8" w:lineRule="exact"/>
        <w:rPr>
          <w:rFonts w:ascii="Arial" w:cs="Arial" w:eastAsia="Arial" w:hAnsi="Arial"/>
          <w:sz w:val="16"/>
          <w:szCs w:val="16"/>
          <w:color w:val="auto"/>
        </w:rPr>
      </w:pPr>
    </w:p>
    <w:p>
      <w:pPr>
        <w:ind w:left="900" w:right="20" w:hanging="325"/>
        <w:spacing w:after="0" w:line="294"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and (iii)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34" w:lineRule="exact"/>
        <w:rPr>
          <w:rFonts w:ascii="Arial" w:cs="Arial" w:eastAsia="Arial" w:hAnsi="Arial"/>
          <w:sz w:val="16"/>
          <w:szCs w:val="16"/>
          <w:color w:val="auto"/>
        </w:rPr>
      </w:pPr>
    </w:p>
    <w:p>
      <w:pPr>
        <w:jc w:val="both"/>
        <w:ind w:left="900" w:right="180" w:hanging="325"/>
        <w:spacing w:after="0" w:line="305"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w:t>
      </w:r>
    </w:p>
    <w:p>
      <w:pPr>
        <w:ind w:left="900" w:right="240" w:hanging="1"/>
        <w:spacing w:after="0" w:line="254" w:lineRule="auto"/>
        <w:tabs>
          <w:tab w:leader="none" w:pos="1197"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taxes, we do not consider indicative of ongoing operating performance due to their inherent unusual, extraordinary, or non-recurring nature or because they result from an event of a similar nature.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“Free Cash Flow” represents the net cash generated from operating activities less the impact of purchases of property and equipment.</w:t>
      </w:r>
    </w:p>
    <w:p>
      <w:pPr>
        <w:spacing w:after="0" w:line="19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88"/>
              </w:rPr>
              <w:t>Three Months Ended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88"/>
              </w:rPr>
              <w:t>Six Months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85"/>
              </w:rPr>
              <w:t>September 30,</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85"/>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76"/>
              </w:rPr>
              <w:t>2010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56"/>
              <w:spacing w:after="0" w:line="129" w:lineRule="exact"/>
              <w:rPr>
                <w:sz w:val="20"/>
                <w:szCs w:val="20"/>
                <w:color w:val="auto"/>
              </w:rPr>
            </w:pPr>
            <w:r>
              <w:rPr>
                <w:rFonts w:ascii="Arial" w:cs="Arial" w:eastAsia="Arial" w:hAnsi="Arial"/>
                <w:sz w:val="14"/>
                <w:szCs w:val="14"/>
                <w:b w:val="1"/>
                <w:bCs w:val="1"/>
                <w:color w:val="auto"/>
                <w:w w:val="92"/>
              </w:rPr>
              <w:t>(Unaudited)</w:t>
            </w:r>
          </w:p>
        </w:tc>
        <w:tc>
          <w:tcPr>
            <w:tcW w:w="540" w:type="dxa"/>
            <w:vAlign w:val="bottom"/>
          </w:tcPr>
          <w:p>
            <w:pPr>
              <w:spacing w:after="0"/>
              <w:rPr>
                <w:sz w:val="11"/>
                <w:szCs w:val="11"/>
                <w:color w:val="auto"/>
              </w:rPr>
            </w:pPr>
          </w:p>
        </w:tc>
        <w:tc>
          <w:tcPr>
            <w:tcW w:w="980" w:type="dxa"/>
            <w:vAlign w:val="bottom"/>
            <w:gridSpan w:val="2"/>
          </w:tcPr>
          <w:p>
            <w:pPr>
              <w:jc w:val="right"/>
              <w:ind w:right="53"/>
              <w:spacing w:after="0" w:line="129"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56"/>
              <w:spacing w:after="0" w:line="129" w:lineRule="exact"/>
              <w:rPr>
                <w:sz w:val="20"/>
                <w:szCs w:val="20"/>
                <w:color w:val="auto"/>
              </w:rPr>
            </w:pPr>
            <w:r>
              <w:rPr>
                <w:rFonts w:ascii="Arial" w:cs="Arial" w:eastAsia="Arial" w:hAnsi="Arial"/>
                <w:sz w:val="14"/>
                <w:szCs w:val="14"/>
                <w:b w:val="1"/>
                <w:bCs w:val="1"/>
                <w:color w:val="auto"/>
                <w:w w:val="92"/>
              </w:rPr>
              <w:t>(Unaudited)</w:t>
            </w:r>
          </w:p>
        </w:tc>
        <w:tc>
          <w:tcPr>
            <w:tcW w:w="560" w:type="dxa"/>
            <w:vAlign w:val="bottom"/>
          </w:tcPr>
          <w:p>
            <w:pPr>
              <w:spacing w:after="0"/>
              <w:rPr>
                <w:sz w:val="11"/>
                <w:szCs w:val="11"/>
                <w:color w:val="auto"/>
              </w:rPr>
            </w:pPr>
          </w:p>
        </w:tc>
        <w:tc>
          <w:tcPr>
            <w:tcW w:w="980" w:type="dxa"/>
            <w:vAlign w:val="bottom"/>
            <w:gridSpan w:val="2"/>
          </w:tcPr>
          <w:p>
            <w:pPr>
              <w:jc w:val="right"/>
              <w:ind w:right="53"/>
              <w:spacing w:after="0" w:line="129"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 thousands, except share and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 thousands, except share and</w:t>
            </w:r>
          </w:p>
        </w:tc>
        <w:tc>
          <w:tcPr>
            <w:tcW w:w="0" w:type="dxa"/>
            <w:vAlign w:val="bottom"/>
          </w:tcPr>
          <w:p>
            <w:pPr>
              <w:spacing w:after="0"/>
              <w:rPr>
                <w:sz w:val="1"/>
                <w:szCs w:val="1"/>
                <w:color w:val="auto"/>
              </w:rPr>
            </w:pPr>
          </w:p>
        </w:tc>
      </w:t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85"/>
              </w:rPr>
              <w:t>per share data)</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87"/>
              </w:rPr>
              <w:t>per share data)</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Operating Income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93,665</w:t>
            </w:r>
          </w:p>
        </w:tc>
        <w:tc>
          <w:tcPr>
            <w:tcW w:w="54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71,909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191,787</w:t>
            </w:r>
          </w:p>
        </w:tc>
        <w:tc>
          <w:tcPr>
            <w:tcW w:w="56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160,654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Certain stock-based compensation expense (a)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9,771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23,115</w:t>
            </w: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Amortization of intangible assets (b)</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4,091</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7,161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8,182</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14,319</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Transaction expenses (c)</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tcPr>
          <w:p>
            <w:pPr>
              <w:ind w:left="880"/>
              <w:spacing w:after="0"/>
              <w:rPr>
                <w:sz w:val="20"/>
                <w:szCs w:val="20"/>
                <w:color w:val="auto"/>
              </w:rPr>
            </w:pPr>
            <w:r>
              <w:rPr>
                <w:rFonts w:ascii="Arial" w:cs="Arial" w:eastAsia="Arial" w:hAnsi="Arial"/>
                <w:sz w:val="18"/>
                <w:szCs w:val="18"/>
                <w:color w:val="auto"/>
              </w:rPr>
              <w:t>Adjusted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100,030</w:t>
            </w:r>
          </w:p>
        </w:tc>
        <w:tc>
          <w:tcPr>
            <w:tcW w:w="54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88,904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209,140</w:t>
            </w:r>
          </w:p>
        </w:tc>
        <w:tc>
          <w:tcPr>
            <w:tcW w:w="56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198,223</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EBITDA &amp; Adjusted EBITDA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75,332</w:t>
            </w:r>
          </w:p>
        </w:tc>
        <w:tc>
          <w:tcPr>
            <w:tcW w:w="54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14,817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126,468</w:t>
            </w:r>
          </w:p>
        </w:tc>
        <w:tc>
          <w:tcPr>
            <w:tcW w:w="56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42,986</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11,459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44,440</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31,375</w:t>
            </w: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Interest and other, net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8,143</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45,633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20,879</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86,293</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18,536</w:t>
            </w:r>
          </w:p>
        </w:tc>
        <w:tc>
          <w:tcPr>
            <w:tcW w:w="5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36,394</w:t>
            </w:r>
          </w:p>
        </w:tc>
        <w:tc>
          <w:tcPr>
            <w:tcW w:w="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tcPr>
          <w:p>
            <w:pPr>
              <w:ind w:left="880"/>
              <w:spacing w:after="0"/>
              <w:rPr>
                <w:sz w:val="20"/>
                <w:szCs w:val="20"/>
                <w:color w:val="auto"/>
              </w:rPr>
            </w:pPr>
            <w:r>
              <w:rPr>
                <w:rFonts w:ascii="Arial" w:cs="Arial" w:eastAsia="Arial" w:hAnsi="Arial"/>
                <w:sz w:val="18"/>
                <w:szCs w:val="18"/>
                <w:color w:val="auto"/>
              </w:rPr>
              <w:t>EBITDA</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112,201</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91,497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228,181</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199,626</w:t>
            </w:r>
          </w:p>
        </w:tc>
        <w:tc>
          <w:tcPr>
            <w:tcW w:w="0" w:type="dxa"/>
            <w:vAlign w:val="bottom"/>
          </w:tcPr>
          <w:p>
            <w:pPr>
              <w:spacing w:after="0"/>
              <w:rPr>
                <w:sz w:val="1"/>
                <w:szCs w:val="1"/>
                <w:color w:val="auto"/>
              </w:rPr>
            </w:pPr>
          </w:p>
        </w:tc>
      </w:tr>
      <w:tr>
        <w:trPr>
          <w:trHeight w:val="217"/>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Certain stock-based compensation expense (a)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9,771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23,115</w:t>
            </w:r>
          </w:p>
        </w:tc>
        <w:tc>
          <w:tcPr>
            <w:tcW w:w="0" w:type="dxa"/>
            <w:vAlign w:val="bottom"/>
          </w:tcPr>
          <w:p>
            <w:pPr>
              <w:spacing w:after="0"/>
              <w:rPr>
                <w:sz w:val="1"/>
                <w:szCs w:val="1"/>
                <w:color w:val="auto"/>
              </w:rPr>
            </w:pPr>
          </w:p>
        </w:tc>
      </w:tr>
      <w:tr>
        <w:trPr>
          <w:trHeight w:val="223"/>
        </w:trPr>
        <w:tc>
          <w:tcPr>
            <w:tcW w:w="5760" w:type="dxa"/>
            <w:vAlign w:val="bottom"/>
          </w:tcPr>
          <w:p>
            <w:pPr>
              <w:ind w:left="440"/>
              <w:spacing w:after="0"/>
              <w:rPr>
                <w:sz w:val="20"/>
                <w:szCs w:val="20"/>
                <w:color w:val="auto"/>
              </w:rPr>
            </w:pPr>
            <w:r>
              <w:rPr>
                <w:rFonts w:ascii="Arial" w:cs="Arial" w:eastAsia="Arial" w:hAnsi="Arial"/>
                <w:sz w:val="18"/>
                <w:szCs w:val="18"/>
                <w:color w:val="auto"/>
              </w:rPr>
              <w:t>Transaction expenses (c)</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114,475</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101,331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237,352</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222,876</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75,332</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126,468</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42,986</w:t>
            </w: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Certain stock-based compensation expense (a)</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2,274</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9,771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9,171</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23,115</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Transaction expenses (c)</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Amortization of intangible assets (b)</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4,091</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7,161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8,182</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14,319</w:t>
            </w:r>
          </w:p>
        </w:tc>
        <w:tc>
          <w:tcPr>
            <w:tcW w:w="0" w:type="dxa"/>
            <w:vAlign w:val="bottom"/>
          </w:tcPr>
          <w:p>
            <w:pPr>
              <w:spacing w:after="0"/>
              <w:rPr>
                <w:sz w:val="1"/>
                <w:szCs w:val="1"/>
                <w:color w:val="auto"/>
              </w:rPr>
            </w:pPr>
          </w:p>
        </w:tc>
      </w:tr>
      <w:tr>
        <w:trPr>
          <w:trHeight w:val="208"/>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or write-off of debt issuance costs and write-off of</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original issue discount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6,005</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Net gain on sale of state and local transportation business (d)</w:t>
            </w: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(5,681)</w:t>
            </w:r>
          </w:p>
        </w:tc>
        <w:tc>
          <w:tcPr>
            <w:tcW w:w="3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(5,681)</w:t>
            </w: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Release of income tax reserves (e)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(23,584)</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(24,048)</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Adjustments for tax effect (f)</w:t>
            </w: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(3,028)</w:t>
            </w:r>
          </w:p>
        </w:tc>
        <w:tc>
          <w:tcPr>
            <w:tcW w:w="3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(10,220)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(7,901)</w:t>
            </w:r>
          </w:p>
        </w:tc>
        <w:tc>
          <w:tcPr>
            <w:tcW w:w="3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(19,215)</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Adjusted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50,610</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108,591</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71,808</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Diluted EPS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number of diluted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141,259,964</w:t>
            </w:r>
          </w:p>
        </w:tc>
        <w:tc>
          <w:tcPr>
            <w:tcW w:w="54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122,509,408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140,600,986</w:t>
            </w:r>
          </w:p>
        </w:tc>
        <w:tc>
          <w:tcPr>
            <w:tcW w:w="56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121,737,842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tcPr>
          <w:p>
            <w:pPr>
              <w:ind w:left="440"/>
              <w:spacing w:after="0"/>
              <w:rPr>
                <w:sz w:val="20"/>
                <w:szCs w:val="20"/>
                <w:color w:val="auto"/>
              </w:rPr>
            </w:pPr>
            <w:r>
              <w:rPr>
                <w:rFonts w:ascii="Arial" w:cs="Arial" w:eastAsia="Arial" w:hAnsi="Arial"/>
                <w:sz w:val="18"/>
                <w:szCs w:val="18"/>
                <w:color w:val="auto"/>
              </w:rPr>
              <w:t>Adjusted Net Income Per Diluted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0.36</w:t>
            </w:r>
          </w:p>
        </w:tc>
        <w:tc>
          <w:tcPr>
            <w:tcW w:w="54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0.77</w:t>
            </w:r>
          </w:p>
        </w:tc>
        <w:tc>
          <w:tcPr>
            <w:tcW w:w="56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Free Cash Flow</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123,273</w:t>
            </w:r>
          </w:p>
        </w:tc>
        <w:tc>
          <w:tcPr>
            <w:tcW w:w="54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160,874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177,117</w:t>
            </w:r>
          </w:p>
        </w:tc>
        <w:tc>
          <w:tcPr>
            <w:tcW w:w="56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170,885</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Purchases of property and equipment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(26,039)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(22,744)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(43,640)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(38,957)</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880"/>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97,234</w:t>
            </w:r>
          </w:p>
        </w:tc>
        <w:tc>
          <w:tcPr>
            <w:tcW w:w="54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138,130</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133,477</w:t>
            </w:r>
          </w:p>
        </w:tc>
        <w:tc>
          <w:tcPr>
            <w:tcW w:w="56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131,928</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60" w:hanging="452"/>
        <w:spacing w:after="0" w:line="283"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Reflects stock-based compensation expense for options for Class A Common Stock and restricted shares, in each case, issued in connection with the acquisition described in our Annual Report under the Officers’ Rollover Stock Plan that was established in connection with the acquisition. Also reflects stock-based compensation expense for Equity Incentive Plan Class A Common Stock options issued in connection with the acquisition under the Equity Incentive Plan that was established in connection with the acquisition of our company by The Carlyle Group described in our Annual Report, which we refer to in the Quarterly Report as the acquisition.</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 described in our Annual Report.</w:t>
      </w:r>
    </w:p>
    <w:p>
      <w:pPr>
        <w:spacing w:after="0" w:line="9"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 and six months ended September 30, 2010 reflects certain external administrative and other expenses incurred in connection with the initial public offering.</w:t>
      </w:r>
    </w:p>
    <w:p>
      <w:pPr>
        <w:ind w:left="460" w:right="1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 and six months ended September 30, 2011 reflects the gain on sale of our state and local transportation business, net of the associated tax benefit of $1.6 million.</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 and six months ended September 30, 2011 reflects the release of income tax reserves, net of taxes.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6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Factors and Trends Affecting Our Results of Operations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51" w:lineRule="exact"/>
        <w:rPr>
          <w:sz w:val="20"/>
          <w:szCs w:val="20"/>
          <w:color w:val="auto"/>
        </w:rPr>
      </w:pPr>
    </w:p>
    <w:p>
      <w:pPr>
        <w:ind w:left="900" w:right="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50" w:lineRule="exact"/>
        <w:rPr>
          <w:rFonts w:ascii="Arial" w:cs="Arial" w:eastAsia="Arial" w:hAnsi="Arial"/>
          <w:sz w:val="18"/>
          <w:szCs w:val="18"/>
          <w:color w:val="auto"/>
        </w:rPr>
      </w:pPr>
    </w:p>
    <w:p>
      <w:pPr>
        <w:ind w:left="900" w:right="36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overseas operations end, and continued increased spending on cyber-security, advanced technology analytics, technology integration and healthcare;</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the completion of the U.S. government’s budget process, which has in the past and could in the future delay procurement of the products, services, and solutions we provide;</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conservatism in light of existing and proposed fiscal constraints by the U.S. government and uncertainty about the size of budget reductions may cause clients to invest appropriated funds on a less consistent or rapid basis, or not at all;</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will continue to drive pockets of insourcing in various agencies, particularly in the intelligence market;</w:t>
      </w:r>
    </w:p>
    <w:p>
      <w:pPr>
        <w:spacing w:after="0" w:line="50" w:lineRule="exact"/>
        <w:rPr>
          <w:rFonts w:ascii="Arial" w:cs="Arial" w:eastAsia="Arial" w:hAnsi="Arial"/>
          <w:sz w:val="18"/>
          <w:szCs w:val="18"/>
          <w:color w:val="auto"/>
        </w:rPr>
      </w:pPr>
    </w:p>
    <w:p>
      <w:pPr>
        <w:ind w:left="900" w:right="140" w:hanging="325"/>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50"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4" w:lineRule="exact"/>
        <w:rPr>
          <w:rFonts w:ascii="Arial" w:cs="Arial" w:eastAsia="Arial" w:hAnsi="Arial"/>
          <w:sz w:val="16"/>
          <w:szCs w:val="16"/>
          <w:color w:val="auto"/>
        </w:rPr>
      </w:pPr>
    </w:p>
    <w:p>
      <w:pPr>
        <w:ind w:left="900" w:right="16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the trends identified above; and</w:t>
      </w:r>
    </w:p>
    <w:p>
      <w:pPr>
        <w:spacing w:after="0" w:line="113" w:lineRule="exact"/>
        <w:rPr>
          <w:rFonts w:ascii="Arial" w:cs="Arial" w:eastAsia="Arial" w:hAnsi="Arial"/>
          <w:sz w:val="16"/>
          <w:szCs w:val="16"/>
          <w:color w:val="auto"/>
        </w:rPr>
      </w:pPr>
    </w:p>
    <w:p>
      <w:pPr>
        <w:ind w:left="900" w:right="6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We have historically grown, and continued through the three and six months ended September 30, 2011 to grow, our revenue organically without relying on acquisitions.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Contract Types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90" w:lineRule="exact"/>
        <w:rPr>
          <w:sz w:val="20"/>
          <w:szCs w:val="20"/>
          <w:color w:val="auto"/>
        </w:rPr>
      </w:pPr>
    </w:p>
    <w:p>
      <w:pPr>
        <w:ind w:left="900" w:right="160" w:hanging="325"/>
        <w:spacing w:after="0" w:line="290"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Cost-Reimbursable Contracts. </w:t>
      </w:r>
      <w:r>
        <w:rPr>
          <w:rFonts w:ascii="Arial" w:cs="Arial" w:eastAsia="Arial" w:hAnsi="Arial"/>
          <w:sz w:val="16"/>
          <w:szCs w:val="16"/>
          <w:color w:val="auto"/>
        </w:rPr>
        <w:t>Cost-reimbursable contracts provide for the payment of allowable costs incurred during performance of the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up to a ceiling based on the amount that has been funded, plus a fee.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provide for an award fee that varies within specified limits based upon the client’s assessment of our performance against a predetermined set of criteria, such as targets for factors like cost, quality, schedule, and performance.</w:t>
      </w:r>
    </w:p>
    <w:p>
      <w:pPr>
        <w:spacing w:after="0" w:line="37"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Time-and-Materials Contracts. </w:t>
      </w:r>
      <w:r>
        <w:rPr>
          <w:rFonts w:ascii="Arial" w:cs="Arial" w:eastAsia="Arial" w:hAnsi="Arial"/>
          <w:sz w:val="16"/>
          <w:szCs w:val="16"/>
          <w:color w:val="auto"/>
        </w:rPr>
        <w:t>Under a time-and-materials contract, we are paid a fixed hourly rate for each direct labor hour expended, and we are</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reimbursed for allowable material costs and allowable out-of-pocket expenses. To the extent our actual direct labor and associated costs vary in relation to the fixed hourly billing rates provided in the contract, we will generate more or less profit, or could incur a loss.</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Fixed-Price Contracts. </w:t>
      </w:r>
      <w:r>
        <w:rPr>
          <w:rFonts w:ascii="Arial" w:cs="Arial" w:eastAsia="Arial" w:hAnsi="Arial"/>
          <w:sz w:val="16"/>
          <w:szCs w:val="16"/>
          <w:color w:val="auto"/>
        </w:rPr>
        <w:t>Under a fixed-price contract, we agree to perform the specified work for a pre-determined price. To the extent our actual costs</w:t>
      </w:r>
      <w:r>
        <w:rPr>
          <w:rFonts w:ascii="Arial" w:cs="Arial" w:eastAsia="Arial" w:hAnsi="Arial"/>
          <w:sz w:val="16"/>
          <w:szCs w:val="16"/>
          <w:i w:val="1"/>
          <w:iCs w:val="1"/>
          <w:color w:val="auto"/>
        </w:rPr>
        <w:t xml:space="preserve"> </w:t>
      </w:r>
      <w:r>
        <w:rPr>
          <w:rFonts w:ascii="Arial" w:cs="Arial" w:eastAsia="Arial" w:hAnsi="Arial"/>
          <w:sz w:val="16"/>
          <w:szCs w:val="16"/>
          <w:color w:val="auto"/>
        </w:rPr>
        <w:t>vary from the estimates upon which the price was negotiated, we will generate more or less profit,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Over time we have experienced a relatively stable contract mix. However, the U.S. government has indicated an intent to increase its use of fixed-price contract procurements and reduce its use of cost-plus-award-fee contract procurements; the Department of Defense has adopted purchasing guidelines that mark a shift towards fixed-price procurement contracts.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3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September 30,</w:t>
            </w:r>
          </w:p>
        </w:tc>
        <w:tc>
          <w:tcPr>
            <w:tcW w:w="4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262"/>
              <w:spacing w:after="0"/>
              <w:rPr>
                <w:sz w:val="20"/>
                <w:szCs w:val="20"/>
                <w:color w:val="auto"/>
              </w:rPr>
            </w:pPr>
            <w:r>
              <w:rPr>
                <w:rFonts w:ascii="Arial" w:cs="Arial" w:eastAsia="Arial" w:hAnsi="Arial"/>
                <w:sz w:val="14"/>
                <w:szCs w:val="14"/>
                <w:b w:val="1"/>
                <w:bCs w:val="1"/>
                <w:color w:val="auto"/>
                <w:w w:val="85"/>
              </w:rPr>
              <w:t>September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2010</w:t>
            </w:r>
          </w:p>
        </w:tc>
        <w:tc>
          <w:tcPr>
            <w:tcW w:w="6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7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Cost-reimbursable (1)</w:t>
            </w:r>
          </w:p>
        </w:tc>
        <w:tc>
          <w:tcPr>
            <w:tcW w:w="1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Time-and-materials</w:t>
            </w: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36%</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Fixed-price (2)</w:t>
            </w:r>
          </w:p>
        </w:tc>
        <w:tc>
          <w:tcPr>
            <w:tcW w:w="1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108"/>
        </w:trPr>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5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2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(1)</w:t>
            </w:r>
          </w:p>
        </w:tc>
        <w:tc>
          <w:tcPr>
            <w:tcW w:w="6560" w:type="dxa"/>
            <w:vAlign w:val="bottom"/>
            <w:gridSpan w:val="3"/>
          </w:tcPr>
          <w:p>
            <w:pPr>
              <w:ind w:left="120"/>
              <w:spacing w:after="0"/>
              <w:rPr>
                <w:sz w:val="20"/>
                <w:szCs w:val="20"/>
                <w:color w:val="auto"/>
              </w:rPr>
            </w:pPr>
            <w:r>
              <w:rPr>
                <w:rFonts w:ascii="Arial" w:cs="Arial" w:eastAsia="Arial" w:hAnsi="Arial"/>
                <w:sz w:val="18"/>
                <w:szCs w:val="18"/>
                <w:color w:val="auto"/>
              </w:rPr>
              <w:t>Includes both cost-plus-fixed-fee and cost-plus-award-fee contracts.</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2"/>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(2)</w:t>
            </w:r>
          </w:p>
        </w:tc>
        <w:tc>
          <w:tcPr>
            <w:tcW w:w="6560" w:type="dxa"/>
            <w:vAlign w:val="bottom"/>
            <w:gridSpan w:val="3"/>
          </w:tcPr>
          <w:p>
            <w:pPr>
              <w:ind w:left="120"/>
              <w:spacing w:after="0"/>
              <w:rPr>
                <w:sz w:val="20"/>
                <w:szCs w:val="20"/>
                <w:color w:val="auto"/>
              </w:rPr>
            </w:pPr>
            <w:r>
              <w:rPr>
                <w:rFonts w:ascii="Arial" w:cs="Arial" w:eastAsia="Arial" w:hAnsi="Arial"/>
                <w:sz w:val="18"/>
                <w:szCs w:val="18"/>
                <w:color w:val="auto"/>
              </w:rPr>
              <w:t>Includes fixed-price level of effort contracts.</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Diversity and Revenue Mix</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and the portion of our operating margin derived from fees we earn on services provided by our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9" w:name="page20"/>
    <w:bookmarkEnd w:id="19"/>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People</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contains an optimal mix of skills to meet the rapidly evolving needs of our clients and we seek to achieve that result through recruitment and capacity management. As of September 30, 2011 and 2010, we employed approximately 25,800 and 25,100 people, respectively, of which approximately 23,300 and 22,800, respectively, were consulting staff. Attrition for consulting staff was 18.9% and 19.9% during the twelve months ended September 30, 2011 and 2010,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Backlog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90" w:lineRule="exact"/>
        <w:rPr>
          <w:sz w:val="20"/>
          <w:szCs w:val="20"/>
          <w:color w:val="auto"/>
        </w:rPr>
      </w:pPr>
    </w:p>
    <w:p>
      <w:pPr>
        <w:ind w:left="900" w:right="2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 appropriated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authorized less revenue previously recognized on these contracts.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Priced Options. </w:t>
      </w:r>
      <w:r>
        <w:rPr>
          <w:rFonts w:ascii="Arial" w:cs="Arial" w:eastAsia="Arial" w:hAnsi="Arial"/>
          <w:sz w:val="18"/>
          <w:szCs w:val="18"/>
          <w:color w:val="auto"/>
        </w:rPr>
        <w:t>Priced contract options represent 100% of the revenue value of all future contract option periods under existing contracts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at our clients’ option and for which funding has not been appropriated or otherwise authorized.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ind w:left="12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44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right"/>
              <w:ind w:right="356"/>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Funded</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3,438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3,123</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Unfunded (1)</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00" w:type="dxa"/>
            <w:vAlign w:val="bottom"/>
            <w:shd w:val="clear" w:color="auto" w:fill="CCEEFF"/>
          </w:tcPr>
          <w:p>
            <w:pPr>
              <w:spacing w:after="0"/>
              <w:rPr>
                <w:sz w:val="18"/>
                <w:szCs w:val="18"/>
                <w:color w:val="auto"/>
              </w:rPr>
            </w:pPr>
          </w:p>
        </w:tc>
      </w:tr>
      <w:tr>
        <w:trPr>
          <w:trHeight w:val="223"/>
        </w:trPr>
        <w:tc>
          <w:tcPr>
            <w:tcW w:w="4400" w:type="dxa"/>
            <w:vAlign w:val="bottom"/>
          </w:tcPr>
          <w:p>
            <w:pPr>
              <w:ind w:left="440"/>
              <w:spacing w:after="0"/>
              <w:rPr>
                <w:sz w:val="20"/>
                <w:szCs w:val="20"/>
                <w:color w:val="auto"/>
              </w:rPr>
            </w:pPr>
            <w:r>
              <w:rPr>
                <w:rFonts w:ascii="Arial" w:cs="Arial" w:eastAsia="Arial" w:hAnsi="Arial"/>
                <w:sz w:val="18"/>
                <w:szCs w:val="18"/>
                <w:color w:val="auto"/>
              </w:rPr>
              <w:t>Priced options (2)</w:t>
            </w:r>
          </w:p>
        </w:tc>
        <w:tc>
          <w:tcPr>
            <w:tcW w:w="2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backlog</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12,855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11,047</w:t>
            </w:r>
          </w:p>
        </w:tc>
        <w:tc>
          <w:tcPr>
            <w:tcW w:w="10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8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a reduction by management to the revenue value of orders for services under two existing single award ID/IQ contracts based on an established pattern of funding under these contracts by the U.S. government.</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shown reflect 100% of the undiscounted revenue value of all priced options.</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view growth in total backlog and consulting staff headcount as the two key measures of our potential business growth. Growing and deploying consulting staff is the primary means by which we are able to recognize profitable revenue growth. To the extent that we are able to hire additional consulting staff and deploy them against funded backlog, we generally recognize increased revenue. Total backlog grew 16.4% from September 30, 2010 to September 30, 2011. Additions to funded backlog during the twelve months ended September 30, 2011 totaled $7.0 billion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0" w:name="page21"/>
    <w:bookmarkEnd w:id="20"/>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6.6% of funded backlog as of the end of any of the eight fiscal quarters preceding the fiscal quarter ended September 30, 2011.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9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 In conjunction with our initial public offering, our Board of Directors adopted a new compensation plan. The equity compensation component of the new plan has reduced officer-related compensation expense included in cost of revenue and general and administrative expenses over the near term with such expense reduction to reverse over time.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90" w:lineRule="exact"/>
        <w:rPr>
          <w:sz w:val="20"/>
          <w:szCs w:val="20"/>
          <w:color w:val="auto"/>
        </w:rPr>
      </w:pPr>
    </w:p>
    <w:p>
      <w:pPr>
        <w:ind w:left="900" w:right="4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labor relating to infrastructure, management and administration, and other expenses.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Billable Expenses. </w:t>
      </w:r>
      <w:r>
        <w:rPr>
          <w:rFonts w:ascii="Arial" w:cs="Arial" w:eastAsia="Arial" w:hAnsi="Arial"/>
          <w:sz w:val="16"/>
          <w:szCs w:val="16"/>
          <w:color w:val="auto"/>
        </w:rPr>
        <w:t>Billable expenses include direct subcontractor expenses, travel expenses, and other expenses incurred to perform on contracts.</w:t>
      </w:r>
    </w:p>
    <w:p>
      <w:pPr>
        <w:spacing w:after="0" w:line="113" w:lineRule="exact"/>
        <w:rPr>
          <w:rFonts w:ascii="Arial" w:cs="Arial" w:eastAsia="Arial" w:hAnsi="Arial"/>
          <w:sz w:val="16"/>
          <w:szCs w:val="16"/>
          <w:color w:val="auto"/>
        </w:rPr>
      </w:pPr>
    </w:p>
    <w:p>
      <w:pPr>
        <w:ind w:left="900" w:right="78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include indirect labor of executive management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functions, marketing and bid and proposal costs, and other discretionary spending.</w:t>
      </w:r>
    </w:p>
    <w:p>
      <w:pPr>
        <w:spacing w:after="0" w:line="4"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the amortization of internally developed software, as well as third-party software that we use internally, and of identifiable long-lived intangible assets over their estimated useful lives.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net operating loss carryforward, which as of March 31, 2011 was $148.8 million, is subject to Section 382 of the Internal Revenue Code. Section 382 of the Internal Revenue Code limits the use of a corporation’s NOLs and certain other tax benefits following a change in ownership of the corporation. We believe that it is more likely than not that the company will generate sufficient taxable income to fully realize the tax benefits of our NOL carryforward by March 31, 2013.</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the three months ended September 30, 2011, we reduced our liability for income taxes payable due to the exercise of stock options resulting in the reduction of our cash taxes of approximately $22.1 million.</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settled its Internal Revenue Service, or IRS, audit for fiscal years 2004, 2005, and 2006 during the quarter. The IRS adjusted our research credits claims for the audit years. The adjustments did not result in a material change to our financial position. Due to the federal audit close the Company released approximately $24.0 million of reserves for uncertain tax positions in the current quarter.</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are also subject to taxes imposed by various taxing authorities including state and foreign jurisdictions. Tax years that remain open and subject to examination related to state and foreign jurisdictions are not considered to be material or will be indemnified under the merger agreement. Additionally, due to statute of limitations expirations and potential audit settlements, it is reasonably possible that a portion of the reserves recorded on previously recognized tax benefits may be effectively settled by March 31, 2012.</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the three months ended September 30, 2011, the Company utilized $14.9 million of its capital loss carryforward from the disposition of the state and local transportation business. In prior periods, the Company had provided a full valuation allowance against the deferred tax assets associated with the capital loss carryforward. As a result, the Company recognized an income tax benefit of $5.9 million in the three and six months ended September 30,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1" w:name="page22"/>
    <w:bookmarkEnd w:id="2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Seasonality</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U.S. government’s fiscal year ends on September 30 of each year. It is not uncommon for U.S. government agencies to award extra tasks or complete other contract actions in the weeks before the end of its fiscal year in order to avoid the loss of unexpended fiscal year funds. In addition, we also have generally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9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Company’s condensed consolidated financial statements for Booz Allen Hamilton Holding Corporation, including its wholly owned subsidiaries, have been presented for the three and six months ended September 30, 2011 and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Borders>
              <w:right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Borders>
              <w:right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Borders>
              <w:right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Pr>
          <w:p>
            <w:pPr>
              <w:spacing w:after="0"/>
              <w:rPr>
                <w:sz w:val="14"/>
                <w:szCs w:val="14"/>
                <w:color w:val="auto"/>
              </w:rPr>
            </w:pPr>
          </w:p>
        </w:tc>
        <w:tc>
          <w:tcPr>
            <w:tcW w:w="1920" w:type="dxa"/>
            <w:vAlign w:val="bottom"/>
            <w:tcBorders>
              <w:right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(Unaudited)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(Unaudited)</w:t>
            </w: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Borders>
              <w:right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Borders>
              <w:right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1,429,044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1,367,214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2,875,880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2,709,143</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715,642</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698,563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1,442,473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1,375,658</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Billable expenses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380,911</w:t>
            </w:r>
          </w:p>
        </w:tc>
        <w:tc>
          <w:tcPr>
            <w:tcW w:w="1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359,243</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773,101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715,529</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220,290</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217,911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432,125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418,330</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18,536</w:t>
            </w:r>
          </w:p>
        </w:tc>
        <w:tc>
          <w:tcPr>
            <w:tcW w:w="1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19,588</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36,394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38,972</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1,335,379</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1,295,305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2,684,093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2,548,489</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93,665</w:t>
            </w:r>
          </w:p>
        </w:tc>
        <w:tc>
          <w:tcPr>
            <w:tcW w:w="10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71,909</w:t>
            </w: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191,787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160,654</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(12,194)</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(38,830)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(79,183)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(6,803)</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(159.5%)</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(7,110)</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(150.8%)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 and before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85,522</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26,276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170,908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74,361</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10,190</w:t>
            </w:r>
          </w:p>
        </w:tc>
        <w:tc>
          <w:tcPr>
            <w:tcW w:w="1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11,459</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44,440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31,375</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14,817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126,468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42,986</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2011 Compared to Three Months Ended September 30,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Revenue increased to $1,429.0 million from $1,367.2 million, or a 4.5% increase. The increase in revenue during the three months ended September 30, 2011 was primarily driven by the deployment during the three month period ended September 30, 2011 of approximately 500 net additional consulting staff against funded backlog. Net additional consulting staff reflects newly hired consulting staff net of consulting staff attrition. Consulting staff increased during the period due to recruiting efforts, resulting in additions to consulting staff in excess of attrition. Additions to funded backlog during the twelve months ended September 30, 2011 totaled $7.0 billion, as a result of the conversion of unfunded backlog to funded backlog, the award of new contracts and task orders under which funding was appropriated, and the exercise and subsequent funding of priced options.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Cost of revenue increased to $715.6 million from $698.6 million, or a 2.4% increase. This increase was primarily due to increases in salaries and salary-related benefits of $27.6 million and employer retirement plan contributions of $1.2 million. The increase in salaries and salary-related benefits was driven by headcount growth of approximately 500 net additional consulting staff during the twelve months ended September 30, 2011 and annual base salary increases. The increase in employer retirement plan contributions was due to an increase in the number of employees who completed one year of service and became eligible to participate in our defined contribution plan, the Employees’ Capital Accumulation Plan, or ECAP.</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cost of revenue increase was partially offset by a decrease in incentive compensation of $15.0 million. The decrease in incentive compensation was primarily due to an amendment to the Officers’ compensation plan effective October 1, 2010, such that a portion of incentive compensation is now paid via grants of restricted stock on July 1 of each year, rather than cash, and will vest over a three year period, and management’s determination to reduce incentive compensation accrual rates for fiscal year 2012 in response to higher than expected business development costs and marketing and bid and proposal activity as well as administrative costs associated with delays in deploying certain direct consulting staff labor. Stock–based compensation expense also decreased by $2.2 million for Rollover and EIP options for Class A Common Stock and restricted shares, in each case issued in connection with the acquisition as described in our Annual Report (stock-based compensation expense related to Rollover options and restricted shares issued in connection with the acquisition and the initial grant of EIP options, collectively referred to as acquisition-related compensation expenses). The decrease in acquisition-related compensation expense was primarily due to a decrease in expense recognition compared to the same prior year period due to the application of the accounting method for recognizing stock-based compensation, which requires higher expenses initially and declining expenses in subsequent years. Cost of revenue as a percentage of revenue was 50.1% and 51.1% in the three months ended September 30, 2011 and 2010, respectively.</w:t>
      </w:r>
    </w:p>
    <w:p>
      <w:pPr>
        <w:sectPr>
          <w:pgSz w:w="11900" w:h="16838" w:orient="portrait"/>
          <w:cols w:equalWidth="0" w:num="1">
            <w:col w:w="11420"/>
          </w:cols>
          <w:pgMar w:left="240" w:top="280"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280" w:right="239" w:bottom="1440" w:gutter="0" w:footer="0" w:header="0"/>
          <w:type w:val="continuous"/>
        </w:sectPr>
      </w:pPr>
    </w:p>
    <w:bookmarkStart w:id="22" w:name="page23"/>
    <w:bookmarkEnd w:id="22"/>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Billable Expenses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Billable expenses increased to $380.9 million from $359.2 million, or a 6.0% increase. This increase was primarily due to increases in subcontractor-related expenses of $22.9 million and travel and material expenses of $1.3 million. The increase in direct subcontractor expenses was attributable to increased use of subcontractors in proportion to revenue growth. The increased use of subcontractors was necessary to support growth on existing and new contracts and task orders during the three months ended September 30, 2011. Billable expenses as a percentage of revenue were 26.7% and 26.3% in the three months ended September 30, 2011 and 2010,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General and administrative expenses increased to $220.3 million from $217.9 million, or a 1.1% increase. This increase was primarily due to increases in salaries and salary-related benefits of $16.1 million associated with increased headcount and other expenses to support the increased scale of our business.</w:t>
      </w:r>
    </w:p>
    <w:p>
      <w:pPr>
        <w:spacing w:after="0" w:line="6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increase in general and administrative expenses was partially offset by a decrease in incentive compensation of $11.9 million. The decrease in incentive compensation was primarily due to an amendment to the Officers’ compensation plan effective October 1, 2010, such that a portion of incentive compensation is now paid via grants of restricted stock on July 1 of each year, rather than cash, and will vest over a three year period, and lower incentive compensation accrual rates for fiscal year 2012. Stock–based compensation expense also decreased by $5.3 million due to a reduction in acquisition-related compensation expenses. The decrease in acquisition-related compensation expense was primarily due to a decrease in expense recognition compared to the same prior year period due to the application of the accounting method for recognizing stock-based compensation, which requires higher expenses initially and declining expenses in subsequent years. General and administrative expenses as a percentage of revenue were 15.4% and 15.9% for the three months ended September 30, 2011 and 2010, respectively.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decreased to $18.5 million from $19.6 million, or a 5.4% decrease. This decrease was primarily due to a decrease of</w:t>
      </w:r>
    </w:p>
    <w:p>
      <w:pPr>
        <w:spacing w:after="0" w:line="38"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$3.1 million in the amortization of our intangible assets, which includes below market rate leases and contract backlog that were recorded in connection with the acquisition, as described in our Annual Report, and are amortized based on contractual lease terms and projected future cash flows, respectively, thereby reflecting higher amortization expense initially and declining expense in subsequent periods. Intangible asset amortization expense decreased to $4.1 million for the three months ended September 30, 2011 compared to $7.2 million for the three months ended September 30, 2010.</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Interest expense decreased to $12.2 million from $38.8 million, or a 68.6% decrease. This decrease was primarily due to a decrease in contractually obligated interest expense as a result of the repayment of indebtedness outstanding under our mezzanine credit facility and the refinancing of our senior secured loan facilities at lower interest rates in February 2011.</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Interest is accrued on our $985.0 million outstanding debt principal balance as of September 30, 2011 at contractually specified rates ranging from 2.5% to 4.0%, and is generally required to be paid to our syndicate of lenders on a quarterly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Income tax expense decreased to $10.2 million from $11.5 million, or a 11.1% decrease. This decrease was primarily due to the release of uncertain tax position reserves of approximately $24.0 million in the current quarter.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effective tax rate decreased to 11.9% from 43.6% primarily due to the release of uncertain tax position reserves in the current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2011 Compared to Six Months Ended September 30,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 increased to $2,875.9 million from $2,709.1 million, or a 6.2% increase. The increase in revenue during the six months ended September 30, 2011 was primarily driven by the deployment during the six month period ended September 30, 2011 of approximately 500 net additional consulting staff against funded backlog. Consulting staff increased during the period due to recruiting efforts, resulting in additions to consulting staff in excess of attrition. Additions to funded backlog during the twelve months ended September 30, 2011 totaled $7.0 billion, as a result of the conversion of unfunded backlog to funded backlog, the award of new contracts and task orders under which funding was appropriated, and the exercise and subsequent funding of priced options.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3" w:name="page24"/>
    <w:bookmarkEnd w:id="23"/>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Cost of Revenue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 of revenue increased to $1,442.5 million from $1,375.7 million, or a 4.9% increase. This increase was primarily due to increases in salaries and salary-related benefits of $74.7 million and employer retirement plan contributions of $3.6 million. The increase in salaries and salary-related benefits was driven by headcount growth of approximately 500 net additional consulting staff during the twelve months ended September 30, 2011 and annual base salary increases. The increase in employer retirement plan contributions was due to an increase in the number of employees who completed one year of service and became eligible to participate in ECAP.</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cost of revenue increase was partially offset by decreases of $15.5 million in incentive compensation and $4.0 million in acquisition-related compensation expenses. The decrease in incentive compensation was due to an amendment to the Officers’ compensation plan such that a portion of incentive compensation will be paid in stock-based compensation in July 2012, rather than cash, and will vest over a three year period, and management’s determination to reduce incentive compensation accrual rates for fiscal year 2012 in response to higher than expected business development costs and marketing and bid and proposal activity as well as administrative costs associated with delays in deploying certain direct consulting staff labor. The decrease in acquisition-related compensation expense was primarily due to a decrease in expense recognition compared to the same prior year period due to the application of the accounting method for recognizing stock-based compensation, which requires higher expenses initially and declining expenses in subsequent years. Cost of revenue as a percentage of revenue was 50.2% and 50.8% in the six months ended September 30, 2011 and 2010, respectively.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Billable Expenses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Billable expenses increased to $773.1 million from $715.5 million, or an 8.0% increase. This increase was primarily due to increases in subcontractor-related expenses of $51.2 million and travel and material expenses of $6.3 million. The increase in direct subcontractor expenses was attributable to increased use of subcontractors in proportion to revenue growth. The increased use of subcontractors was necessary to support growth on existing and new contracts and task orders during the six months ended September 30, 2011. Billable expenses as a percentage of revenue were 26.9% and 26.4% in the six months ended September 30, 2011 and 2010,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General and administrative expenses increased to $432.1 million from $418.3 million, or a 3.3% increase. This increase was primarily due to increases in salaries and salary-related benefits of $28.0 million associated with increased headcount and other expenses to support the increased scale of our business.</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increase in general and administrative expenses was partially offset by decreases of $16.5 million in incentive compensation and $9.9 million in acquisition-related compensation expenses. The decrease in incentive compensation was primarily due an amendment to the Officers’ compensation plan such that a portion of incentive compensation will be paid in stock-based compensation in July 2012, rather than cash, and will vest over a three year period, and lower incentive compensation accrual rates for fiscal year 2012. The decrease in acquisition-related compensation expense was primarily due to a decrease in expense recognition compared to the same prior year period due to the application of the accounting method for recognizing stock-based compensation, which requires higher expenses initially and declining expenses in subsequent years. General and administrative expenses as a percentage of revenue were 15.0% and 15.4% for the six months ended September 30, 2011 and 2010, respectively.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decreased to $36.4 million from $39.0 million, or a 6.6% decrease. This decrease was primarily due to a decrease of</w:t>
      </w:r>
    </w:p>
    <w:p>
      <w:pPr>
        <w:spacing w:after="0" w:line="3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$6.1 million in the amortization of our intangible assets, which includes below market rate leases and contract backlog that were recorded in connection with the acquisition, as described in our Annual Report, and are amortized based on contractual lease terms and projected future cash flows, respectively, thereby reflecting higher amortization expense initially and declining expense in subsequent periods. Intangible asset amortization expense decreased to $8.2 million for the six months ended September 30, 2011 compared to $14.3 million for the six months ended September 30, 2010.</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Interest expense decreased to $24.5 million from $79.2 million, or a 69.1% decrease. This decrease was primarily due to a decrease in contractually obligated interest expense as a result of the repayment of indebtedness outstanding under our mezzanine credit facility and the refinancing of our senior secured loan facilities at lower interest rates in February 2011.</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Interest is accrued on our $985.0 million outstanding debt principal balance as of September 30, 2011 at contractually specified rates ranging from 2.5% to 4.0%, and is generally required to be paid to our syndicate of lenders on a quarterly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Income tax expense increased to $44.4 million from $31.4 million, or a 41.6% increase. This increase was primarily due to an increase in year to date pre-tax income as compared to the same prior year period offset by the release of uncertain tax position reserves in the current quarter.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4" w:name="page25"/>
    <w:bookmarkEnd w:id="2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effective tax rate decreased to 26.0% from 42.2% primarily due to the release of uncertain tax position reserves in the current quarter.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historically been able to generate sufficient cash to fund our operations, debt payments, capital expenditures, and discretionary funding needs. We had $356.2 million and $192.6 million in cash and cash equivalents as of September 30, 2011 and March 31, 2011, respectively. However, due to fluctuations in cash flows and the growth in operations, it may be necessary from time to time in the future to borrow under our senior secured loan facilities to meet cash demands. We anticipate that cash provided by operating activities, cash and cash equivalents, and borrowing capacity under our revolving credit facility will be sufficient to meet our anticipated cash requirements for the next twelve months, which primarily include:</w:t>
      </w:r>
    </w:p>
    <w:p>
      <w:pPr>
        <w:spacing w:after="0" w:line="35"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debt totaled $985.0 million and $994.3 million as of September 30, 2011 and March 31, 2011, respectively. Our debt bears interest at specified rates and is held by a syndicate of lenders (see Note 8 in our interim consolidated financial statements).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senior secured loan facilities consist of a $500.0 million Tranche A term facility, or Tranche A Loans, and a $500.0 million Tranche B term facility, or Tranche B Loans. As of September 30, 2011, we had $487.5 million and $497.5 million principal outstanding under the Tranche A term facility and Tranche B term facility, respectively.</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From time to time we evaluate alternative uses for excess cash resources, including debt prepayments, payment of dividends, share repurchases or funding acquisitions.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We experienced a slight shift to fixed-price contracts year over year resulting in no material impact to operating cash flow. In addition, a number of our contracts may provide for performance-based payments, which allow us to bill and collect cash prior to completing the work.</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 plus-award-fee contracts. The total amount of our accounts receivable can vary significantly over time, but is generally sensitive to revenue levels. Total accounts receivable (billed and unbilled combined, net of allowance for doubtful accounts) days sales outstanding, which we calculate by dividing total accounts receivable by revenue per day during the relevant fiscal quarter, was 68 as of September 30, 2011 and March 31, 2011.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25" w:name="page26"/>
    <w:bookmarkEnd w:id="25"/>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9"/>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(Unaudited)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$ 177,117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170,885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(20,308)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(37,573)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(74,621)</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Total increase in cash and cash equivalents</w:t>
            </w: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$ 163,589</w:t>
            </w:r>
          </w:p>
        </w:tc>
        <w:tc>
          <w:tcPr>
            <w:tcW w:w="28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58,691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i w:val="1"/>
          <w:iCs w:val="1"/>
          <w:color w:val="auto"/>
        </w:rPr>
        <w:t>Net Cash from Operating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from operations is primarily affected by the overall profitability of our contracts, our ability to invoice and collect from clients in a timely manner,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our ability to manage our vendor payments. Net cash provided by operations was $177.1 million in the six months ended September 30, 2011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$170.9 million in the same prior year period, or a 3.6% increase. The increase in net cash provided by operations was primarily due to net income growth and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decrease in cash used for accrued compensation and benefits, partially offset by an increase in cash taxes paid.</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Cash from Investing Activities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Net cash used in investing activities was $20.3 million in the six months ended September 30, 2011 compared to $37.6 million in the same prior year period, or a 46% decrease. The decrease in net cash used in investing activities was primarily due to cash proceeds received of $23.3 million from the sale of our state and local transportation business. Capital expenditures also increased from $39.0 million to $43.6 million in the six months ended September 30, 2010 to 2011, respectively. This increase is attributable to investments in additional facility expansion and computer equipment to support the increase in headcount. We expect capital expenditures as a percentage of revenue in future years to be more comparable to historical levels.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Cash from Financing Activities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Net cash provided by financing activities was $6.8 million in the six months ended September 30, 2011 compared to net cash used in financing activities of $74.6 million in the same prior year period, or a 109.1% increase. The increase in net cash provided by financing activities was primarily due to the repayment of debt during the six months ended September 30,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maintain a senior secured credit agreement, as amended, with a syndicate of lenders. The senior secured credit agreement, as amended, provides for $1.0 billion in term loans ($500.0 million of Tranche A Loans and $500.0 million of Tranche B Loans) and a $275.0 million revolving credit facility.</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senior secured credit agreement, as amended, requires quarterly principal payments of 1.25% of the stated principal amount of Tranche A Loans, with annual incremental increases to 1.875%, 2.50%, 3.125%, and 16.25%, prior to the Tranche A Loans’ maturity date of February 3, 2016, and 0.25% of the stated principal amount of Tranche B Loans, with the remaining balance payable on the Tranche B Loans’ maturity date of August 3, 2017. The revolving credit facility matures on July 31, 2014, at which time any outstanding principal balance is due in full.</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our option, the interest rate on borrowings under the senior secured loan facilities may be based on the Eurocurrency rate or the alternate base rate, or ABR plus, in each case, an applicable margin, subject to the Eurocurrency rate and ABR being no lower than 1.00% or 2.00% respectively, in the case of Tranche B Loans. Subject to a leveraged based pricing grid, the applicable margins on Tranche A Loans range from 2.00% to 2.75% with respect to Eurocurrency loans, or 1.00% to 1.75% with respect to ABR loans. The applicable margins on Tranche B Loans are 3.00% with respect to Eurocurrency loans, or 4.00% with respect to the ABR loans, stepping down, in each case to 2.75% and 3.75%, respectively, when the total leverage ratio is less than or equal to 1.75 to 1.00. The revolving credit facility margin and commitment fee are subject to the leveraged based pricing grid, as set forth in the senior secured credit agreement, as amended. As of September 30, 2011, we were contingently liable under open standby letters of credit and bank guarantees issued by our banks in favor of third parties that total $2.2 million. These letters of credit and bank guarantees primarily relate to leases and support of insurance obligations. These instruments reduce our available borrowings under the revolving credit facility. As of September 30, 2011, we had $272.8 million of capacity available for additional borrowings under the revolving credit facility.</w:t>
      </w:r>
    </w:p>
    <w:p>
      <w:pPr>
        <w:spacing w:after="0" w:line="12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loans under the senior secured credit agreement, as amended, are secured by substantially all of our assets. The senior secured credit agreement, as amended, contains customary representations and warranties and customary affirmative and negative covenants. The negative covenants are limited to the following: limitations on indebtedness and liens, mergers, consolidations or amalgamations, or liquidations, wind-ups or dissolutions;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63" w:right="279" w:bottom="1440" w:gutter="0" w:footer="0" w:header="0"/>
        </w:sectPr>
      </w:pPr>
    </w:p>
    <w:bookmarkStart w:id="26" w:name="page27"/>
    <w:bookmarkEnd w:id="26"/>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dispositions of property; restricted payments; investments; transactions with affiliates; sale and lease back transactions; negative pledges; restrictive agreements; and certain other limitations or activities.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are required to meet the following financial covenants at each quarter end:</w:t>
      </w:r>
    </w:p>
    <w:p>
      <w:pPr>
        <w:spacing w:after="0" w:line="90" w:lineRule="exact"/>
        <w:rPr>
          <w:sz w:val="20"/>
          <w:szCs w:val="20"/>
          <w:color w:val="auto"/>
        </w:rPr>
      </w:pPr>
    </w:p>
    <w:p>
      <w:pPr>
        <w:ind w:left="900" w:right="60" w:hanging="325"/>
        <w:spacing w:after="0" w:line="25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Consolidated Total Leverage Ratio </w:t>
      </w:r>
      <w:r>
        <w:rPr>
          <w:rFonts w:ascii="Arial" w:cs="Arial" w:eastAsia="Arial" w:hAnsi="Arial"/>
          <w:sz w:val="18"/>
          <w:szCs w:val="18"/>
          <w:color w:val="auto"/>
        </w:rPr>
        <w:t>— the ratio of total leverage as of the last day of the quarter (defined as the aggregate principal amount of all</w:t>
      </w:r>
      <w:r>
        <w:rPr>
          <w:rFonts w:ascii="Arial" w:cs="Arial" w:eastAsia="Arial" w:hAnsi="Arial"/>
          <w:sz w:val="18"/>
          <w:szCs w:val="18"/>
          <w:i w:val="1"/>
          <w:iCs w:val="1"/>
          <w:color w:val="auto"/>
        </w:rPr>
        <w:t xml:space="preserve"> </w:t>
      </w:r>
      <w:r>
        <w:rPr>
          <w:rFonts w:ascii="Arial" w:cs="Arial" w:eastAsia="Arial" w:hAnsi="Arial"/>
          <w:sz w:val="18"/>
          <w:szCs w:val="18"/>
          <w:color w:val="auto"/>
        </w:rPr>
        <w:t>funded debt, less cash, cash equivalents and permitted liquid investments) to the preceding four quarters’ “Consolidated EBITDA” (as defined in the senior secured credit agreement, as amended). For the period ended September 30, 2011, this ratio was required to be less than or equal to 3.9 to 1.0 to comply with our senior secured loan facilities. As of September 30, 2011, we were in compliance with our consolidated total leverage ratio with a ratio of 1.75.</w:t>
      </w:r>
    </w:p>
    <w:p>
      <w:pPr>
        <w:spacing w:after="0" w:line="61" w:lineRule="exact"/>
        <w:rPr>
          <w:rFonts w:ascii="Arial" w:cs="Arial" w:eastAsia="Arial" w:hAnsi="Arial"/>
          <w:sz w:val="18"/>
          <w:szCs w:val="18"/>
          <w:color w:val="auto"/>
        </w:rPr>
      </w:pPr>
    </w:p>
    <w:p>
      <w:pPr>
        <w:ind w:left="900" w:right="160" w:hanging="325"/>
        <w:spacing w:after="0" w:line="294"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Consolidated Net Interest Coverage Ratio </w:t>
      </w:r>
      <w:r>
        <w:rPr>
          <w:rFonts w:ascii="Arial" w:cs="Arial" w:eastAsia="Arial" w:hAnsi="Arial"/>
          <w:sz w:val="16"/>
          <w:szCs w:val="16"/>
          <w:color w:val="auto"/>
        </w:rPr>
        <w:t>— the ratio of the preceding four quarters’ “Consolidated EBITDA” (as defined in the senior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agreement, as amended) to net interest expense for the preceding four quarters (defined as cash interest expense, less the sum of cash interest income and one-time financing fees (to the extent included in consolidated interest expense)). For the period ended September 30, 2011, this ratio was required to be greater than or equal to 3.0 to 1.0 to comply with our senior secured loan facilities. As of September 30, 2011, we were in compliance with our consolidated net interest coverage ratio with a ratio of 7.86.</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total outstanding debt balance is recorded net of unamortized discount of $5.1 million and $5.7 million as of September 30, 2011 and March 31, 2011,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stockholders’ equity amounted to $1,070.8 million as of September 30, 2011, an increase of $163.5 million compared to stockholders’ equity of $907.3 million as of March 31, 2011, primarily due to common stock issuances, stock option exercises, net income of $126.5 million in the six months ended September 30, 2011, and stock-based compensation expense of $18.4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2011, we did not have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costs billed to clients are not treated as capital expenses. Our capital expenditures for the six months ended September 30, 2011 and 2010 were $43.6 million and $39.0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15 to our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This Quarterly Report on Form 10-Q, or Quarterly Report, including information incorporated by reference into this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cost cutting and efficiency initiatives and other efforts to reduce U.S. government spending, which could reduce or delay funding for orders for services especially in the current political environment; delayed funding of our contracts due to delays in the completion of the U.S. government’s budgeting process and the use of continuing resolutions by the U.S. government to fund its operations or related changes in the pattern or timing of government funding and spending; any issue that compromises our relationships with the U.S. government or damages our professional reputation; changes in U.S. government spending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caused by competitors’ protests of major contract awards received by us; the loss of General Services Administration Multiple Award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7" w:name="page28"/>
    <w:bookmarkEnd w:id="27"/>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Contracts, or GSA schedules, or our position as prime contractor on government wide acquisition contact vehicles; changes in the mix of our contracts and our ability to accurately estimate or otherwise recover expenses, time and resources for our contracts; our ability to generate revenue under certain of our contracts; our ability to realize the full value of our backlog and the timing of our receipt of revenue under contracts included in backlog; changes in estimates used in recognizing revenue; any inability to attract, train or retain employees with the requisite skills, experience and security clearances; an inability to hire, assimilate and deploy enough employees to serve our clients under existing contracts; an inability to effectively and timely utilize our employees and professionals; failure by us or our employees to obtain and maintain necessary security clearances; the loss of members of senior management or failure to develop new leaders; misconduct or other improper activities from our employees or subcontractors; increased competition from other companies in our industry; failure to maintain strong relationships with other contractors; inherent uncertainties and potential adverse developments in legal proceedings, including litigation, audits, reviews and investigations, which may result in materially adverse judgments, settlements or other unfavorable outcomes; internal system or service failures and security breaches, including, but not limited to, those resulting from external cyber attacks on our network and internal systems; risks related to our indebtedness and credit facilities which contain financial and operating covenants; the adoption by the U.S. government of new laws, rules and regulations, such as those relating to organizational conflicts of interest issues; an inability to utilize existing or future tax benefits, including those related to our net operating losses and stock-based compensation expense, for any reason, including a change in law; variable purchasing patterns under U.S. government GSA schedules, blanket purchase agreements and indefinite delivery/indefinite quantity contracts; and other risks and factors described in Part II, “Item 1A. Risk Factors” of this Quarterly Report. 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2011 filed with the Securities and Exchange Commission on June 8, 2011.</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charging.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$40.0 million or have a reasonably estimated outcome within that range,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Six former officers and stockholders who had departed the firm prior to the acquisition, as described in our Annual Report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 Each of the suits arises out of the acquisition, as described in our Annual Report,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Two of these suits have been dismissed with all appeals exhausted and a third suit has been dismissed but the former stockholder has sought leave to re-plead in New York state court. Five of the remaining suits are pending in the United States District Court for the Southern District of New York, the sixth is pending in New York state court and the seventh is pending in the United States District Court for the Southern District of California. The aggregate alleged damages sought in these seven remaining suits is approximately $348.7 million ($291.5 million of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2011 filed with the Securities and Exchange Commission on June 8, 2011.</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3"/>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42"/>
        </w:trPr>
        <w:tc>
          <w:tcPr>
            <w:tcW w:w="78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5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166"/>
        </w:trPr>
        <w:tc>
          <w:tcPr>
            <w:tcW w:w="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Number</w:t>
            </w:r>
          </w:p>
        </w:tc>
        <w:tc>
          <w:tcPr>
            <w:tcW w:w="3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6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88"/>
              </w:rPr>
              <w:t>Description</w:t>
            </w:r>
          </w:p>
        </w:tc>
        <w:tc>
          <w:tcPr>
            <w:tcW w:w="4860" w:type="dxa"/>
            <w:vAlign w:val="bottom"/>
          </w:tcPr>
          <w:p>
            <w:pPr>
              <w:spacing w:after="0"/>
              <w:rPr>
                <w:sz w:val="14"/>
                <w:szCs w:val="14"/>
                <w:color w:val="auto"/>
              </w:rPr>
            </w:pPr>
          </w:p>
        </w:tc>
      </w:tr>
      <w:tr>
        <w:trPr>
          <w:trHeight w:val="316"/>
        </w:trPr>
        <w:tc>
          <w:tcPr>
            <w:tcW w:w="480" w:type="dxa"/>
            <w:vAlign w:val="bottom"/>
          </w:tcPr>
          <w:p>
            <w:pPr>
              <w:jc w:val="right"/>
              <w:ind w:right="75"/>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7"/>
              </w:rPr>
              <w:t>Corporation), Explorer Merger Sub Corporation and Booz &amp; Company Inc. (Incorporated by reference to Exhibit 2.1 to the Company’s</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Registration Statement on Form S-1</w:t>
            </w:r>
          </w:p>
        </w:tc>
      </w:tr>
      <w:tr>
        <w:trPr>
          <w:trHeight w:val="222"/>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(File No. 333-167645))</w:t>
            </w:r>
          </w:p>
        </w:tc>
      </w:tr>
      <w:tr>
        <w:trPr>
          <w:trHeight w:val="318"/>
        </w:trPr>
        <w:tc>
          <w:tcPr>
            <w:tcW w:w="480" w:type="dxa"/>
            <w:vAlign w:val="bottom"/>
          </w:tcPr>
          <w:p>
            <w:pPr>
              <w:jc w:val="right"/>
              <w:ind w:right="75"/>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2"/>
              </w:rPr>
              <w:t>Spin Off Agreement, dated as of May 15, 2008, by and among Booz Allen Hamilton Inc., Booz &amp; Company Holdings, LLC, Booz &amp; Company</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1"/>
              </w:rPr>
              <w:t>Inc., Booz &amp; Company Intermediate I Inc. and Booz &amp; Company Intermediate II Inc. (Incorporated by reference to Exhibit 2.2 to the Company’s</w:t>
            </w:r>
          </w:p>
        </w:tc>
      </w:tr>
      <w:tr>
        <w:trPr>
          <w:trHeight w:val="222"/>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Registration Statement on Form S-1 (File No. 333-167645))</w:t>
            </w:r>
          </w:p>
        </w:tc>
      </w:tr>
      <w:tr>
        <w:trPr>
          <w:trHeight w:val="318"/>
        </w:trPr>
        <w:tc>
          <w:tcPr>
            <w:tcW w:w="480" w:type="dxa"/>
            <w:vAlign w:val="bottom"/>
          </w:tcPr>
          <w:p>
            <w:pPr>
              <w:jc w:val="right"/>
              <w:ind w:right="75"/>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1"/>
              </w:rPr>
              <w:t>Amendment to the Agreement and Plan of Merger and the Spin Off Agreement, dated as of July 30, 2008, by and among Booz Allen Hamilton</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2"/>
              </w:rPr>
              <w:t>Inc., Booz Allen Hamilton Investor Corporation (formerly known as Explorer Investor Corporation), Explorer Merger Sub Corporation, Booz &amp;</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2"/>
              </w:rPr>
              <w:t>Company Holdings, LLC, Booz &amp; Company Inc., Booz &amp; Company Intermediate I Inc. and Booz &amp; Company Intermediate II Inc. (Incorporated</w:t>
            </w:r>
          </w:p>
        </w:tc>
      </w:tr>
      <w:tr>
        <w:trPr>
          <w:trHeight w:val="222"/>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by reference to Exhibit 2.3 to the Company’s Registration Statement on Form S-1 (File No. 333-167645))</w:t>
            </w:r>
          </w:p>
        </w:tc>
      </w:tr>
      <w:tr>
        <w:trPr>
          <w:trHeight w:val="318"/>
        </w:trPr>
        <w:tc>
          <w:tcPr>
            <w:tcW w:w="480" w:type="dxa"/>
            <w:vAlign w:val="bottom"/>
          </w:tcPr>
          <w:p>
            <w:pPr>
              <w:jc w:val="right"/>
              <w:ind w:right="75"/>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0"/>
              </w:rPr>
              <w:t>Second Amended and Restated Certificate of Incorporation of Booz Allen Hamilton Holding Corporation (Incorporated by reference to Exhibit 3.1</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to the Company’s Quarterly Report for the period ended December 31, 2010 on Form 10-Q</w:t>
            </w:r>
          </w:p>
        </w:tc>
      </w:tr>
      <w:tr>
        <w:trPr>
          <w:trHeight w:val="222"/>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(File No. 001-34972))</w:t>
            </w:r>
          </w:p>
        </w:tc>
      </w:tr>
      <w:tr>
        <w:trPr>
          <w:trHeight w:val="318"/>
        </w:trPr>
        <w:tc>
          <w:tcPr>
            <w:tcW w:w="480" w:type="dxa"/>
            <w:vAlign w:val="bottom"/>
          </w:tcPr>
          <w:p>
            <w:pPr>
              <w:jc w:val="right"/>
              <w:ind w:right="75"/>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0"/>
              </w:rPr>
              <w:t>Second Amended and Restated Bylaws of Booz Allen Hamilton Holding Corporation (Incorporated by reference to Exhibit 3.2 to the Company’s</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Quarterly Report for the period ended December 31, 2010 on Form 10-Q</w:t>
            </w:r>
          </w:p>
        </w:tc>
      </w:tr>
      <w:tr>
        <w:trPr>
          <w:trHeight w:val="222"/>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(File No. 001-34972))</w:t>
            </w:r>
          </w:p>
        </w:tc>
      </w:tr>
      <w:tr>
        <w:trPr>
          <w:trHeight w:val="318"/>
        </w:trPr>
        <w:tc>
          <w:tcPr>
            <w:tcW w:w="480" w:type="dxa"/>
            <w:vAlign w:val="bottom"/>
          </w:tcPr>
          <w:p>
            <w:pPr>
              <w:jc w:val="right"/>
              <w:ind w:right="75"/>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3"/>
              </w:rPr>
              <w:t>Guarantee and Collateral Agreement, among Booz Allen Hamilton Investor Corporation (formerly known as Explorer Investor Corporation),</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2"/>
              </w:rPr>
              <w:t>Explorer Merger Sub Corporation as the Initial Borrower, Booz Allen Hamilton Inc., as the Surviving Borrower, and the Subsidiary Guarantors</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0"/>
              </w:rPr>
              <w:t>party thereto, in favor of Credit Suisse, as Collateral Agent, dated as of July 31, 2008 (Incorporated by reference to Exhibit 4.1 to the Company’s</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Registration Statement on Form S-1</w:t>
            </w:r>
          </w:p>
        </w:tc>
      </w:tr>
      <w:tr>
        <w:trPr>
          <w:trHeight w:val="222"/>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(File No. 333-167645))</w:t>
            </w:r>
          </w:p>
        </w:tc>
      </w:tr>
      <w:tr>
        <w:trPr>
          <w:trHeight w:val="318"/>
        </w:trPr>
        <w:tc>
          <w:tcPr>
            <w:tcW w:w="480" w:type="dxa"/>
            <w:vAlign w:val="bottom"/>
          </w:tcPr>
          <w:p>
            <w:pPr>
              <w:jc w:val="right"/>
              <w:ind w:right="75"/>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2"/>
              </w:rPr>
              <w:t>Guarantee Agreement, among Booz Allen Hamilton Investor Corporation (formerly known as Explorer Investor Corporation), Explorer Merger</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1"/>
              </w:rPr>
              <w:t>Sub Corporation as the Initial Borrower, Booz Allen Hamilton Inc., as the Surviving Borrower, and the Subsidiary Guarantors party thereto, and</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5"/>
              </w:rPr>
              <w:t>Credit Suisse, as Administrative Agent, dated as of July 31, 2008 (Incorporated by reference to Exhibit 4.2 to the Company’s Registration</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Statement on Form S-1</w:t>
            </w:r>
          </w:p>
        </w:tc>
      </w:tr>
      <w:tr>
        <w:trPr>
          <w:trHeight w:val="222"/>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(File No. 333-167645))</w:t>
            </w:r>
          </w:p>
        </w:tc>
      </w:tr>
      <w:tr>
        <w:trPr>
          <w:trHeight w:val="318"/>
        </w:trPr>
        <w:tc>
          <w:tcPr>
            <w:tcW w:w="480" w:type="dxa"/>
            <w:vAlign w:val="bottom"/>
          </w:tcPr>
          <w:p>
            <w:pPr>
              <w:jc w:val="right"/>
              <w:ind w:right="75"/>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8"/>
              </w:rPr>
              <w:t>Amended and Restated Stockholders Agreement (Incorporated by reference to Exhibit 4.3 to the Company’s Quarterly Report for the period ended</w:t>
            </w:r>
          </w:p>
        </w:tc>
      </w:tr>
      <w:tr>
        <w:trPr>
          <w:trHeight w:val="222"/>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December 31, 2010 on Form 10-Q (File No. 001-34972))</w:t>
            </w:r>
          </w:p>
        </w:tc>
      </w:tr>
      <w:tr>
        <w:trPr>
          <w:trHeight w:val="318"/>
        </w:trPr>
        <w:tc>
          <w:tcPr>
            <w:tcW w:w="480" w:type="dxa"/>
            <w:vAlign w:val="bottom"/>
          </w:tcPr>
          <w:p>
            <w:pPr>
              <w:jc w:val="right"/>
              <w:ind w:right="75"/>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1"/>
              </w:rPr>
              <w:t>Irrevocable Proxy and Tag-Along Agreement (Incorporated by reference to Exhibit 4.4 to the Company’s Quarterly Report for the period ended</w:t>
            </w:r>
          </w:p>
        </w:tc>
      </w:tr>
      <w:tr>
        <w:trPr>
          <w:trHeight w:val="222"/>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December 31, 2010 on Form 10-Q (File No. 001-34972))</w:t>
            </w:r>
          </w:p>
        </w:tc>
      </w:tr>
      <w:tr>
        <w:trPr>
          <w:trHeight w:val="318"/>
        </w:trPr>
        <w:tc>
          <w:tcPr>
            <w:tcW w:w="480" w:type="dxa"/>
            <w:vAlign w:val="bottom"/>
          </w:tcPr>
          <w:p>
            <w:pPr>
              <w:jc w:val="right"/>
              <w:ind w:right="75"/>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Form of Stock Certificate (Incorporated by reference to Exhibit 4.5 to the Company’s Registration Statement on</w:t>
            </w:r>
          </w:p>
        </w:tc>
      </w:tr>
      <w:tr>
        <w:trPr>
          <w:trHeight w:val="222"/>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Form S-1 (File No. 333-167645))</w:t>
            </w:r>
          </w:p>
        </w:tc>
      </w:tr>
      <w:tr>
        <w:trPr>
          <w:trHeight w:val="318"/>
        </w:trPr>
        <w:tc>
          <w:tcPr>
            <w:tcW w:w="480" w:type="dxa"/>
            <w:vAlign w:val="bottom"/>
          </w:tcPr>
          <w:p>
            <w:pPr>
              <w:jc w:val="right"/>
              <w:ind w:right="75"/>
              <w:spacing w:after="0"/>
              <w:rPr>
                <w:sz w:val="20"/>
                <w:szCs w:val="20"/>
                <w:color w:val="auto"/>
              </w:rPr>
            </w:pPr>
            <w:r>
              <w:rPr>
                <w:rFonts w:ascii="Arial" w:cs="Arial" w:eastAsia="Arial" w:hAnsi="Arial"/>
                <w:sz w:val="18"/>
                <w:szCs w:val="18"/>
                <w:color w:val="auto"/>
                <w:w w:val="85"/>
              </w:rPr>
              <w:t>10.1</w:t>
            </w:r>
          </w:p>
        </w:tc>
        <w:tc>
          <w:tcPr>
            <w:tcW w:w="30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2"/>
              </w:rPr>
              <w:t>Credit Agreement, among Booz Allen Hamilton Investor Corporation (formerly known as Explorer Investor Corporation), Explorer Merger Sub</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1"/>
              </w:rPr>
              <w:t>Corporation, as the Initial Borrower, Booz Allen Hamilton Inc., as the Surviving Borrower, the several lenders from time to time parties thereto,</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1"/>
              </w:rPr>
              <w:t>Credit Suisse AG, Cayman Islands Branch (formerly known as Credit Suisse), as Administrative Agent and Collateral Agent, Credit Suisse AG,</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8"/>
              </w:rPr>
              <w:t>Cayman Islands Branch (formerly known as Credit Suisse), as Issuing Lender, Banc of America Securities LLC and Credit Suisse Securities (USA)</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9"/>
              </w:rPr>
              <w:t>LLC, as Joint Lead Arrangers, and Banc of America Securities LLC, Credit Suisse Securities (USA) LLC, Barclays Capital, Goldman Sachs Credit</w:t>
            </w:r>
          </w:p>
        </w:tc>
      </w:tr>
      <w:tr>
        <w:trPr>
          <w:trHeight w:val="216"/>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8"/>
              </w:rPr>
              <w:t>Partners L.P., and Morgan Stanley Senior Funding, Inc., as Joint Bookrunners and Sumitomo Mitsui Banking Corporation, as Co-Manager, dated as</w:t>
            </w:r>
          </w:p>
        </w:tc>
      </w:tr>
      <w:tr>
        <w:trPr>
          <w:trHeight w:val="222"/>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5"/>
              </w:rPr>
              <w:t>of July 31, 2008 (Incorporated by reference to Exhibit 10.1 to the Company’s Registration Statement on Form S-1 (File No. 333-167645))</w:t>
            </w:r>
          </w:p>
        </w:tc>
      </w:tr>
      <w:tr>
        <w:trPr>
          <w:trHeight w:val="318"/>
        </w:trPr>
        <w:tc>
          <w:tcPr>
            <w:tcW w:w="480" w:type="dxa"/>
            <w:vAlign w:val="bottom"/>
          </w:tcPr>
          <w:p>
            <w:pPr>
              <w:jc w:val="right"/>
              <w:ind w:right="75"/>
              <w:spacing w:after="0"/>
              <w:rPr>
                <w:sz w:val="20"/>
                <w:szCs w:val="20"/>
                <w:color w:val="auto"/>
              </w:rPr>
            </w:pPr>
            <w:r>
              <w:rPr>
                <w:rFonts w:ascii="Arial" w:cs="Arial" w:eastAsia="Arial" w:hAnsi="Arial"/>
                <w:sz w:val="18"/>
                <w:szCs w:val="18"/>
                <w:color w:val="auto"/>
                <w:w w:val="85"/>
              </w:rPr>
              <w:t>10.2</w:t>
            </w:r>
          </w:p>
        </w:tc>
        <w:tc>
          <w:tcPr>
            <w:tcW w:w="30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1"/>
              </w:rPr>
              <w:t>First Amendment to Credit Agreement, dated as of December 8, 2009 (Incorporated by reference to Exhibit 10.2 to the Company’s Registration</w:t>
            </w:r>
          </w:p>
        </w:tc>
      </w:tr>
      <w:tr>
        <w:trPr>
          <w:trHeight w:val="222"/>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Statement on Form S-1 (File No. 333-167645))</w:t>
            </w:r>
          </w:p>
        </w:tc>
      </w:tr>
      <w:tr>
        <w:trPr>
          <w:trHeight w:val="318"/>
        </w:trPr>
        <w:tc>
          <w:tcPr>
            <w:tcW w:w="480" w:type="dxa"/>
            <w:vAlign w:val="bottom"/>
          </w:tcPr>
          <w:p>
            <w:pPr>
              <w:jc w:val="right"/>
              <w:ind w:right="75"/>
              <w:spacing w:after="0"/>
              <w:rPr>
                <w:sz w:val="20"/>
                <w:szCs w:val="20"/>
                <w:color w:val="auto"/>
              </w:rPr>
            </w:pPr>
            <w:r>
              <w:rPr>
                <w:rFonts w:ascii="Arial" w:cs="Arial" w:eastAsia="Arial" w:hAnsi="Arial"/>
                <w:sz w:val="18"/>
                <w:szCs w:val="18"/>
                <w:color w:val="auto"/>
                <w:w w:val="85"/>
              </w:rPr>
              <w:t>10.3</w:t>
            </w:r>
          </w:p>
        </w:tc>
        <w:tc>
          <w:tcPr>
            <w:tcW w:w="30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9"/>
              </w:rPr>
              <w:t>Loan Agreement, Waiver and Amendment No. 2 to the Credit Agreement, dated as of February 3, 2011 (Incorporated by reference to Exhibit 10.1</w:t>
            </w:r>
          </w:p>
        </w:tc>
      </w:tr>
      <w:tr>
        <w:trPr>
          <w:trHeight w:val="222"/>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to the Company’s Periodic Report on Form 8-K (File No. 001-34972))</w:t>
            </w:r>
          </w:p>
        </w:tc>
      </w:tr>
      <w:tr>
        <w:trPr>
          <w:trHeight w:val="365"/>
        </w:trPr>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20" w:type="dxa"/>
            <w:vAlign w:val="bottom"/>
          </w:tcPr>
          <w:p>
            <w:pPr>
              <w:ind w:left="4840"/>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24"/>
                <w:szCs w:val="24"/>
                <w:color w:val="auto"/>
              </w:rPr>
            </w:pPr>
          </w:p>
        </w:tc>
        <w:tc>
          <w:tcPr>
            <w:tcW w:w="4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0" w:name="page31"/>
    <w:bookmarkEnd w:id="30"/>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20" w:right="100" w:hanging="809"/>
        <w:spacing w:after="0" w:line="332"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Second Amended and Restated Credit Agreement, as effected by the Loan Agreement, Waiver and Amendment No. 2 to the Credit Agreement, dated as of February 3, 2011 (Incorporated by reference to Exhibit 10.2 to the Company’s Periodic Report on Form 8-K (File No. 001-34972))</w:t>
      </w:r>
    </w:p>
    <w:p>
      <w:pPr>
        <w:spacing w:after="0" w:line="31" w:lineRule="exact"/>
        <w:rPr>
          <w:sz w:val="20"/>
          <w:szCs w:val="20"/>
          <w:color w:val="auto"/>
        </w:rPr>
      </w:pPr>
    </w:p>
    <w:p>
      <w:pPr>
        <w:jc w:val="both"/>
        <w:ind w:left="820" w:right="620" w:hanging="809"/>
        <w:spacing w:after="0" w:line="259"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Management Agreement, among Booz Allen Hamilton Holding Corporation (formerly known as Explorer Holding Corporation), Booz Allen Hamilton Inc., and TC Group V US, LLC, dated as of July 31, 2008 (Incorporated by reference to Exhibit 10.6 to the Company’s Registration Statement on Form S-1 (File No. 333-167645))</w:t>
      </w:r>
    </w:p>
    <w:p>
      <w:pPr>
        <w:spacing w:after="0" w:line="86" w:lineRule="exact"/>
        <w:rPr>
          <w:sz w:val="20"/>
          <w:szCs w:val="20"/>
          <w:color w:val="auto"/>
        </w:rPr>
      </w:pPr>
    </w:p>
    <w:p>
      <w:pPr>
        <w:ind w:left="820" w:right="680" w:hanging="809"/>
        <w:spacing w:after="0" w:line="268" w:lineRule="auto"/>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Amended and Restated Equity Incentive Plan of Booz Allen Hamilton Holding Corporation (Incorporated by reference to Exhibit 10.7 to the Company’s Registration Statement on Form S-1 (File No. 333-167645))</w:t>
      </w:r>
    </w:p>
    <w:p>
      <w:pPr>
        <w:spacing w:after="0" w:line="78" w:lineRule="exact"/>
        <w:rPr>
          <w:sz w:val="20"/>
          <w:szCs w:val="20"/>
          <w:color w:val="auto"/>
        </w:rPr>
      </w:pPr>
    </w:p>
    <w:p>
      <w:pPr>
        <w:ind w:left="820" w:right="240" w:hanging="809"/>
        <w:spacing w:after="0" w:line="268"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Booz Allen Hamilton Holding Corporation Officers’ Rollover Stock Plan (Incorporated by reference to Exhibit 10.8 to the Company’s Registration Statement on Form S-1 (File No. 333-167645))</w:t>
      </w:r>
    </w:p>
    <w:p>
      <w:pPr>
        <w:spacing w:after="0" w:line="78" w:lineRule="exact"/>
        <w:rPr>
          <w:sz w:val="20"/>
          <w:szCs w:val="20"/>
          <w:color w:val="auto"/>
        </w:rPr>
      </w:pPr>
    </w:p>
    <w:p>
      <w:pPr>
        <w:ind w:left="820" w:right="2380" w:hanging="809"/>
        <w:spacing w:after="0" w:line="268"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Booz Allen Hamilton Holding Corporation Rollover Stock Option Agreement (Incorporated by reference to Exhibit 10.9 to the Company’s Registration Statement on Form S-1 (File No. 333-167645))</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Form of Stock Option Agreement under the Equity Incentive Plan of Booz Allen Hamilton Holding Corporation (Incorporated by reference to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10.10 to the Company’s Registration Statement on Form S-1</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(File No. 333-167645))</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Form of Stock Option Agreement under the Equity Incentive Plan of Booz Allen Hamilton Holding Corporation (Incorporated by reference to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10.11 to the Company’s Registration Statement on Form S-1</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(File No. 333-167645))</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Form of Subscription Agreement (Incorporated by reference to Exhibit 10.12 to the Company’s Registration Statement on Form S-1 (File No. 333-</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167645))</w:t>
      </w:r>
    </w:p>
    <w:p>
      <w:pPr>
        <w:spacing w:after="0" w:line="111" w:lineRule="exact"/>
        <w:rPr>
          <w:sz w:val="20"/>
          <w:szCs w:val="20"/>
          <w:color w:val="auto"/>
        </w:rPr>
      </w:pPr>
    </w:p>
    <w:p>
      <w:pPr>
        <w:ind w:left="820" w:right="300" w:hanging="809"/>
        <w:spacing w:after="0" w:line="254" w:lineRule="auto"/>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Restricted Stock Agreement for Directors under the Equity Incentive Plan of Booz Allen Hamilton Holding Corporation (Incorporated by reference to Exhibit 10.13 to the Company’s Registration Statement on Form S-1</w:t>
      </w:r>
    </w:p>
    <w:p>
      <w:pPr>
        <w:ind w:left="820"/>
        <w:spacing w:after="0"/>
        <w:rPr>
          <w:sz w:val="20"/>
          <w:szCs w:val="20"/>
          <w:color w:val="auto"/>
        </w:rPr>
      </w:pPr>
      <w:r>
        <w:rPr>
          <w:rFonts w:ascii="Arial" w:cs="Arial" w:eastAsia="Arial" w:hAnsi="Arial"/>
          <w:sz w:val="18"/>
          <w:szCs w:val="18"/>
          <w:color w:val="auto"/>
        </w:rPr>
        <w:t>(File No. 333-167645))</w:t>
      </w:r>
    </w:p>
    <w:p>
      <w:pPr>
        <w:spacing w:after="0" w:line="111" w:lineRule="exact"/>
        <w:rPr>
          <w:sz w:val="20"/>
          <w:szCs w:val="20"/>
          <w:color w:val="auto"/>
        </w:rPr>
      </w:pPr>
    </w:p>
    <w:p>
      <w:pPr>
        <w:ind w:left="820" w:right="180" w:hanging="809"/>
        <w:spacing w:after="0" w:line="254"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Restricted Stock Agreement for Employees under the Equity Incentive Plan of Booz Allen Hamilton Holding Corporation (Incorporated by reference to Exhibit 10.14 to the Company’s Registration Statement on Form S-1</w:t>
      </w:r>
    </w:p>
    <w:p>
      <w:pPr>
        <w:ind w:left="820"/>
        <w:spacing w:after="0"/>
        <w:rPr>
          <w:sz w:val="20"/>
          <w:szCs w:val="20"/>
          <w:color w:val="auto"/>
        </w:rPr>
      </w:pPr>
      <w:r>
        <w:rPr>
          <w:rFonts w:ascii="Arial" w:cs="Arial" w:eastAsia="Arial" w:hAnsi="Arial"/>
          <w:sz w:val="18"/>
          <w:szCs w:val="18"/>
          <w:color w:val="auto"/>
        </w:rPr>
        <w:t>(File No. 333-167645))</w:t>
      </w:r>
    </w:p>
    <w:p>
      <w:pPr>
        <w:spacing w:after="0" w:line="111" w:lineRule="exact"/>
        <w:rPr>
          <w:sz w:val="20"/>
          <w:szCs w:val="20"/>
          <w:color w:val="auto"/>
        </w:rPr>
      </w:pPr>
    </w:p>
    <w:p>
      <w:pPr>
        <w:ind w:left="820" w:right="660" w:hanging="809"/>
        <w:spacing w:after="0" w:line="268"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Booz Allen Hamilton Holding Corporation Annual Incentive Plan (Incorporated by reference to Exhibit 10.15 to the Company’s Registration Statement on Form S-1 (File No. 333-167645))</w:t>
      </w:r>
    </w:p>
    <w:p>
      <w:pPr>
        <w:spacing w:after="0" w:line="78" w:lineRule="exact"/>
        <w:rPr>
          <w:sz w:val="20"/>
          <w:szCs w:val="20"/>
          <w:color w:val="auto"/>
        </w:rPr>
      </w:pPr>
    </w:p>
    <w:p>
      <w:pPr>
        <w:ind w:left="820" w:right="420" w:hanging="809"/>
        <w:spacing w:after="0" w:line="268" w:lineRule="auto"/>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Booz Allen Hamilton Holding Corporation Officers’ Retirement Plan (Incorporated by reference to Exhibit 10.16 to the Company’s Registration Statement on Form S-1 (File No. 333-167645))</w:t>
      </w:r>
    </w:p>
    <w:p>
      <w:pPr>
        <w:spacing w:after="0" w:line="78"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Officer’s Comprehensive Medical and Dental Plans (Incorporated by reference to Exhibit 10.17 to the Company’s Registration Statement on Form S-1 (File No. 333-167645))</w:t>
      </w:r>
    </w:p>
    <w:p>
      <w:pPr>
        <w:spacing w:after="0" w:line="78" w:lineRule="exact"/>
        <w:rPr>
          <w:sz w:val="20"/>
          <w:szCs w:val="20"/>
          <w:color w:val="auto"/>
        </w:rPr>
      </w:pPr>
    </w:p>
    <w:p>
      <w:pPr>
        <w:ind w:left="820" w:right="140" w:hanging="809"/>
        <w:spacing w:after="0" w:line="268" w:lineRule="auto"/>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Retired Officer’s Comprehensive Medical and Dental Plans (Incorporated by reference to Exhibit 10.18 to the Company’s Registration Statement on Form S-1 (File No. 333-167645))</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Excess ECAP Payment Program (Incorporated by reference to Exhibit 10.19 to the Company’s Registration Statement on Form S-1 (File No. 333-</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167645))</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Group Variable Universal Life Insurance (Incorporated by reference to Exhibit 10.20 to the Company’s Registration Statement on Form S-1 (File No.</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333-167645))</w:t>
      </w:r>
    </w:p>
    <w:p>
      <w:pPr>
        <w:spacing w:after="0" w:line="111" w:lineRule="exact"/>
        <w:rPr>
          <w:sz w:val="20"/>
          <w:szCs w:val="20"/>
          <w:color w:val="auto"/>
        </w:rPr>
      </w:pPr>
    </w:p>
    <w:p>
      <w:pPr>
        <w:ind w:left="820" w:right="240" w:hanging="809"/>
        <w:spacing w:after="0" w:line="268" w:lineRule="auto"/>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Group Personal Excess Liability Insurance (Incorporated by reference to Exhibit 10.21 to the Company’s Registration Statement on Form S-1 (File No. 333-167645))</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Annual Performance Program (Incorporated by reference to Exhibit 10.22 to the Company’s Registration Statement on Form S-1 (File No. 333-</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167645))</w:t>
      </w:r>
    </w:p>
    <w:p>
      <w:pPr>
        <w:spacing w:after="0" w:line="111" w:lineRule="exact"/>
        <w:rPr>
          <w:sz w:val="20"/>
          <w:szCs w:val="20"/>
          <w:color w:val="auto"/>
        </w:rPr>
      </w:pPr>
    </w:p>
    <w:p>
      <w:pPr>
        <w:ind w:left="820" w:right="200" w:hanging="809"/>
        <w:spacing w:after="0" w:line="268" w:lineRule="auto"/>
        <w:tabs>
          <w:tab w:leader="none" w:pos="8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Booz Allen Hamilton Holding Corporation Director and Officer Indemnification Agreement (Incorporated by reference to Exhibit 10.23 to the Company’s Registration Statement on Form S-1 (File No. 333-167645))</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Form of Stock Option Agreement under the Equity Incentive Plan of Booz Allen Hamilton Holding Corporation (Incorporated by reference to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10.23 to the Company’s Annual Report for the year ended March 31, 2011 on</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Form 10-K (File No. 001-34972))</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Officer Transition Policy (Incorporated by reference to Exhibit 10.24 to the Company’s Annual Report for the year ended March 31, 2011 on Form</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10-K (File No. 001-34972))</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the Chief Executive Officer*</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the Chief Financial Officer*</w:t>
      </w:r>
    </w:p>
    <w:p>
      <w:pPr>
        <w:spacing w:after="0" w:line="117" w:lineRule="exact"/>
        <w:rPr>
          <w:sz w:val="20"/>
          <w:szCs w:val="20"/>
          <w:color w:val="auto"/>
        </w:rPr>
      </w:pPr>
    </w:p>
    <w:p>
      <w:pPr>
        <w:ind w:left="820" w:right="220" w:hanging="809"/>
        <w:spacing w:after="0" w:line="268" w:lineRule="auto"/>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required by Rule 13a-14(b) or Rule 15d-14(b) and Section 1350 of Chapter 63 of Title 18 of the United States Code (18 U.S.C. 1350)*</w:t>
      </w:r>
    </w:p>
    <w:p>
      <w:pPr>
        <w:spacing w:after="0" w:line="78" w:lineRule="exact"/>
        <w:rPr>
          <w:sz w:val="20"/>
          <w:szCs w:val="20"/>
          <w:color w:val="auto"/>
        </w:rPr>
      </w:pPr>
    </w:p>
    <w:p>
      <w:pPr>
        <w:ind w:left="820" w:right="280" w:hanging="809"/>
        <w:spacing w:after="0" w:line="268" w:lineRule="auto"/>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required by Rule 13a-14(b) or Rule 15d-14(b) and Section 1350 of Chapter 63 of Title 18 of the United States Code (18 U.S.C. 1350)*</w:t>
      </w:r>
    </w:p>
    <w:p>
      <w:pPr>
        <w:spacing w:after="0" w:line="78" w:lineRule="exact"/>
        <w:rPr>
          <w:sz w:val="20"/>
          <w:szCs w:val="20"/>
          <w:color w:val="auto"/>
        </w:rPr>
      </w:pPr>
    </w:p>
    <w:p>
      <w:pPr>
        <w:ind w:left="820" w:right="20" w:hanging="812"/>
        <w:spacing w:after="0" w:line="318" w:lineRule="auto"/>
        <w:tabs>
          <w:tab w:leader="none" w:pos="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following materials from Booz Allen Hamilton Holding Corporation’s Quarterly Report on Form 10-Q for the three months ended September 30, 2011, formatted in XBRL (eXtensible Business Reporting Language): (i) Condensed Consolidated Statements of Operations for the three and six months ended September 30, 2011 and 2010; (ii) Condensed Consolidated Statements of Comprehensive Income for the three and six months ended September 30, 2011 and 2010; (iii) Condensed Consolidated Balance Sheets at September 30, 2011 and March 31, 2011; (iv) Condensed Consolidated Statements of Cash Flows for the six months ended September 30, 2011 and 2010; and (v)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15" w:lineRule="exact"/>
        <w:rPr>
          <w:sz w:val="20"/>
          <w:szCs w:val="20"/>
          <w:color w:val="auto"/>
        </w:rPr>
      </w:pPr>
    </w:p>
    <w:p>
      <w:pPr>
        <w:ind w:left="460" w:right="240" w:hanging="452"/>
        <w:spacing w:after="0" w:line="361"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w:t>
      </w:r>
    </w:p>
    <w:p>
      <w:pPr>
        <w:sectPr>
          <w:pgSz w:w="11900" w:h="16928" w:orient="portrait"/>
          <w:cols w:equalWidth="0" w:num="1">
            <w:col w:w="11400"/>
          </w:cols>
          <w:pgMar w:left="240" w:top="388" w:right="259" w:bottom="0" w:gutter="0" w:footer="0" w:header="0"/>
        </w:sectPr>
      </w:pPr>
    </w:p>
    <w:bookmarkStart w:id="31" w:name="page32"/>
    <w:bookmarkEnd w:id="31"/>
    <w:p>
      <w:pPr>
        <w:spacing w:after="0"/>
        <w:rPr>
          <w:sz w:val="20"/>
          <w:szCs w:val="20"/>
          <w:color w:val="auto"/>
        </w:rPr>
      </w:pPr>
      <w:r>
        <w:rPr>
          <w:rFonts w:ascii="Arial" w:cs="Arial" w:eastAsia="Arial" w:hAnsi="Arial"/>
          <w:sz w:val="15"/>
          <w:szCs w:val="15"/>
          <w:color w:val="auto"/>
        </w:rPr>
        <w:t>and Exchange Act of 1934, as amended, and otherwise are not subject to liability under those sections.</w:t>
      </w:r>
    </w:p>
    <w:p>
      <w:pPr>
        <w:sectPr>
          <w:pgSz w:w="11900" w:h="16838" w:orient="portrait"/>
          <w:cols w:equalWidth="0" w:num="1">
            <w:col w:w="9759"/>
          </w:cols>
          <w:pgMar w:left="700" w:top="131" w:right="1440" w:bottom="1440" w:gutter="0" w:footer="0" w:header="0"/>
        </w:sectPr>
      </w:pPr>
    </w:p>
    <w:p>
      <w:pPr>
        <w:spacing w:after="0" w:line="19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759"/>
          </w:cols>
          <w:pgMar w:left="700" w:top="131" w:right="1440" w:bottom="1440" w:gutter="0" w:footer="0" w:header="0"/>
          <w:type w:val="continuous"/>
        </w:sectPr>
      </w:pPr>
    </w:p>
    <w:bookmarkStart w:id="32" w:name="page33"/>
    <w:bookmarkEnd w:id="32"/>
    <w:p>
      <w:pPr>
        <w:jc w:val="center"/>
        <w:ind w:right="-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92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15"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900" w:val="left"/>
          <w:tab w:leader="none" w:pos="7600" w:val="left"/>
          <w:tab w:leader="none" w:pos="7960" w:val="left"/>
        </w:tabs>
        <w:rPr>
          <w:sz w:val="20"/>
          <w:szCs w:val="20"/>
          <w:color w:val="auto"/>
        </w:rPr>
      </w:pPr>
      <w:r>
        <w:rPr>
          <w:rFonts w:ascii="Arial" w:cs="Arial" w:eastAsia="Arial" w:hAnsi="Arial"/>
          <w:sz w:val="18"/>
          <w:szCs w:val="18"/>
          <w:color w:val="auto"/>
        </w:rPr>
        <w:t>Date: November 3,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S</w:t>
      </w:r>
      <w:r>
        <w:rPr>
          <w:rFonts w:ascii="Arial" w:cs="Arial" w:eastAsia="Arial" w:hAnsi="Arial"/>
          <w:sz w:val="14"/>
          <w:szCs w:val="14"/>
          <w:color w:val="auto"/>
        </w:rPr>
        <w:t>AMUEL</w:t>
      </w:r>
      <w:r>
        <w:rPr>
          <w:rFonts w:ascii="Arial" w:cs="Arial" w:eastAsia="Arial" w:hAnsi="Arial"/>
          <w:sz w:val="18"/>
          <w:szCs w:val="18"/>
          <w:color w:val="auto"/>
        </w:rPr>
        <w:t xml:space="preserve"> R. S</w:t>
      </w:r>
      <w:r>
        <w:rPr>
          <w:rFonts w:ascii="Arial" w:cs="Arial" w:eastAsia="Arial" w:hAnsi="Arial"/>
          <w:sz w:val="14"/>
          <w:szCs w:val="14"/>
          <w:color w:val="auto"/>
        </w:rPr>
        <w:t>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280"/>
        <w:spacing w:after="0"/>
        <w:rPr>
          <w:sz w:val="20"/>
          <w:szCs w:val="20"/>
          <w:color w:val="auto"/>
        </w:rPr>
      </w:pPr>
      <w:r>
        <w:rPr>
          <w:rFonts w:ascii="Arial" w:cs="Arial" w:eastAsia="Arial" w:hAnsi="Arial"/>
          <w:sz w:val="14"/>
          <w:szCs w:val="14"/>
          <w:b w:val="1"/>
          <w:bCs w:val="1"/>
          <w:color w:val="auto"/>
        </w:rPr>
        <w:t>Samuel R. Strickland</w:t>
      </w:r>
    </w:p>
    <w:p>
      <w:pPr>
        <w:jc w:val="center"/>
        <w:ind w:left="6280"/>
        <w:spacing w:after="0" w:line="223" w:lineRule="auto"/>
        <w:rPr>
          <w:sz w:val="20"/>
          <w:szCs w:val="20"/>
          <w:color w:val="auto"/>
        </w:rPr>
      </w:pPr>
      <w:r>
        <w:rPr>
          <w:rFonts w:ascii="Arial" w:cs="Arial" w:eastAsia="Arial" w:hAnsi="Arial"/>
          <w:sz w:val="14"/>
          <w:szCs w:val="14"/>
          <w:b w:val="1"/>
          <w:bCs w:val="1"/>
          <w:color w:val="auto"/>
        </w:rPr>
        <w:t>Executive Vice President</w:t>
      </w:r>
    </w:p>
    <w:p>
      <w:pPr>
        <w:spacing w:after="0" w:line="1" w:lineRule="exact"/>
        <w:rPr>
          <w:sz w:val="20"/>
          <w:szCs w:val="20"/>
          <w:color w:val="auto"/>
        </w:rPr>
      </w:pPr>
    </w:p>
    <w:p>
      <w:pPr>
        <w:jc w:val="center"/>
        <w:ind w:left="6280"/>
        <w:spacing w:after="0"/>
        <w:rPr>
          <w:sz w:val="20"/>
          <w:szCs w:val="20"/>
          <w:color w:val="auto"/>
        </w:rPr>
      </w:pPr>
      <w:r>
        <w:rPr>
          <w:rFonts w:ascii="Arial" w:cs="Arial" w:eastAsia="Arial" w:hAnsi="Arial"/>
          <w:sz w:val="12"/>
          <w:szCs w:val="12"/>
          <w:b w:val="1"/>
          <w:bCs w:val="1"/>
          <w:color w:val="auto"/>
        </w:rPr>
        <w:t>Chief Financial Officer, Chief Administrative Officer and Director</w:t>
      </w:r>
    </w:p>
    <w:p>
      <w:pPr>
        <w:spacing w:after="0" w:line="10"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40"/>
          </w:cols>
          <w:pgMar w:left="240" w:top="274" w:right="8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Ralph W. Shrader, certify that:</w:t>
      </w:r>
    </w:p>
    <w:p>
      <w:pPr>
        <w:spacing w:after="0" w:line="17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2" w:lineRule="exact"/>
        <w:rPr>
          <w:sz w:val="20"/>
          <w:szCs w:val="20"/>
          <w:color w:val="auto"/>
        </w:rPr>
      </w:pPr>
    </w:p>
    <w:p>
      <w:pPr>
        <w:ind w:right="140" w:firstLine="8"/>
        <w:spacing w:after="0" w:line="259" w:lineRule="auto"/>
        <w:tabs>
          <w:tab w:leader="none" w:pos="2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300" w:firstLine="8"/>
        <w:spacing w:after="0" w:line="268" w:lineRule="auto"/>
        <w:tabs>
          <w:tab w:leader="none" w:pos="2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1" w:lineRule="exact"/>
        <w:rPr>
          <w:rFonts w:ascii="Arial" w:cs="Arial" w:eastAsia="Arial" w:hAnsi="Arial"/>
          <w:sz w:val="18"/>
          <w:szCs w:val="18"/>
          <w:color w:val="auto"/>
        </w:rPr>
      </w:pPr>
    </w:p>
    <w:p>
      <w:pPr>
        <w:ind w:right="240" w:firstLine="8"/>
        <w:spacing w:after="0" w:line="332"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85" w:lineRule="exact"/>
        <w:rPr>
          <w:sz w:val="20"/>
          <w:szCs w:val="20"/>
          <w:color w:val="auto"/>
        </w:rPr>
      </w:pPr>
    </w:p>
    <w:p>
      <w:pPr>
        <w:ind w:right="80" w:firstLine="8"/>
        <w:spacing w:after="0" w:line="268" w:lineRule="auto"/>
        <w:tabs>
          <w:tab w:leader="none" w:pos="1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32" w:lineRule="exact"/>
        <w:rPr>
          <w:sz w:val="20"/>
          <w:szCs w:val="20"/>
          <w:color w:val="auto"/>
        </w:rPr>
      </w:pPr>
    </w:p>
    <w:p>
      <w:pPr>
        <w:ind w:right="480" w:firstLine="8"/>
        <w:spacing w:after="0" w:line="268" w:lineRule="auto"/>
        <w:tabs>
          <w:tab w:leader="none" w:pos="2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131"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Date: November 3, 2011</w:t>
            </w:r>
          </w:p>
        </w:tc>
        <w:tc>
          <w:tcPr>
            <w:tcW w:w="7740" w:type="dxa"/>
            <w:vAlign w:val="bottom"/>
            <w:gridSpan w:val="2"/>
          </w:tcPr>
          <w:p>
            <w:pPr>
              <w:ind w:left="2240"/>
              <w:spacing w:after="0"/>
              <w:rPr>
                <w:sz w:val="20"/>
                <w:szCs w:val="20"/>
                <w:color w:val="auto"/>
              </w:rPr>
            </w:pPr>
            <w:r>
              <w:rPr>
                <w:rFonts w:ascii="Arial" w:cs="Arial" w:eastAsia="Arial" w:hAnsi="Arial"/>
                <w:sz w:val="18"/>
                <w:szCs w:val="18"/>
                <w:color w:val="auto"/>
              </w:rPr>
              <w:t>By:  /s/ Ralph W. Shrader</w:t>
            </w:r>
          </w:p>
        </w:tc>
      </w:tr>
      <w:tr>
        <w:trPr>
          <w:trHeight w:val="202"/>
        </w:trPr>
        <w:tc>
          <w:tcPr>
            <w:tcW w:w="36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Ralph W. Shrader</w:t>
            </w:r>
          </w:p>
        </w:tc>
      </w:tr>
      <w:tr>
        <w:trPr>
          <w:trHeight w:val="216"/>
        </w:trPr>
        <w:tc>
          <w:tcPr>
            <w:tcW w:w="3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Chairman of the Board</w:t>
            </w:r>
          </w:p>
        </w:tc>
      </w:tr>
      <w:tr>
        <w:trPr>
          <w:trHeight w:val="216"/>
        </w:trPr>
        <w:tc>
          <w:tcPr>
            <w:tcW w:w="3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36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378"/>
        </w:trPr>
        <w:tc>
          <w:tcPr>
            <w:tcW w:w="3680" w:type="dxa"/>
            <w:vAlign w:val="bottom"/>
          </w:tcPr>
          <w:p>
            <w:pPr>
              <w:spacing w:after="0"/>
              <w:rPr>
                <w:sz w:val="24"/>
                <w:szCs w:val="24"/>
                <w:color w:val="auto"/>
              </w:rPr>
            </w:pPr>
          </w:p>
        </w:tc>
        <w:tc>
          <w:tcPr>
            <w:tcW w:w="250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Samuel R. Strickland, certify that:</w:t>
      </w:r>
    </w:p>
    <w:p>
      <w:pPr>
        <w:spacing w:after="0" w:line="17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68"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2" w:lineRule="exact"/>
        <w:rPr>
          <w:sz w:val="20"/>
          <w:szCs w:val="20"/>
          <w:color w:val="auto"/>
        </w:rPr>
      </w:pPr>
    </w:p>
    <w:p>
      <w:pPr>
        <w:ind w:right="140" w:firstLine="8"/>
        <w:spacing w:after="0" w:line="259" w:lineRule="auto"/>
        <w:tabs>
          <w:tab w:leader="none" w:pos="2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300" w:firstLine="8"/>
        <w:spacing w:after="0" w:line="268" w:lineRule="auto"/>
        <w:tabs>
          <w:tab w:leader="none" w:pos="2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1" w:lineRule="exact"/>
        <w:rPr>
          <w:rFonts w:ascii="Arial" w:cs="Arial" w:eastAsia="Arial" w:hAnsi="Arial"/>
          <w:sz w:val="18"/>
          <w:szCs w:val="18"/>
          <w:color w:val="auto"/>
        </w:rPr>
      </w:pPr>
    </w:p>
    <w:p>
      <w:pPr>
        <w:ind w:right="240" w:firstLine="8"/>
        <w:spacing w:after="0" w:line="332" w:lineRule="auto"/>
        <w:tabs>
          <w:tab w:leader="none" w:pos="2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85" w:lineRule="exact"/>
        <w:rPr>
          <w:sz w:val="20"/>
          <w:szCs w:val="20"/>
          <w:color w:val="auto"/>
        </w:rPr>
      </w:pPr>
    </w:p>
    <w:p>
      <w:pPr>
        <w:ind w:right="80" w:firstLine="8"/>
        <w:spacing w:after="0" w:line="268" w:lineRule="auto"/>
        <w:tabs>
          <w:tab w:leader="none" w:pos="1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32" w:lineRule="exact"/>
        <w:rPr>
          <w:sz w:val="20"/>
          <w:szCs w:val="20"/>
          <w:color w:val="auto"/>
        </w:rPr>
      </w:pPr>
    </w:p>
    <w:p>
      <w:pPr>
        <w:ind w:right="480" w:firstLine="8"/>
        <w:spacing w:after="0" w:line="268" w:lineRule="auto"/>
        <w:tabs>
          <w:tab w:leader="none" w:pos="2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131"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Date: November 3, 2011</w:t>
            </w:r>
          </w:p>
        </w:tc>
        <w:tc>
          <w:tcPr>
            <w:tcW w:w="7740" w:type="dxa"/>
            <w:vAlign w:val="bottom"/>
            <w:gridSpan w:val="2"/>
          </w:tcPr>
          <w:p>
            <w:pPr>
              <w:ind w:left="2240"/>
              <w:spacing w:after="0"/>
              <w:rPr>
                <w:sz w:val="20"/>
                <w:szCs w:val="20"/>
                <w:color w:val="auto"/>
              </w:rPr>
            </w:pPr>
            <w:r>
              <w:rPr>
                <w:rFonts w:ascii="Arial" w:cs="Arial" w:eastAsia="Arial" w:hAnsi="Arial"/>
                <w:sz w:val="18"/>
                <w:szCs w:val="18"/>
                <w:color w:val="auto"/>
              </w:rPr>
              <w:t>By:  /s/ Samuel R. Strickland</w:t>
            </w:r>
          </w:p>
        </w:tc>
      </w:tr>
      <w:tr>
        <w:trPr>
          <w:trHeight w:val="202"/>
        </w:trPr>
        <w:tc>
          <w:tcPr>
            <w:tcW w:w="36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Samuel R. Strickland</w:t>
            </w:r>
          </w:p>
        </w:tc>
      </w:tr>
      <w:tr>
        <w:trPr>
          <w:trHeight w:val="216"/>
        </w:trPr>
        <w:tc>
          <w:tcPr>
            <w:tcW w:w="3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16"/>
        </w:trPr>
        <w:tc>
          <w:tcPr>
            <w:tcW w:w="3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 Chief Administrative Officer and Director</w:t>
            </w:r>
          </w:p>
        </w:tc>
      </w:tr>
      <w:tr>
        <w:trPr>
          <w:trHeight w:val="222"/>
        </w:trPr>
        <w:tc>
          <w:tcPr>
            <w:tcW w:w="36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378"/>
        </w:trPr>
        <w:tc>
          <w:tcPr>
            <w:tcW w:w="3680" w:type="dxa"/>
            <w:vAlign w:val="bottom"/>
          </w:tcPr>
          <w:p>
            <w:pPr>
              <w:spacing w:after="0"/>
              <w:rPr>
                <w:sz w:val="24"/>
                <w:szCs w:val="24"/>
                <w:color w:val="auto"/>
              </w:rPr>
            </w:pPr>
          </w:p>
        </w:tc>
        <w:tc>
          <w:tcPr>
            <w:tcW w:w="2500" w:type="dxa"/>
            <w:vAlign w:val="bottom"/>
          </w:tcPr>
          <w:p>
            <w:pPr>
              <w:jc w:val="right"/>
              <w:ind w:right="292"/>
              <w:spacing w:after="0"/>
              <w:rPr>
                <w:sz w:val="20"/>
                <w:szCs w:val="20"/>
                <w:color w:val="auto"/>
              </w:rPr>
            </w:pPr>
            <w:r>
              <w:rPr>
                <w:rFonts w:ascii="Arial" w:cs="Arial" w:eastAsia="Arial" w:hAnsi="Arial"/>
                <w:sz w:val="18"/>
                <w:szCs w:val="18"/>
                <w:color w:val="auto"/>
              </w:rPr>
              <w:t>33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2011, as filed with the Securities and Exchange Commission on the date hereof (the “Report”), the undersigned Chairman of the Board and President and Chief Executive Officer of the Company certifies, to the best of his knowledge and belief pursuant to 18 U.S.C. Section 1350, as adopted pursuant to Section 906 of the Sarbanes-Oxley Act of 2002, that:</w:t>
      </w:r>
    </w:p>
    <w:p>
      <w:pPr>
        <w:spacing w:after="0" w:line="143"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Date: November 3, 2011</w:t>
            </w:r>
          </w:p>
        </w:tc>
        <w:tc>
          <w:tcPr>
            <w:tcW w:w="7580" w:type="dxa"/>
            <w:vAlign w:val="bottom"/>
            <w:gridSpan w:val="2"/>
          </w:tcPr>
          <w:p>
            <w:pPr>
              <w:ind w:left="2080"/>
              <w:spacing w:after="0"/>
              <w:rPr>
                <w:sz w:val="20"/>
                <w:szCs w:val="20"/>
                <w:color w:val="auto"/>
              </w:rPr>
            </w:pPr>
            <w:r>
              <w:rPr>
                <w:rFonts w:ascii="Arial" w:cs="Arial" w:eastAsia="Arial" w:hAnsi="Arial"/>
                <w:sz w:val="18"/>
                <w:szCs w:val="18"/>
                <w:color w:val="auto"/>
              </w:rPr>
              <w:t>By:  /s/ Ralph W. Shrader</w:t>
            </w:r>
          </w:p>
        </w:tc>
      </w:tr>
      <w:tr>
        <w:trPr>
          <w:trHeight w:val="202"/>
        </w:trPr>
        <w:tc>
          <w:tcPr>
            <w:tcW w:w="38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Ralph W. Shrader</w:t>
            </w:r>
          </w:p>
        </w:tc>
      </w:tr>
      <w:tr>
        <w:trPr>
          <w:trHeight w:val="216"/>
        </w:trPr>
        <w:tc>
          <w:tcPr>
            <w:tcW w:w="38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Chairman of the Board</w:t>
            </w:r>
          </w:p>
        </w:tc>
      </w:tr>
      <w:tr>
        <w:trPr>
          <w:trHeight w:val="216"/>
        </w:trPr>
        <w:tc>
          <w:tcPr>
            <w:tcW w:w="38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3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16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2011, as filed with the Securities and Exchange Commission on the date hereof (the “Report”), the undersigned Executive Vice President and Chief Financial Officer, Chief Administrative Officer and Director of the Company certifies, to the best of his knowledge and belief pursuant to 18 U.S.C. Section 1350, as adopted pursuant to Section 906 of the Sarbanes-Oxley Act of 2002, that:</w:t>
      </w:r>
    </w:p>
    <w:p>
      <w:pPr>
        <w:spacing w:after="0" w:line="143"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Date: November 3, 2011</w:t>
            </w:r>
          </w:p>
        </w:tc>
        <w:tc>
          <w:tcPr>
            <w:tcW w:w="7580" w:type="dxa"/>
            <w:vAlign w:val="bottom"/>
            <w:gridSpan w:val="2"/>
          </w:tcPr>
          <w:p>
            <w:pPr>
              <w:ind w:left="2080"/>
              <w:spacing w:after="0"/>
              <w:rPr>
                <w:sz w:val="20"/>
                <w:szCs w:val="20"/>
                <w:color w:val="auto"/>
              </w:rPr>
            </w:pPr>
            <w:r>
              <w:rPr>
                <w:rFonts w:ascii="Arial" w:cs="Arial" w:eastAsia="Arial" w:hAnsi="Arial"/>
                <w:sz w:val="18"/>
                <w:szCs w:val="18"/>
                <w:color w:val="auto"/>
              </w:rPr>
              <w:t>By:  /s/ Samuel R. Strickland</w:t>
            </w:r>
          </w:p>
        </w:tc>
      </w:tr>
      <w:tr>
        <w:trPr>
          <w:trHeight w:val="202"/>
        </w:trPr>
        <w:tc>
          <w:tcPr>
            <w:tcW w:w="38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Samuel R. Strickland</w:t>
            </w:r>
          </w:p>
        </w:tc>
      </w:tr>
      <w:tr>
        <w:trPr>
          <w:trHeight w:val="216"/>
        </w:trPr>
        <w:tc>
          <w:tcPr>
            <w:tcW w:w="38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16"/>
        </w:trPr>
        <w:tc>
          <w:tcPr>
            <w:tcW w:w="38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 Chief Administrative Officer and Director</w:t>
            </w:r>
          </w:p>
        </w:tc>
      </w:tr>
      <w:tr>
        <w:trPr>
          <w:trHeight w:val="222"/>
        </w:trPr>
        <w:tc>
          <w:tcPr>
            <w:tcW w:w="3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6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4"/>
    </w:lvl>
  </w:abstractNum>
  <w:abstractNum w:abstractNumId="4">
    <w:nsid w:val="25E45D32"/>
    <w:multiLevelType w:val="hybridMultilevel"/>
    <w:lvl w:ilvl="0">
      <w:lvlJc w:val="left"/>
      <w:lvlText w:val="%1."/>
      <w:numFmt w:val="decimal"/>
      <w:start w:val="10"/>
    </w:lvl>
  </w:abstractNum>
  <w:abstractNum w:abstractNumId="5">
    <w:nsid w:val="519B500D"/>
    <w:multiLevelType w:val="hybridMultilevel"/>
    <w:lvl w:ilvl="0">
      <w:lvlJc w:val="left"/>
      <w:lvlText w:val="%1."/>
      <w:numFmt w:val="decimal"/>
      <w:start w:val="11"/>
    </w:lvl>
  </w:abstractNum>
  <w:abstractNum w:abstractNumId="6">
    <w:nsid w:val="431BD7B7"/>
    <w:multiLevelType w:val="hybridMultilevel"/>
    <w:lvl w:ilvl="0">
      <w:lvlJc w:val="left"/>
      <w:lvlText w:val="•"/>
      <w:numFmt w:val="bullet"/>
      <w:start w:val="1"/>
    </w:lvl>
    <w:lvl w:ilvl="1">
      <w:lvlJc w:val="left"/>
      <w:lvlText w:val="(%2)"/>
      <w:numFmt w:val="lowerRoman"/>
      <w:start w:val="2"/>
    </w:lvl>
  </w:abstractNum>
  <w:abstractNum w:abstractNumId="7">
    <w:nsid w:val="3F2DBA31"/>
    <w:multiLevelType w:val="hybridMultilevel"/>
    <w:lvl w:ilvl="0">
      <w:lvlJc w:val="left"/>
      <w:lvlText w:val="•"/>
      <w:numFmt w:val="bullet"/>
      <w:start w:val="1"/>
    </w:lvl>
    <w:lvl w:ilvl="1">
      <w:lvlJc w:val="left"/>
      <w:lvlText w:val="(%2)"/>
      <w:numFmt w:val="lowerRoman"/>
      <w:start w:val="4"/>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0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2019-12-11T06:39:58Z</dcterms:created>
  <dcterms:modified xsi:type="dcterms:W3CDTF">2019-12-11T06:39:58Z</dcterms:modified>
</cp:coreProperties>
</file>