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551815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577215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83"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7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 w:lineRule="exact"/>
        <w:rPr>
          <w:sz w:val="24"/>
          <w:szCs w:val="24"/>
          <w:color w:val="auto"/>
        </w:rPr>
      </w:pPr>
    </w:p>
    <w:p>
      <w:pPr>
        <w:sectPr>
          <w:pgSz w:w="11900" w:h="16838" w:orient="portrait"/>
          <w:cols w:equalWidth="0" w:num="2">
            <w:col w:w="180" w:space="680"/>
            <w:col w:w="10380"/>
          </w:cols>
          <w:pgMar w:left="320" w:top="983" w:right="339" w:bottom="1440" w:gutter="0" w:footer="0" w:header="0"/>
          <w:type w:val="continuous"/>
        </w:sect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66" w:lineRule="exact"/>
        <w:rPr>
          <w:sz w:val="24"/>
          <w:szCs w:val="24"/>
          <w:color w:val="auto"/>
        </w:rPr>
      </w:pPr>
    </w:p>
    <w:p>
      <w:pPr>
        <w:jc w:val="right"/>
        <w:ind w:right="43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right"/>
        <w:ind w:right="4400"/>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09" w:lineRule="exact"/>
        <w:rPr>
          <w:sz w:val="24"/>
          <w:szCs w:val="24"/>
          <w:color w:val="auto"/>
        </w:rPr>
      </w:pPr>
    </w:p>
    <w:p>
      <w:pPr>
        <w:ind w:left="178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26" w:lineRule="exact"/>
        <w:rPr>
          <w:sz w:val="24"/>
          <w:szCs w:val="24"/>
          <w:color w:val="auto"/>
        </w:rPr>
      </w:pPr>
    </w:p>
    <w:p>
      <w:pPr>
        <w:ind w:left="124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0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ind w:left="28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31" w:lineRule="exact"/>
        <w:rPr>
          <w:sz w:val="24"/>
          <w:szCs w:val="24"/>
          <w:color w:val="auto"/>
        </w:rPr>
      </w:pPr>
    </w:p>
    <w:p>
      <w:pPr>
        <w:ind w:left="96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3"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spacing w:after="0"/>
              <w:rPr>
                <w:sz w:val="13"/>
                <w:szCs w:val="13"/>
                <w:color w:val="auto"/>
              </w:rPr>
            </w:pP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4"/>
        </w:trPr>
        <w:tc>
          <w:tcPr>
            <w:tcW w:w="32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BAH</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20" w:type="dxa"/>
        <w:tblCellMar>
          <w:top w:w="0" w:type="dxa"/>
          <w:left w:w="0" w:type="dxa"/>
          <w:bottom w:w="0" w:type="dxa"/>
          <w:right w:w="0" w:type="dxa"/>
        </w:tblCellMar>
      </w:tblPr>
      <w:tr>
        <w:trPr>
          <w:trHeight w:val="36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8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8"/>
                <w:szCs w:val="18"/>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38"/>
        </w:trPr>
        <w:tc>
          <w:tcPr>
            <w:tcW w:w="8680" w:type="dxa"/>
            <w:vAlign w:val="bottom"/>
          </w:tcPr>
          <w:p>
            <w:pPr>
              <w:spacing w:after="0"/>
              <w:rPr>
                <w:sz w:val="20"/>
                <w:szCs w:val="20"/>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1/19/2026</w:t>
            </w:r>
          </w:p>
        </w:tc>
      </w:tr>
      <w:tr>
        <w:trPr>
          <w:trHeight w:val="223"/>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120,594,389</w:t>
            </w:r>
          </w:p>
        </w:tc>
        <w:tc>
          <w:tcPr>
            <w:tcW w:w="360" w:type="dxa"/>
            <w:vAlign w:val="bottom"/>
          </w:tcPr>
          <w:p>
            <w:pPr>
              <w:spacing w:after="0"/>
              <w:rPr>
                <w:sz w:val="19"/>
                <w:szCs w:val="19"/>
                <w:color w:val="auto"/>
              </w:rPr>
            </w:pPr>
          </w:p>
        </w:tc>
      </w:tr>
      <w:tr>
        <w:trPr>
          <w:trHeight w:val="776"/>
        </w:trPr>
        <w:tc>
          <w:tcPr>
            <w:tcW w:w="86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920" w:type="dxa"/>
            <w:vAlign w:val="bottom"/>
            <w:gridSpan w:val="9"/>
            <w:vMerge w:val="restart"/>
          </w:tcPr>
          <w:p>
            <w:pPr>
              <w:spacing w:after="0"/>
              <w:rPr>
                <w:sz w:val="24"/>
                <w:szCs w:val="24"/>
                <w:color w:val="auto"/>
              </w:rPr>
            </w:pPr>
          </w:p>
        </w:tc>
        <w:tc>
          <w:tcPr>
            <w:tcW w:w="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0000FF"/>
            </w:tcBorders>
            <w:gridSpan w:val="4"/>
            <w:vMerge w:val="continue"/>
          </w:tcPr>
          <w:p>
            <w:pPr>
              <w:spacing w:after="0"/>
              <w:rPr>
                <w:sz w:val="15"/>
                <w:szCs w:val="15"/>
                <w:color w:val="auto"/>
              </w:rPr>
            </w:pPr>
          </w:p>
        </w:tc>
        <w:tc>
          <w:tcPr>
            <w:tcW w:w="7920" w:type="dxa"/>
            <w:vAlign w:val="bottom"/>
            <w:gridSpan w:val="9"/>
            <w:vMerge w:val="continue"/>
          </w:tcPr>
          <w:p>
            <w:pPr>
              <w:spacing w:after="0"/>
              <w:rPr>
                <w:sz w:val="15"/>
                <w:szCs w:val="15"/>
                <w:color w:val="auto"/>
              </w:rPr>
            </w:pPr>
          </w:p>
        </w:tc>
        <w:tc>
          <w:tcPr>
            <w:tcW w:w="62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280" w:type="dxa"/>
            <w:vAlign w:val="bottom"/>
            <w:gridSpan w:val="6"/>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0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2"/>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60" w:type="dxa"/>
            <w:vAlign w:val="bottom"/>
            <w:gridSpan w:val="11"/>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18"/>
                <w:szCs w:val="18"/>
                <w:color w:val="auto"/>
              </w:rPr>
            </w:pP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Defaults Upon Senior Securities</w:t>
            </w:r>
          </w:p>
        </w:tc>
        <w:tc>
          <w:tcPr>
            <w:tcW w:w="4340" w:type="dxa"/>
            <w:vAlign w:val="bottom"/>
            <w:gridSpan w:val="3"/>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Mine Safety Disclosures</w:t>
            </w:r>
          </w:p>
        </w:tc>
        <w:tc>
          <w:tcPr>
            <w:tcW w:w="600" w:type="dxa"/>
            <w:vAlign w:val="bottom"/>
          </w:tcPr>
          <w:p>
            <w:pPr>
              <w:spacing w:after="0"/>
              <w:rPr>
                <w:sz w:val="18"/>
                <w:szCs w:val="18"/>
                <w:color w:val="auto"/>
              </w:rPr>
            </w:pPr>
          </w:p>
        </w:tc>
        <w:tc>
          <w:tcPr>
            <w:tcW w:w="6460" w:type="dxa"/>
            <w:vAlign w:val="bottom"/>
            <w:gridSpan w:val="4"/>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60" w:type="dxa"/>
            <w:vAlign w:val="bottom"/>
            <w:gridSpan w:val="5"/>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460" w:type="dxa"/>
            <w:vAlign w:val="bottom"/>
            <w:gridSpan w:val="7"/>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b/>
        <w:t>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80" w:type="dxa"/>
            <w:vAlign w:val="bottom"/>
            <w:gridSpan w:val="17"/>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1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4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Condensed Consolidated Balance Sheets</w:t>
            </w:r>
          </w:p>
        </w:tc>
        <w:tc>
          <w:tcPr>
            <w:tcW w:w="700" w:type="dxa"/>
            <w:vAlign w:val="bottom"/>
            <w:tcBorders>
              <w:top w:val="single" w:sz="8" w:color="auto"/>
            </w:tcBorders>
            <w:gridSpan w:val="3"/>
          </w:tcPr>
          <w:p>
            <w:pPr>
              <w:jc w:val="center"/>
              <w:ind w:left="430"/>
              <w:spacing w:after="0" w:line="182" w:lineRule="exact"/>
              <w:rPr>
                <w:sz w:val="20"/>
                <w:szCs w:val="20"/>
                <w:color w:val="auto"/>
              </w:rPr>
            </w:pPr>
            <w:r>
              <w:rPr>
                <w:rFonts w:ascii="Times New Roman" w:cs="Times New Roman" w:eastAsia="Times New Roman" w:hAnsi="Times New Roman"/>
                <w:sz w:val="18"/>
                <w:szCs w:val="18"/>
                <w:b w:val="1"/>
                <w:bCs w:val="1"/>
                <w:color w:val="0000FF"/>
              </w:rPr>
              <w:t>1</w:t>
            </w:r>
          </w:p>
        </w:tc>
        <w:tc>
          <w:tcPr>
            <w:tcW w:w="5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Operations</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2</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Comprehensive Income</w:t>
            </w:r>
          </w:p>
        </w:tc>
        <w:tc>
          <w:tcPr>
            <w:tcW w:w="418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4</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Stockholders' Equity</w:t>
            </w:r>
          </w:p>
        </w:tc>
        <w:tc>
          <w:tcPr>
            <w:tcW w:w="438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Notes to Unaudited Condensed Consolidated Financial Statements</w:t>
            </w:r>
          </w:p>
        </w:tc>
        <w:tc>
          <w:tcPr>
            <w:tcW w:w="39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1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Business Overview</w:t>
            </w:r>
          </w:p>
        </w:tc>
        <w:tc>
          <w:tcPr>
            <w:tcW w:w="708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340" w:type="dxa"/>
            <w:vAlign w:val="bottom"/>
            <w:gridSpan w:val="2"/>
          </w:tcPr>
          <w:p>
            <w:pPr>
              <w:spacing w:after="0"/>
              <w:rPr>
                <w:sz w:val="18"/>
                <w:szCs w:val="18"/>
                <w:color w:val="auto"/>
              </w:rPr>
            </w:pP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1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Basis of Presentation</w:t>
            </w:r>
          </w:p>
        </w:tc>
        <w:tc>
          <w:tcPr>
            <w:tcW w:w="69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Revenue</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8</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Earnings Per Share</w:t>
            </w:r>
          </w:p>
        </w:tc>
        <w:tc>
          <w:tcPr>
            <w:tcW w:w="702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Intangible Assets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Accounts Payable and Other Accrued Expenses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Accrued Compensation and Benefits</w:t>
            </w:r>
          </w:p>
        </w:tc>
        <w:tc>
          <w:tcPr>
            <w:tcW w:w="840" w:type="dxa"/>
            <w:vAlign w:val="bottom"/>
            <w:gridSpan w:val="3"/>
          </w:tcPr>
          <w:p>
            <w:pPr>
              <w:spacing w:after="0"/>
              <w:rPr>
                <w:sz w:val="18"/>
                <w:szCs w:val="18"/>
                <w:color w:val="auto"/>
              </w:rPr>
            </w:pPr>
          </w:p>
        </w:tc>
        <w:tc>
          <w:tcPr>
            <w:tcW w:w="4880" w:type="dxa"/>
            <w:vAlign w:val="bottom"/>
            <w:gridSpan w:val="6"/>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10"/>
        </w:trPr>
        <w:tc>
          <w:tcPr>
            <w:tcW w:w="340" w:type="dxa"/>
            <w:vAlign w:val="bottom"/>
            <w:gridSpan w:val="2"/>
          </w:tcPr>
          <w:p>
            <w:pPr>
              <w:spacing w:after="0"/>
              <w:rPr>
                <w:sz w:val="18"/>
                <w:szCs w:val="18"/>
                <w:color w:val="auto"/>
              </w:rPr>
            </w:pPr>
          </w:p>
        </w:tc>
        <w:tc>
          <w:tcPr>
            <w:tcW w:w="1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8.</w:t>
            </w:r>
          </w:p>
        </w:tc>
        <w:tc>
          <w:tcPr>
            <w:tcW w:w="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7"/>
              </w:rPr>
              <w:t>Debt</w:t>
            </w:r>
          </w:p>
        </w:tc>
        <w:tc>
          <w:tcPr>
            <w:tcW w:w="2440" w:type="dxa"/>
            <w:vAlign w:val="bottom"/>
            <w:tcBorders>
              <w:top w:val="single" w:sz="8" w:color="0000FF"/>
            </w:tcBorders>
            <w:gridSpan w:val="9"/>
          </w:tcPr>
          <w:p>
            <w:pPr>
              <w:spacing w:after="0"/>
              <w:rPr>
                <w:sz w:val="18"/>
                <w:szCs w:val="18"/>
                <w:color w:val="auto"/>
              </w:rPr>
            </w:pPr>
          </w:p>
        </w:tc>
        <w:tc>
          <w:tcPr>
            <w:tcW w:w="572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11</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E32E1"/>
              </w:rPr>
              <w:t>9.</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Income Taxes</w:t>
            </w:r>
          </w:p>
        </w:tc>
        <w:tc>
          <w:tcPr>
            <w:tcW w:w="7480" w:type="dxa"/>
            <w:vAlign w:val="bottom"/>
            <w:gridSpan w:val="16"/>
          </w:tcPr>
          <w:p>
            <w:pPr>
              <w:spacing w:after="0"/>
              <w:rPr>
                <w:sz w:val="18"/>
                <w:szCs w:val="18"/>
                <w:color w:val="auto"/>
              </w:rPr>
            </w:pP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w w:val="99"/>
              </w:rPr>
              <w:t>11</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0000FF"/>
              </w:rPr>
              <w:t>10. Accumulated Other Comprehensive Income / (Loss)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12</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0000FF"/>
              </w:rPr>
              <w:t>11. Fair Value Measurements</w:t>
            </w:r>
          </w:p>
        </w:tc>
        <w:tc>
          <w:tcPr>
            <w:tcW w:w="4460" w:type="dxa"/>
            <w:vAlign w:val="bottom"/>
            <w:gridSpan w:val="5"/>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13</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0000FF"/>
              </w:rPr>
              <w:t>12. Commitments and Contingencies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14</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0000FF"/>
              </w:rPr>
              <w:t>13. Supplemental Condensed Consolidated Financial Information</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14</w:t>
            </w:r>
          </w:p>
        </w:tc>
        <w:tc>
          <w:tcPr>
            <w:tcW w:w="98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(Amounts in millions,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4"/>
        </w:trPr>
        <w:tc>
          <w:tcPr>
            <w:tcW w:w="818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issued: 169,274,466 and 168,522,544 shares at December 31, 2025 and March 31, 2025, respectively;</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120,863,944 and 124,879,004 shares at December 31, 2025 and March 31, 2025, respectively</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- 48,410,522 and 43,643,540 shares at December 31, 2025 and March 31, 2025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ectPr>
          <w:pgSz w:w="11900" w:h="16838" w:orient="portrait"/>
          <w:cols w:equalWidth="0" w:num="1">
            <w:col w:w="10800"/>
          </w:cols>
          <w:pgMar w:left="320" w:top="364" w:right="779" w:bottom="1440" w:gutter="0" w:footer="0" w:header="0"/>
        </w:sectPr>
      </w:pPr>
    </w:p>
    <w:p>
      <w:pPr>
        <w:spacing w:after="0" w:line="137"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13335</wp:posOffset>
            </wp:positionV>
            <wp:extent cx="1757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6" w:lineRule="exact"/>
        <w:rPr>
          <w:sz w:val="20"/>
          <w:szCs w:val="20"/>
          <w:color w:val="auto"/>
        </w:rPr>
      </w:pPr>
    </w:p>
    <w:p>
      <w:pPr>
        <w:ind w:left="596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13335</wp:posOffset>
            </wp:positionV>
            <wp:extent cx="1603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p>
      <w:pPr>
        <w:sectPr>
          <w:pgSz w:w="11900" w:h="16838" w:orient="portrait"/>
          <w:cols w:equalWidth="0" w:num="2">
            <w:col w:w="8000" w:space="720"/>
            <w:col w:w="2080"/>
          </w:cols>
          <w:pgMar w:left="320" w:top="364" w:right="779" w:bottom="1440" w:gutter="0" w:footer="0" w:header="0"/>
          <w:type w:val="continuous"/>
        </w:sectPr>
      </w:pPr>
    </w:p>
    <w:tbl>
      <w:tblPr>
        <w:tblLayout w:type="fixed"/>
        <w:tblInd w:w="440" w:type="dxa"/>
        <w:tblCellMar>
          <w:top w:w="0" w:type="dxa"/>
          <w:left w:w="0" w:type="dxa"/>
          <w:bottom w:w="0" w:type="dxa"/>
          <w:right w:w="0" w:type="dxa"/>
        </w:tblCellMar>
      </w:tblP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29"/>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Billable expenses</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 (Note 4):</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01"/>
        </w:trPr>
        <w:tc>
          <w:tcPr>
            <w:tcW w:w="2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5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8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(Amounts in millions)</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97"/>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8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18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26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26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 net of tax:</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 on derivatives designated as cash flow hedges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6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Pr>
          <w:p>
            <w:pPr>
              <w:spacing w:after="0"/>
              <w:rPr>
                <w:sz w:val="19"/>
                <w:szCs w:val="19"/>
                <w:color w:val="auto"/>
              </w:rPr>
            </w:pPr>
          </w:p>
        </w:tc>
        <w:tc>
          <w:tcPr>
            <w:tcW w:w="64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gain,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60" w:type="dxa"/>
            <w:vAlign w:val="bottom"/>
          </w:tcPr>
          <w:p>
            <w:pPr>
              <w:spacing w:after="0"/>
              <w:rPr>
                <w:sz w:val="19"/>
                <w:szCs w:val="19"/>
                <w:color w:val="auto"/>
              </w:rPr>
            </w:pPr>
          </w:p>
        </w:tc>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
        </w:trPr>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51"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4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4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8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millions)</w:t>
            </w:r>
          </w:p>
        </w:tc>
        <w:tc>
          <w:tcPr>
            <w:tcW w:w="2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7680" w:type="dxa"/>
            <w:vAlign w:val="bottom"/>
            <w:gridSpan w:val="2"/>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gains on investments, dispositions, and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Deferred income taxes and income taxes receivable/payable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6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Proceeds from (payments for) business dispositions and acquisitions, net of cash acquired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payments for investments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Cash dividends paid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on revolving credit facility, term loans, and Senior Notes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76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51"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left="640"/>
        <w:spacing w:after="0" w:line="23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ind w:left="548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42" w:lineRule="exact"/>
        <w:rPr>
          <w:sz w:val="20"/>
          <w:szCs w:val="20"/>
          <w:color w:val="auto"/>
        </w:rPr>
      </w:pPr>
    </w:p>
    <w:p>
      <w:pPr>
        <w:ind w:left="680" w:righ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 millions, except share data)</w:t>
      </w:r>
    </w:p>
    <w:p>
      <w:pPr>
        <w:spacing w:after="0" w:line="2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Issuance of common stock</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Stock options exercised</w:t>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3"/>
          <w:szCs w:val="23"/>
          <w:color w:val="auto"/>
          <w:vertAlign w:val="superscript"/>
        </w:rPr>
        <w:t>(1)</w:t>
      </w:r>
    </w:p>
    <w:p>
      <w:pPr>
        <w:ind w:left="800"/>
        <w:spacing w:after="0"/>
        <w:rPr>
          <w:sz w:val="20"/>
          <w:szCs w:val="20"/>
          <w:color w:val="auto"/>
        </w:rPr>
      </w:pPr>
      <w:r>
        <w:rPr>
          <w:rFonts w:ascii="Times New Roman" w:cs="Times New Roman" w:eastAsia="Times New Roman" w:hAnsi="Times New Roman"/>
          <w:sz w:val="18"/>
          <w:szCs w:val="18"/>
          <w:color w:val="auto"/>
        </w:rPr>
        <w:t>Net income</w:t>
      </w:r>
    </w:p>
    <w:p>
      <w:pPr>
        <w:spacing w:after="0" w:line="7" w:lineRule="exact"/>
        <w:rPr>
          <w:sz w:val="20"/>
          <w:szCs w:val="20"/>
          <w:color w:val="auto"/>
        </w:rPr>
      </w:pPr>
    </w:p>
    <w:p>
      <w:pPr>
        <w:ind w:left="800" w:right="180"/>
        <w:spacing w:after="0" w:line="234" w:lineRule="auto"/>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10" w:lineRule="exact"/>
        <w:rPr>
          <w:sz w:val="20"/>
          <w:szCs w:val="20"/>
          <w:color w:val="auto"/>
        </w:rPr>
      </w:pPr>
    </w:p>
    <w:p>
      <w:pPr>
        <w:ind w:left="800" w:right="120"/>
        <w:spacing w:after="0" w:line="237" w:lineRule="auto"/>
        <w:rPr>
          <w:sz w:val="20"/>
          <w:szCs w:val="20"/>
          <w:color w:val="auto"/>
        </w:rPr>
      </w:pPr>
      <w:r>
        <w:rPr>
          <w:rFonts w:ascii="Times New Roman" w:cs="Times New Roman" w:eastAsia="Times New Roman" w:hAnsi="Times New Roman"/>
          <w:sz w:val="18"/>
          <w:szCs w:val="18"/>
          <w:color w:val="auto"/>
        </w:rPr>
        <w:t>Dividends paid of $0.55 per share of common stock</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40" w:type="dxa"/>
            <w:vAlign w:val="bottom"/>
            <w:gridSpan w:val="3"/>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780" w:type="dxa"/>
            <w:vAlign w:val="bottom"/>
            <w:gridSpan w:val="3"/>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8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8"/>
                <w:szCs w:val="8"/>
                <w:color w:val="auto"/>
              </w:rPr>
            </w:pPr>
          </w:p>
        </w:tc>
        <w:tc>
          <w:tcPr>
            <w:tcW w:w="920" w:type="dxa"/>
            <w:vAlign w:val="bottom"/>
            <w:vMerge w:val="restart"/>
          </w:tcPr>
          <w:p>
            <w:pPr>
              <w:jc w:val="right"/>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81"/>
        </w:trPr>
        <w:tc>
          <w:tcPr>
            <w:tcW w:w="178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4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80" w:type="dxa"/>
            <w:vAlign w:val="bottom"/>
            <w:tcBorders>
              <w:bottom w:val="single" w:sz="8" w:color="auto"/>
            </w:tcBorders>
            <w:gridSpan w:val="3"/>
            <w:vMerge w:val="continue"/>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880" w:type="dxa"/>
            <w:vAlign w:val="bottom"/>
          </w:tcPr>
          <w:p>
            <w:pPr>
              <w:jc w:val="right"/>
              <w:ind w:right="50"/>
              <w:spacing w:after="0" w:line="160"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36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Comprehensive Stockholders’</w:t>
            </w:r>
          </w:p>
        </w:tc>
        <w:tc>
          <w:tcPr>
            <w:tcW w:w="0" w:type="dxa"/>
            <w:vAlign w:val="bottom"/>
          </w:tcPr>
          <w:p>
            <w:pPr>
              <w:spacing w:after="0"/>
              <w:rPr>
                <w:sz w:val="1"/>
                <w:szCs w:val="1"/>
                <w:color w:val="auto"/>
              </w:rPr>
            </w:pPr>
          </w:p>
        </w:tc>
      </w:tr>
      <w:tr>
        <w:trPr>
          <w:trHeight w:val="239"/>
        </w:trPr>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169,111,128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(47,085,814)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1,105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3,378</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(1,324,708)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41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2"/>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-1421130</wp:posOffset>
            </wp:positionV>
            <wp:extent cx="67119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1950" cy="15430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-1112520</wp:posOffset>
            </wp:positionV>
            <wp:extent cx="67119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11950" cy="14605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-821055</wp:posOffset>
            </wp:positionV>
            <wp:extent cx="67119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1950" cy="14605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-409575</wp:posOffset>
            </wp:positionV>
            <wp:extent cx="671195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1195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160"/>
            <w:col w:w="772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5"/>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169,274,466</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(48,410,522)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196"/>
        </w:trPr>
        <w:tc>
          <w:tcPr>
            <w:tcW w:w="28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168,522,544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(43,643,540)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592,965</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158,957</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3"/>
                <w:szCs w:val="23"/>
                <w:color w:val="auto"/>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(4,766,982)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176"/>
        </w:trPr>
        <w:tc>
          <w:tcPr>
            <w:tcW w:w="28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5"/>
        </w:trPr>
        <w:tc>
          <w:tcPr>
            <w:tcW w:w="28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Dividends paid of $1.65 per share</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169,274,466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(48,410,522)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bl>
    <w:p>
      <w:pPr>
        <w:spacing w:after="0" w:line="184" w:lineRule="exact"/>
        <w:rPr>
          <w:sz w:val="20"/>
          <w:szCs w:val="20"/>
          <w:color w:val="auto"/>
        </w:rPr>
      </w:pPr>
    </w:p>
    <w:p>
      <w:pPr>
        <w:jc w:val="both"/>
        <w:ind w:left="660" w:right="320" w:hanging="166"/>
        <w:spacing w:after="0" w:line="235" w:lineRule="auto"/>
        <w:tabs>
          <w:tab w:leader="none" w:pos="679"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2025, the Company purchased 1.3 million shares of the Company’s Class A Common Stock for $125 million. Additionally, the Company’s repurchase of common stock for the three months ended December 31, 2025 includes $2 million to cover the minimum statutory taxes on repurchases and restricted stock units that vested on various dates during the period.</w:t>
      </w:r>
    </w:p>
    <w:p>
      <w:pPr>
        <w:spacing w:after="0" w:line="91" w:lineRule="exact"/>
        <w:rPr>
          <w:rFonts w:ascii="Times New Roman" w:cs="Times New Roman" w:eastAsia="Times New Roman" w:hAnsi="Times New Roman"/>
          <w:sz w:val="23"/>
          <w:szCs w:val="23"/>
          <w:color w:val="auto"/>
          <w:vertAlign w:val="superscript"/>
        </w:rPr>
      </w:pPr>
    </w:p>
    <w:p>
      <w:pPr>
        <w:ind w:left="660" w:hanging="166"/>
        <w:spacing w:after="0" w:line="235" w:lineRule="auto"/>
        <w:tabs>
          <w:tab w:leader="none" w:pos="679"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December 31, 2025, the Company purchased 4.7 million shares of the Company’s Class A Common Stock for $486 million. Additionally, the Company’s repurchase of common stock for the nine months ended December 31, 2025 includes $18 million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29"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left="68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ind w:left="5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millions, except share</w:t>
            </w:r>
          </w:p>
        </w:tc>
        <w:tc>
          <w:tcPr>
            <w:tcW w:w="12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400" w:type="dxa"/>
            <w:vAlign w:val="bottom"/>
          </w:tcPr>
          <w:p>
            <w:pPr>
              <w:spacing w:after="0"/>
              <w:rPr>
                <w:sz w:val="19"/>
                <w:szCs w:val="19"/>
                <w:color w:val="auto"/>
              </w:rPr>
            </w:pPr>
          </w:p>
        </w:tc>
        <w:tc>
          <w:tcPr>
            <w:tcW w:w="18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16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40" w:type="dxa"/>
            <w:vAlign w:val="bottom"/>
            <w:gridSpan w:val="3"/>
          </w:tcPr>
          <w:p>
            <w:pPr>
              <w:jc w:val="right"/>
              <w:ind w:right="610"/>
              <w:spacing w:after="0" w:line="176" w:lineRule="exact"/>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data)</w:t>
            </w: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5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8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238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 Stockholders’</w:t>
            </w:r>
          </w:p>
        </w:tc>
        <w:tc>
          <w:tcPr>
            <w:tcW w:w="0" w:type="dxa"/>
            <w:vAlign w:val="bottom"/>
          </w:tcPr>
          <w:p>
            <w:pPr>
              <w:spacing w:after="0"/>
              <w:rPr>
                <w:sz w:val="1"/>
                <w:szCs w:val="1"/>
                <w:color w:val="auto"/>
              </w:rPr>
            </w:pPr>
          </w:p>
        </w:tc>
      </w:tr>
      <w:tr>
        <w:trPr>
          <w:trHeight w:val="61"/>
        </w:trPr>
        <w:tc>
          <w:tcPr>
            <w:tcW w:w="3060" w:type="dxa"/>
            <w:vAlign w:val="bottom"/>
            <w:vMerge w:val="continue"/>
          </w:tcPr>
          <w:p>
            <w:pPr>
              <w:spacing w:after="0"/>
              <w:rPr>
                <w:sz w:val="5"/>
                <w:szCs w:val="5"/>
                <w:color w:val="auto"/>
              </w:rPr>
            </w:pP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gridSpan w:val="2"/>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167,841,004</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(39,939,116)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134,666</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3"/>
                <w:szCs w:val="23"/>
                <w:color w:val="auto"/>
                <w:vertAlign w:val="superscript"/>
              </w:rPr>
              <w:t>(3)</w:t>
            </w:r>
          </w:p>
        </w:tc>
        <w:tc>
          <w:tcPr>
            <w:tcW w:w="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(941,950)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75"/>
        </w:trPr>
        <w:tc>
          <w:tcPr>
            <w:tcW w:w="30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Dividends paid of $0.51 per share of</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167,983,631</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(40,881,066)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167,402,268</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(37,759,145)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483,438</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3"/>
                <w:szCs w:val="23"/>
                <w:color w:val="auto"/>
                <w:vertAlign w:val="superscript"/>
              </w:rPr>
              <w:t>(4)</w:t>
            </w:r>
          </w:p>
        </w:tc>
        <w:tc>
          <w:tcPr>
            <w:tcW w:w="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(3,121,921)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Dividends paid of $1.53 per share of</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167,983,631</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(40,881,066)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right="380" w:hanging="166"/>
        <w:spacing w:after="0" w:line="235" w:lineRule="auto"/>
        <w:tabs>
          <w:tab w:leader="none" w:pos="679"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2024, the Company purchased 0.9 million shares of the Company’s Class A Common Stock for $145 million. Additionally, the Company’s repurchase of common stock for the three months ended December 31, 2024 includes $4 million to cover the minimum statutory taxes on repurchases and restricted stock units that vested on various dates during the period.</w:t>
      </w:r>
    </w:p>
    <w:p>
      <w:pPr>
        <w:spacing w:after="0" w:line="91" w:lineRule="exact"/>
        <w:rPr>
          <w:rFonts w:ascii="Times New Roman" w:cs="Times New Roman" w:eastAsia="Times New Roman" w:hAnsi="Times New Roman"/>
          <w:sz w:val="23"/>
          <w:szCs w:val="23"/>
          <w:color w:val="auto"/>
          <w:vertAlign w:val="superscript"/>
        </w:rPr>
      </w:pPr>
    </w:p>
    <w:p>
      <w:pPr>
        <w:ind w:left="660" w:right="60" w:hanging="166"/>
        <w:spacing w:after="0" w:line="235" w:lineRule="auto"/>
        <w:tabs>
          <w:tab w:leader="none" w:pos="679"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December 31, 2024, the Company purchased 3.0 million shares of the Company’s Class A Common Stock for $454 million. Additionally, the Company’s repurchase of common stock for the nine months ended December 31, 2024 includes $17 million to cover the minimum statutory taxes on repurchases and restricted stock units that vested on various dates during the period.</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5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the Company, we, us, and our, was incorporated in Delaware in May 2008. As an advanced technology company, the Company builds technology solutions using artificial intelligence (“AI”), cyber, and other cutting-edge technologies to advance and protect the nation and its citizens. The Company supports critical missions for a diverse base of federal government customers, including nearly all of the U.S. government’s cabinet-level departments, as well as for commercial customers, both domestically and in select international locations. The Company is headquartered in McLean, Virginia, with approximately 31,600 employees as of December 31, 2025, and reports operating results and financial data in one reportable segment.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and should be read in conjunction with the information contained in the Company's Annual Report on Form 10-K for the year ended March 31, 2025. The interim period unaudited condensed consolidated financial statements are presented as described below. Certain information and disclosures normally required for annual financial statements have been condensed or omitted pursuant to U.S.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and nine months ended December 31, 2025 are not necessarily indicative of results to be expected for the full fiscal year.</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amounts reported in the Company's prior fiscal year condensed consolidated financial statements have been reclassified to conform to the current year presentation, including the reclassification of interest income for fiscal 2025 from “Other income (expense)” into “Interest expense, net” on the condensed consolidated statement of operations. There are no changes to the Company’s financial position or results of operations as a result of this reclassification.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and March 31, 2025, respectively, the total of equity and other investments related to unconsolidated entities included in other long-term assets of the Company’s condensed consolidated balance sheet were $113 million and $90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6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historical and forward-looking assumptions that it believes are reasonable and appropriate. Actual results may differ materially from those estimates. Estimates are used for, but not limited to, revenue recognition including the profitability of long-term contracts and cost accruals, the provision for claimed costs, fair value measurements, the valuation and expected lives of acquired intangible assets, incentive compensation, income taxes including reserves for uncertain tax positions, postretirement obligations and contingencies. See Note 2, “Summary of Significant Accounting Policies” to the Company’s consolidated financial statements included in the Annual Report on Form 10-K for the year ended March 31, 2025 for further details on significant estimates and assumptions used.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The standard includes amendments that enhance annual income tax disclosures, primarily through standardization and disaggregation of rate reconciliation categories and income taxes paid by jurisdiction. The Company is required to adopt this standard in its Fiscal 2026 Form 10-K and determined this standard does not have a material impact on its consolidated financial statements and related disclosures.</w:t>
      </w: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39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results of operations or financial condition.</w:t>
      </w:r>
    </w:p>
    <w:p>
      <w:pPr>
        <w:spacing w:after="0" w:line="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to modernize the accounting for and disclosure of internal-use software costs. The guidance removes all references to project stages, defines the threshold to begin capitalizing costs, and clarifies the disclosure requirements of capitalized software costs. The ASU is effective for annual periods beginning after December 15, 2027, and interim periods within those fiscal years, and can be applied retrospectively, prospectively, or on a modified transition approach. Early adoption is permitted. The Company is currently assessing the impact of this update.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Contract Type:</w:t>
            </w:r>
          </w:p>
        </w:tc>
        <w:tc>
          <w:tcPr>
            <w:tcW w:w="240" w:type="dxa"/>
            <w:vAlign w:val="bottom"/>
          </w:tcPr>
          <w:p>
            <w:pPr>
              <w:spacing w:after="0"/>
              <w:rPr>
                <w:sz w:val="17"/>
                <w:szCs w:val="17"/>
                <w:color w:val="auto"/>
              </w:rPr>
            </w:pPr>
          </w:p>
        </w:tc>
        <w:tc>
          <w:tcPr>
            <w:tcW w:w="27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7"/>
                <w:szCs w:val="17"/>
                <w:color w:val="auto"/>
              </w:rPr>
            </w:pPr>
          </w:p>
        </w:tc>
      </w:tr>
      <w:tr>
        <w:trPr>
          <w:trHeight w:val="241"/>
        </w:trPr>
        <w:tc>
          <w:tcPr>
            <w:tcW w:w="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1,515</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58 % $</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1,674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4,986</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59 % $</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5,115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3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24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584</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22 %</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1,860</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22 %</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521</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20 %</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1,588</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19 %</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1,837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3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2,620</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100 % $</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2,917</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8,434</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 $</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9,005</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by Customer Type </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p>
        </w:tc>
        <w:tc>
          <w:tcPr>
            <w:tcW w:w="240" w:type="dxa"/>
            <w:vAlign w:val="bottom"/>
          </w:tcPr>
          <w:p>
            <w:pPr>
              <w:spacing w:after="0"/>
              <w:rPr>
                <w:sz w:val="23"/>
                <w:szCs w:val="23"/>
                <w:color w:val="auto"/>
              </w:rPr>
            </w:pPr>
          </w:p>
        </w:tc>
        <w:tc>
          <w:tcPr>
            <w:tcW w:w="276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3"/>
                <w:szCs w:val="23"/>
                <w:color w:val="auto"/>
              </w:rPr>
            </w:pPr>
          </w:p>
        </w:tc>
      </w:tr>
      <w:tr>
        <w:trPr>
          <w:trHeight w:val="189"/>
        </w:trPr>
        <w:tc>
          <w:tcPr>
            <w:tcW w:w="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9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53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16"/>
                <w:szCs w:val="16"/>
                <w:color w:val="auto"/>
              </w:rPr>
            </w:pPr>
          </w:p>
        </w:tc>
      </w:tr>
      <w:tr>
        <w:trPr>
          <w:trHeight w:val="223"/>
        </w:trPr>
        <w:tc>
          <w:tcPr>
            <w:tcW w:w="320" w:type="dxa"/>
            <w:vAlign w:val="bottom"/>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Defense Customers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1,454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4,551</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54 %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4,421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3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Intelligence Customers</w:t>
            </w:r>
          </w:p>
        </w:tc>
        <w:tc>
          <w:tcPr>
            <w:tcW w:w="2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1,401</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2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Civil Customers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1,012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2,482</w:t>
            </w: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3,181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3"/>
        </w:trPr>
        <w:tc>
          <w:tcPr>
            <w:tcW w:w="3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2,620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2,917</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8,434</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100 % $</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9,005</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20" w:right="380" w:hanging="164"/>
        <w:spacing w:after="0" w:line="232" w:lineRule="auto"/>
        <w:tabs>
          <w:tab w:leader="none" w:pos="821"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Customer type is based on public market as determined by government agency hierarchy mapping. Revenue by customer type for comparative periods for certain contracts has been reclassified to align to the most recent mapping.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Whether the Company Acts as</w:t>
            </w:r>
          </w:p>
        </w:tc>
        <w:tc>
          <w:tcPr>
            <w:tcW w:w="260" w:type="dxa"/>
            <w:vAlign w:val="bottom"/>
          </w:tcPr>
          <w:p>
            <w:pPr>
              <w:spacing w:after="0"/>
              <w:rPr>
                <w:sz w:val="18"/>
                <w:szCs w:val="18"/>
                <w:color w:val="auto"/>
              </w:rPr>
            </w:pPr>
          </w:p>
        </w:tc>
        <w:tc>
          <w:tcPr>
            <w:tcW w:w="26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r>
      <w:tr>
        <w:trPr>
          <w:trHeight w:val="241"/>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Prime Contractor or a Subcontractor: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2,449</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93 % $</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2,775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7,891</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8,584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20" w:type="dxa"/>
            <w:vAlign w:val="bottom"/>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171</w:t>
            </w: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7 %</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543</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6 %</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3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2,620</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100 % $</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2,917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8,434</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100 % $</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9,005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that was determined to be constrained.</w:t>
      </w:r>
    </w:p>
    <w:p>
      <w:pPr>
        <w:spacing w:after="0" w:line="1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the Company had $10.5 billion and $9.5 billion of remaining performance obligations, respectively. We expect to recognize approximately 65% of the remaining performance obligations at December 31, 2025 as revenue over the next 12 months, and approximately 70% over the next 24 months. The remainder is expected to be recognized thereafter.</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67"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6"/>
                <w:szCs w:val="16"/>
                <w:color w:val="auto"/>
              </w:rPr>
            </w:pPr>
          </w:p>
        </w:tc>
        <w:tc>
          <w:tcPr>
            <w:tcW w:w="1280" w:type="dxa"/>
            <w:vAlign w:val="bottom"/>
          </w:tcPr>
          <w:p>
            <w:pPr>
              <w:jc w:val="right"/>
              <w:ind w:right="27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 (contract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both the three months ended December 31, 2025 and 2024, we recognized revenue of $1 million, and for the nine months ended December 31, 2025 and 2024, we recognized revenue of $13 million and $11 million, respectively, related to our contract liabilities on April 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the income used to compute basic and diluted EPS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3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Numerator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Earnings for basic computations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 for diluted computations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stock shares outstanding, basic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121,087,018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127,429,723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122,628,976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128,407,906</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260,510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278,966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501,587</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stock shares outstanding, diluted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121,347,528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127,940,137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122,907,942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128,909,493</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24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60" w:right="40" w:hanging="171"/>
        <w:spacing w:after="0" w:line="235" w:lineRule="auto"/>
        <w:tabs>
          <w:tab w:leader="none" w:pos="41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0.9 million and 0.7 million shares of participating securities for both the three and nine months ended December 31, 2025 and 2024,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the periods presented below:</w:t>
      </w:r>
    </w:p>
    <w:p>
      <w:pPr>
        <w:sectPr>
          <w:pgSz w:w="11900" w:h="16838" w:orient="portrait"/>
          <w:cols w:equalWidth="0" w:num="1">
            <w:col w:w="11160"/>
          </w:cols>
          <w:pgMar w:left="320" w:top="121" w:right="419" w:bottom="1440" w:gutter="0" w:footer="0" w:header="0"/>
        </w:sectPr>
      </w:pPr>
    </w:p>
    <w:p>
      <w:pPr>
        <w:spacing w:after="0" w:line="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3980" w:type="dxa"/>
        <w:tblCellMar>
          <w:top w:w="0" w:type="dxa"/>
          <w:left w:w="0" w:type="dxa"/>
          <w:bottom w:w="0" w:type="dxa"/>
          <w:right w:w="0" w:type="dxa"/>
        </w:tblCellMar>
      </w:tblPr>
      <w:tr>
        <w:trPr>
          <w:trHeight w:val="169"/>
        </w:trPr>
        <w:tc>
          <w:tcPr>
            <w:tcW w:w="10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3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60" w:type="dxa"/>
            <w:vAlign w:val="bottom"/>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3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80" w:type="dxa"/>
            <w:vAlign w:val="bottom"/>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80"/>
            <w:col w:w="3640"/>
          </w:cols>
          <w:pgMar w:left="320" w:top="121" w:right="4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Customer contracts and related customer</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7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Other Accrued Expenses</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Accounts payable and other accrued expenses consisted of the following at the periods presented below:</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claimed costs</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Contingencies,” to the condensed consolidated financial statements for further discussion of the Company’s provision for claimed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 at the periods presented below:</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07"/>
        </w:trPr>
        <w:tc>
          <w:tcPr>
            <w:tcW w:w="5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20" w:type="dxa"/>
            <w:vAlign w:val="bottom"/>
          </w:tcPr>
          <w:p>
            <w:pPr>
              <w:spacing w:after="0"/>
              <w:rPr>
                <w:sz w:val="20"/>
                <w:szCs w:val="20"/>
                <w:color w:val="auto"/>
              </w:rPr>
            </w:pPr>
          </w:p>
        </w:tc>
        <w:tc>
          <w:tcPr>
            <w:tcW w:w="7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5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5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paid time off</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520" w:type="dxa"/>
            <w:vAlign w:val="bottom"/>
          </w:tcPr>
          <w:p>
            <w:pPr>
              <w:spacing w:after="0"/>
              <w:rPr>
                <w:sz w:val="19"/>
                <w:szCs w:val="19"/>
                <w:color w:val="auto"/>
              </w:rPr>
            </w:pPr>
          </w:p>
        </w:tc>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52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0"/>
        </w:trPr>
        <w:tc>
          <w:tcPr>
            <w:tcW w:w="52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 at the periods presented below:</w:t>
            </w: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16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6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2"/>
                <w:szCs w:val="22"/>
                <w:color w:val="auto"/>
              </w:rPr>
            </w:pPr>
          </w:p>
        </w:tc>
        <w:tc>
          <w:tcPr>
            <w:tcW w:w="27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69"/>
        </w:trPr>
        <w:tc>
          <w:tcPr>
            <w:tcW w:w="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60" w:type="dxa"/>
            <w:vAlign w:val="bottom"/>
            <w:gridSpan w:val="2"/>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4"/>
                <w:szCs w:val="14"/>
                <w:color w:val="auto"/>
              </w:rPr>
            </w:pPr>
          </w:p>
        </w:tc>
        <w:tc>
          <w:tcPr>
            <w:tcW w:w="1480" w:type="dxa"/>
            <w:vAlign w:val="bottom"/>
            <w:gridSpan w:val="2"/>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41"/>
        </w:trPr>
        <w:tc>
          <w:tcPr>
            <w:tcW w:w="160" w:type="dxa"/>
            <w:vAlign w:val="bottom"/>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5"/>
        </w:trPr>
        <w:tc>
          <w:tcPr>
            <w:tcW w:w="16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5.066 %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5.675 %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16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16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16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16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160" w:type="dxa"/>
            <w:vAlign w:val="bottom"/>
          </w:tcPr>
          <w:p>
            <w:pPr>
              <w:spacing w:after="0"/>
              <w:rPr>
                <w:sz w:val="19"/>
                <w:szCs w:val="19"/>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160" w:type="dxa"/>
            <w:vAlign w:val="bottom"/>
          </w:tcPr>
          <w:p>
            <w:pPr>
              <w:spacing w:after="0"/>
              <w:rPr>
                <w:sz w:val="19"/>
                <w:szCs w:val="19"/>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30"/>
        </w:trPr>
        <w:tc>
          <w:tcPr>
            <w:tcW w:w="160" w:type="dxa"/>
            <w:vAlign w:val="bottom"/>
          </w:tcPr>
          <w:p>
            <w:pPr>
              <w:spacing w:after="0"/>
              <w:rPr>
                <w:sz w:val="19"/>
                <w:szCs w:val="19"/>
                <w:color w:val="auto"/>
              </w:rPr>
            </w:pPr>
          </w:p>
        </w:tc>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8"/>
        </w:trPr>
        <w:tc>
          <w:tcPr>
            <w:tcW w:w="16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0"/>
        </w:trPr>
        <w:tc>
          <w:tcPr>
            <w:tcW w:w="16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and certain wholly owned subsidiaries of Booz Allen Hamilton are parties to a Credit Agreement dated as of July 31, 2012, as amended, which provided Booz Allen Hamilton with a $1,464 million Term Loan and a $1.0 billion revolving credit facility (the “Revolving Credit Facility”), with a sub-limit for letters of credit of $200 million as of December 31, 2025.</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senior notes due 2035, senior notes due 2033, senior notes due 2029 and senior notes due 2028 (together, the “Senior Notes”) were issued by Booz Allen Hamilton in four separate and distinct tranches, which all bear interest at specified rates and have individual and separate maturity dates. All Senior Notes’ indentures are guaranteed by Booz Allen Holding Corporation or certain of its subsidiaries and contain certain covenants, events of default and other customary provisions.</w:t>
      </w:r>
    </w:p>
    <w:p>
      <w:pPr>
        <w:spacing w:after="0" w:line="1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occasionally borrows under the Revolving Credit Facility for our working capital needs. There were no borrowings during the nine months ended December 31, 2025 and as of both December 31, 2025 and March 31, 2025, respectively, there was no outstanding balance on the Revolving Credit Facility.</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Booz Allen Hamilton was in compliance with all financial covenants associated with its debt. For further information on the Company’s debt, including material terms, conditions, restrictions and redemption options, see Note 10, “Debt,” of the Company’s consolidated financial statements included in the fiscal 2025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rates were (7.0)% and 24.7% for the three months ended December 31, 2025 and 2024, respectively, and (1.6)% and 24.0% for the nine months ended December 31, 2025 and December 31, 2024,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 During the three months ended December 31, 2025, the Company recognized a $57 million tax benefit, in conjunction with the filing of the fiscal 2025 tax return, driven primarily by a change in estimate resulting in an increase in the research and development tax credit and the Foreign Derived Intangible Income deduction.</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and March 31, 2025, the Company recorded $78 million and $142 million, respectively, of reserves for uncertain tax positions (“UTPs”) primarily related to research and development tax credits. The UTP reduction during the nine months ended December 31, 2025 is primarily related to an $86 million adjustment from the completion of Internal Revenue Service (the “IRS”) examination procedures of the Company's amended federal income tax returns through fiscal year 2021 recorded in the first quarter. The Company also accrued $23 million of interest (net of tax effect) on the related long-term receivable for the refund requested in the amended returns. Due to the magnitude of the refund requested in the amended returns, the case will be referred to the Joint Committee on Taxation (the “JCT”) for further evaluation, as required by law for tax refunds or reductions exceeding</w:t>
      </w:r>
    </w:p>
    <w:p>
      <w:pPr>
        <w:spacing w:after="0" w:line="1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$5 million. While the JCT has not yet reviewed this case, management does not anticipate that the resolution of this review will have a material adverse effect on the Company's financial position or results of operations.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3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the Company recorded long-term income tax receivables of $176 million, including interest, and $152 million, respectively, which represents the amended U.S. federal return refund claims related to the audits referenced above and remains classified as other long-term assets on the condensed consolidated balance sheet as the case is subject to JCT review.</w:t>
      </w:r>
    </w:p>
    <w:p>
      <w:pPr>
        <w:spacing w:after="0" w:line="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 was enacted in the U.S. The OBBB includes significant provisions, such as the permanent extension of certain expiring provisions of the Tax Cuts and Jobs Act, restoration of favorable tax treatment for certain business provisions including the expensing of domestic research and development expenditures, and modifications to the international tax framework. The Company has incorporated the impact of the new legislation into its year-to-date effective tax rate and continues to assess the impact on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w:t>
      </w:r>
    </w:p>
    <w:p>
      <w:pPr>
        <w:spacing w:after="0" w:line="6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Amounts recorded in other comprehensive income (loss) (“OCI”) are related to the Company's post-retirement plans and interest rate swaps designated as cash flow hedges. The following table presents the changes in Accumulated OCI (“AOCI”) during the periods presented below:</w:t>
      </w: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center"/>
              <w:ind w:left="410"/>
              <w:spacing w:after="0" w:line="185"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3"/>
          </w:tcPr>
          <w:p>
            <w:pPr>
              <w:jc w:val="center"/>
              <w:ind w:left="530"/>
              <w:spacing w:after="0" w:line="185"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20" w:type="dxa"/>
            <w:vAlign w:val="bottom"/>
          </w:tcPr>
          <w:p>
            <w:pPr>
              <w:spacing w:after="0"/>
              <w:rPr>
                <w:sz w:val="14"/>
                <w:szCs w:val="14"/>
                <w:color w:val="auto"/>
              </w:rPr>
            </w:pPr>
          </w:p>
        </w:tc>
        <w:tc>
          <w:tcPr>
            <w:tcW w:w="1120" w:type="dxa"/>
            <w:vAlign w:val="bottom"/>
          </w:tcPr>
          <w:p>
            <w:pPr>
              <w:jc w:val="center"/>
              <w:ind w:right="10"/>
              <w:spacing w:after="0" w:line="171"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20" w:type="dxa"/>
            <w:vAlign w:val="bottom"/>
          </w:tcPr>
          <w:p>
            <w:pPr>
              <w:spacing w:after="0"/>
              <w:rPr>
                <w:sz w:val="14"/>
                <w:szCs w:val="14"/>
                <w:color w:val="auto"/>
              </w:rPr>
            </w:pPr>
          </w:p>
        </w:tc>
        <w:tc>
          <w:tcPr>
            <w:tcW w:w="1140" w:type="dxa"/>
            <w:vAlign w:val="bottom"/>
          </w:tcPr>
          <w:p>
            <w:pPr>
              <w:jc w:val="center"/>
              <w:ind w:right="10"/>
              <w:spacing w:after="0" w:line="171"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retirement</w:t>
            </w:r>
          </w:p>
        </w:tc>
        <w:tc>
          <w:tcPr>
            <w:tcW w:w="120" w:type="dxa"/>
            <w:vAlign w:val="bottom"/>
          </w:tcPr>
          <w:p>
            <w:pPr>
              <w:spacing w:after="0"/>
              <w:rPr>
                <w:sz w:val="16"/>
                <w:szCs w:val="16"/>
                <w:color w:val="auto"/>
              </w:rPr>
            </w:pPr>
          </w:p>
        </w:tc>
        <w:tc>
          <w:tcPr>
            <w:tcW w:w="11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18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9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retirement</w:t>
            </w:r>
          </w:p>
        </w:tc>
        <w:tc>
          <w:tcPr>
            <w:tcW w:w="120" w:type="dxa"/>
            <w:vAlign w:val="bottom"/>
          </w:tcPr>
          <w:p>
            <w:pPr>
              <w:spacing w:after="0"/>
              <w:rPr>
                <w:sz w:val="16"/>
                <w:szCs w:val="16"/>
                <w:color w:val="auto"/>
              </w:rPr>
            </w:pPr>
          </w:p>
        </w:tc>
        <w:tc>
          <w:tcPr>
            <w:tcW w:w="11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60" w:type="dxa"/>
            <w:vAlign w:val="bottom"/>
          </w:tcPr>
          <w:p>
            <w:pPr>
              <w:spacing w:after="0"/>
              <w:rPr>
                <w:sz w:val="16"/>
                <w:szCs w:val="16"/>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OCI, before reclassifications and income taxes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OCI before reclassifications, net of income taxes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Amounts reclassified from AOCI to earnings, before income</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80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Amounts reclassified from AOCI to earnings, net of income</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OCI, net of income taxes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580" w:hanging="168"/>
        <w:spacing w:after="0" w:line="229" w:lineRule="auto"/>
        <w:tabs>
          <w:tab w:leader="none" w:pos="51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reclassifications from accumulated OCI to net income are included in interest expense, net in the Condensed Consolidated Statements of Operations.</w:t>
      </w: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Post-</w:t>
            </w:r>
          </w:p>
        </w:tc>
        <w:tc>
          <w:tcPr>
            <w:tcW w:w="140" w:type="dxa"/>
            <w:vAlign w:val="bottom"/>
          </w:tcPr>
          <w:p>
            <w:pPr>
              <w:spacing w:after="0"/>
              <w:rPr>
                <w:sz w:val="14"/>
                <w:szCs w:val="14"/>
                <w:color w:val="auto"/>
              </w:rPr>
            </w:pPr>
          </w:p>
        </w:tc>
        <w:tc>
          <w:tcPr>
            <w:tcW w:w="118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40" w:type="dxa"/>
            <w:vAlign w:val="bottom"/>
          </w:tcPr>
          <w:p>
            <w:pPr>
              <w:spacing w:after="0"/>
              <w:rPr>
                <w:sz w:val="14"/>
                <w:szCs w:val="14"/>
                <w:color w:val="auto"/>
              </w:rPr>
            </w:pPr>
          </w:p>
        </w:tc>
        <w:tc>
          <w:tcPr>
            <w:tcW w:w="114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retirement</w:t>
            </w:r>
          </w:p>
        </w:tc>
        <w:tc>
          <w:tcPr>
            <w:tcW w:w="14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14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9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retirement</w:t>
            </w:r>
          </w:p>
        </w:tc>
        <w:tc>
          <w:tcPr>
            <w:tcW w:w="14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160" w:type="dxa"/>
            <w:vAlign w:val="bottom"/>
          </w:tcPr>
          <w:p>
            <w:pPr>
              <w:spacing w:after="0"/>
              <w:rPr>
                <w:sz w:val="15"/>
                <w:szCs w:val="15"/>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4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4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40" w:type="dxa"/>
            <w:vAlign w:val="bottom"/>
          </w:tcPr>
          <w:p>
            <w:pPr>
              <w:spacing w:after="0"/>
              <w:rPr>
                <w:sz w:val="21"/>
                <w:szCs w:val="21"/>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OCI, before reclassifications and income taxes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OCI before reclassifications, net of income taxes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478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Amounts reclassified from AOCI to earnings, before income</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5"/>
        </w:trPr>
        <w:tc>
          <w:tcPr>
            <w:tcW w:w="478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Amounts reclassified from AOCI to earnings, net of income</w:t>
            </w: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OCI, net of income taxes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right="580" w:hanging="168"/>
        <w:spacing w:after="0" w:line="229" w:lineRule="auto"/>
        <w:tabs>
          <w:tab w:leader="none" w:pos="51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reclassifications from accumulated OCI to net income are included in interest expense, net in the Condensed Consolidated Statements of Operations.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67"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The financial instruments measured at fair value in the accompanying condensed consolidated balance sheets consisted of the following at the periods presented below:</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19685</wp:posOffset>
            </wp:positionV>
            <wp:extent cx="16287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 w:lineRule="exact"/>
        <w:rPr>
          <w:sz w:val="20"/>
          <w:szCs w:val="20"/>
          <w:color w:val="auto"/>
        </w:rPr>
      </w:pPr>
    </w:p>
    <w:p>
      <w:pPr>
        <w:jc w:val="center"/>
        <w:ind w:left="5700"/>
        <w:spacing w:after="0"/>
        <w:tabs>
          <w:tab w:leader="none" w:pos="300" w:val="left"/>
          <w:tab w:leader="none" w:pos="34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19685</wp:posOffset>
            </wp:positionV>
            <wp:extent cx="15944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jc w:val="center"/>
        <w:ind w:right="740"/>
        <w:spacing w:after="0"/>
        <w:tabs>
          <w:tab w:leader="none" w:pos="280" w:val="left"/>
          <w:tab w:leader="none" w:pos="34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31" w:lineRule="exact"/>
        <w:rPr>
          <w:sz w:val="20"/>
          <w:szCs w:val="20"/>
          <w:color w:val="auto"/>
        </w:rPr>
      </w:pPr>
    </w:p>
    <w:p>
      <w:pPr>
        <w:sectPr>
          <w:pgSz w:w="11900" w:h="16838" w:orient="portrait"/>
          <w:cols w:equalWidth="0" w:num="2">
            <w:col w:w="7900" w:space="440"/>
            <w:col w:w="290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derivative instruments</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asset</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derivative instruments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derivative instruments</w:t>
            </w: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liability</w:t>
            </w: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Level 3 assets or liabilities as of December 31, 2025 or March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derivative financial instruments, which were designated as cash flow hedges, to manage its exposure to interest rate risk related to its variable rate debt and reducing volatility of interest expense as the variable-to-fixed interest rate swaps effectively convert a portion of the variable rate debt into fixed interest rate debt. The Company’s outstanding interest rate swaps have a total notional amount of $350 million as of December 31, 2025 and mature from June 30, 2026 to June 30, 2027.</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interest rate swaps are considered over-the-counter derivatives which are recorded in the condensed consolidated balance sheet on a gross basis at estimated fair value. Fair value is estimated based on the present value of future cash flows using a model-derived valuation that uses Level 2 observable inputs such as interest rate yield curves. The changes in the fair value of interest rate swaps designated as cash flow hedges are recorded in AOCI, net of taxes, and are subsequently reclassified into interest expense, net in the period that the hedged forecasted interest payments are made on the Company's variable-rate debt. Over the next 12 months, the Company estimates that approximately $2 million will be reclassified as an increase to interest expense. Cash flows associated with periodic settlements of interest rate swaps are classified as operating activities in the condensed consolidated statement of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the Company's cash and cash equivalents presented on the accompanying condensed consolidated balance sheets include the money market funds disclosed in the table above. As of both December 31, 2025 and March 31, 2025, the fair value of the Company’s cash and cash equivalents approximated its carrying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fair value is disclosed on a quarterly basis.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estimated fair value of long-term debt as of December 31, 2025 and March 31, 2025 was $3,970 million and $3,954 million,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the total of our investments that are accounted for at fair value on a non-recurring basis under the measurement alternative were $107 million and $85 million, respectively. While these assets are not measured at fair value on an ongoing basis, they are subject to fair value adjustments in certain circumstances (e.g., observable price changes or impairment).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Costs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1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2025, the Company had recorded liabilities of approximately $247 million and $245 million, respectively, for estimated adjustments to claimed costs based on its historical DCAA audit results, including the final resolution of such audits with DCMA, for claimed costs incurred subsequent to fiscal 2011.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Commitments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committed to invest up to $400 million as a limited partner in a venture capital fund that focuses on late-stage venture capital investments (the “Fund”). The commitment is subject to capital calls to be funded over the Fund’s 10-year term, which may be extended in accordance with the Fund’s governing documents. The Company expects to fund at least $76 million in the fourth quarter, and that future capital calls will be concentrated in the earlier years of the Fund's operation as the Fund executes on its expected investment strategy. The Company accounts for its interest in the Fund under the equity method and the balance will be recorded in other long-term assets on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Not Yet Commenced</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12, 2025, the Company entered into two 15-year lease agreements for corporate office space in Reston, Virginia that have not yet commenced as of December 31, 2025. The Company plans to relocate its headquarters to the office space in the fall of 2027, dependent upon the timing of the completion of various tenant improvements. Under these lease agreements, which were entered into by Booz Allen Hamilton and are guaranteed by the Company, the estimated total undiscounted base lease payments are $222 million and the agreements provide for up to $57 million in tenant improvement allowances.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Condensed Consolidated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Related Charges</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employee severance and related charges including stock-based compensation, employee benefits and payroll taxes related to employees terminated pursuant to cost management initiatives. The Company records these costs when it is probable that employees will be entitled to termination benefits and the amounts can be reasonably estimated.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tables in millions, except share and per share data or unless otherwise noted)</w:t>
      </w:r>
    </w:p>
    <w:p>
      <w:pPr>
        <w:spacing w:after="0" w:line="3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cost management initiative and restructuring of the Civil business in the first quarter of fiscal 2026 resulted in $36 million of severance and related expenses. In the third quarter of fiscal 2026, the Company began actions to reduce costs as a result of the slowed procurement and funding environment. For the three months ended December 31, 2025, the Company recorded severance and related charges of $25 million related to this initiative. Severance and related charges included in the condensed consolidated statements of operations for the three and nine months ended December 31, 2025, are summarized below:</w:t>
      </w:r>
    </w:p>
    <w:p>
      <w:pPr>
        <w:spacing w:after="0" w:line="4"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5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8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severance charges</w:t>
            </w:r>
          </w:p>
        </w:tc>
        <w:tc>
          <w:tcPr>
            <w:tcW w:w="1880" w:type="dxa"/>
            <w:vAlign w:val="bottom"/>
            <w:tcBorders>
              <w:bottom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unpaid portion of these severance and related charges is included in accrued compensation and benefits in the condensed consolidated balance sheet and consisted of the following at the period presented below:</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severance and related charges as of April 1,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and related charges incurred during the period</w:t>
            </w:r>
          </w:p>
        </w:tc>
        <w:tc>
          <w:tcPr>
            <w:tcW w:w="220" w:type="dxa"/>
            <w:vAlign w:val="bottom"/>
          </w:tcPr>
          <w:p>
            <w:pPr>
              <w:spacing w:after="0"/>
              <w:rPr>
                <w:sz w:val="19"/>
                <w:szCs w:val="19"/>
                <w:color w:val="auto"/>
              </w:rPr>
            </w:pPr>
          </w:p>
        </w:tc>
        <w:tc>
          <w:tcPr>
            <w:tcW w:w="19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61</w:t>
            </w: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and other</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(43)</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severance and related charges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30, 2025, the Company completed a transaction for the sale of a group of contracts, as well as the assets and liabilities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contracts and the workforce that provides services under those contracts. As a result of this transaction, the Company recognized a pre-tax gain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million which is reflected in other income (expense), on the condensed consolidated statement of operations. The consideration for the sale is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working capital adjustments and contingent consideration, which may impact the amount of the gain ultimately recognized.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6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2025 filed with the Securities and Exchange Commission on May 23, 2025,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74"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Trusted to transform missions with the power of tomorrow’s technologies, Booz Allen advances the nation’s most critical civil, defense, and national security priorities. As an advanced technology company, we build technology solutions using AI, cyber, and other cutting-edge technologies to advance and protect the nation and its citizens. By focusing on outcomes, we enable our people and customers to transform missions for the nation.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approximately 31,600 employees support critical missions for a diverse base of federal government customers, including nearly all of the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U.S. government's cabinet-level departments, as well as for commercial customers, both domestically and in select international locations. Our work is designed to protect soldiers in combat, secure our national infrastructure, enable enhanced digital services, and improve government efficiency to achieve better outcomes. Drawing on our deep expertise and leading position as a cybersecurity provider, we bring advanced tradecraft to commercial customers across industries, including financial services, health and life sciences, energy, and technology.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“—Results of Operations.” As a result, we began actions in the third fiscal quarter to reduce costs by approximately $150 million annually.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Budgetary and Regulatory Environment</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U.S. continues to face an uncertain and evolving budgetary and regulatory environment, and we expect this uncertainty will continue. Our business performance is affected by the overall level of U.S. government spending and the alignment of our offerings and capabilities with the spending priorities of the U.S. government.</w:t>
      </w:r>
    </w:p>
    <w:p>
      <w:pPr>
        <w:spacing w:after="0" w:line="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U.S. government is driving changes in the structure and priorities of U.S. government agencies and the U.S. government is currently in the process of reviewing spending across U.S. government agencies to ensure it aligns with the administration’s priorities of maximizing governmental efficiency and productivity. We have been, and will continue to be, subject to these reviews, and we have had, and may in the future have, certain of our contracts impacted, reduced or canceled as a result of these reviews. We have also experienced price adjustments and renegotiations prior to option exercise of certain of our contracts as a result of these reviews and may in the future continue to experience such adjustments. Further, we are, and may in the future be, subject to customer mandates to formulate additional methods by which to achieve efficiencies in providing our services, and we remain in ongoing discussions with various U.S. government departments and agencies in relation to cost reductions and other potential contract modifications. There can be no assurance that these reviews will not ultimately have a material adverse impact on our business and financial performance.</w:t>
      </w:r>
    </w:p>
    <w:p>
      <w:pPr>
        <w:spacing w:after="0" w:line="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administration is putting in place a number of Executive Orders and actions that have and could continue to affect our business. U.S. government agencies are also undertaking their own independent reviews of their contract portfolios and reviewing future procurements in response to recent Executive Orders focused on efficiency in government procurement. At the same time that the scrutiny is increasing, there have been reductions in personnel at U.S. government agencies with which we do business. These reductions in personnel, along with the changing regulatory environment, have led to a slowed procurement environment, with delays in the granting of new contract awards, increased willingness by agencies to not spend government money, delays in the processing of payments by government payment offices, as well as increased processing times for security clearances and other governmental consents. This slowed procurement environment has resulted in a substantial reduction in the ordinary end of government fiscal year funding surge when compared to prior fiscal years and, in the aggregate, has resulted in negative impacts to our business and financial performance.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have observed preparatory steps by the U.S. government to implement two specific Executive Orders that are intended to (i) simplify and accelerate the procurement process through a review and restructuring of the Federal Acquisition Regulation (“FAR”), and its supplements and (ii) modernize defense acquisitions by promoting commercial solutions, innovative acquisition authorities, and other existing streamlined processes. The FAR Council, the body responsible for issuing and maintaining the FAR, completed the preliminary stage of FAR reform efforts at the end of September 2025. The Office of Federal Procurement Policy and FAR Council have solicited feedback on these efforts and will turn next to the formal rulemaking process. Likewise, in early November 2025, the Secretary of War announced and released an associated memorandum regarding a new acquisition strategy and directing certain reforms addressing Department of Defense purchases of military weapons. The Secretary’s accompanying memorandum and strategy outline a number of actions focused on rebuilding the Defense Industrial Base, elevating and empowering the acquisition workforce, maximizing acquisition flexibility, developing high performance systems, and improving effective lifecycle risk management. While the impact of the aforementioned changes remains uncertain, the new acquisition strategy and streamlined procurement processes have the potential to have positive impacts on our business.</w:t>
      </w:r>
    </w:p>
    <w:p>
      <w:pPr>
        <w:spacing w:after="0" w:line="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18, 2025, the National Defense Authorization Act was signed into law, which included a number of reforms that may also impact our business. Although the final bill did not adopt more narrow commercial preferences or expand the statutory definition of contractors who qualify as nontraditional contractors, it did exempt contractors who meet that definition from certain burdensome compliance requirements. The continued focus on removing barriers to new entrants and any related future legislation could reduce the likelihood of direct awards to companies like Booz Allen and effect our competitive position.</w:t>
      </w:r>
    </w:p>
    <w:p>
      <w:pPr>
        <w:spacing w:after="0" w:line="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12, 2025, the President signed into law the Continuing Appropriations, Agriculture, Legislative Branch, Military Construction and Veterans Affairs, and Extensions Act, 2026, which funded the U.S. government under a short-term continuing resolution through January 30, 2026. At this time, Congress has failed to approve additional appropriations to fund the U.S. government past that time, which could result in a government shutdown. A prolonged government shutdown could have a negative impact on our business, financial condition and operating results.</w:t>
      </w:r>
    </w:p>
    <w:p>
      <w:pPr>
        <w:spacing w:after="0" w:line="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7, 2026, President Trump signed an Executive Order, “Prioritizing the Warfighter in Defense Contracting” (the “Executive Order”), that, among other things, limits stock buybacks and the payment of dividends by certain defense contractors. The Executive Order directs the Secretary of War to identify defense contractors that are underperforming on their contracts, not investing their own capital into necessary production capacity, not sufficiently prioritizing United States Government contracts, or whose production speed is insufficient as determined by the Secretary, and that have, during the period of underperformance or insufficient prioritization, investment, or production speed, engaged in any stock buy-back or corporate distribution. If the Company is identified pursuant to the Executive Order, it may have a negative impact on our dividends, stock buyback programs, and our ability to attract and retain talented executives.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61" w:lineRule="exact"/>
        <w:rPr>
          <w:sz w:val="20"/>
          <w:szCs w:val="20"/>
          <w:color w:val="auto"/>
        </w:rPr>
      </w:pPr>
    </w:p>
    <w:p>
      <w:pPr>
        <w:ind w:left="660" w:right="80" w:hanging="328"/>
        <w:spacing w:after="0" w:line="28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1" w:lineRule="exact"/>
        <w:rPr>
          <w:rFonts w:ascii="Times New Roman" w:cs="Times New Roman" w:eastAsia="Times New Roman" w:hAnsi="Times New Roman"/>
          <w:sz w:val="18"/>
          <w:szCs w:val="18"/>
          <w:i w:val="1"/>
          <w:iCs w:val="1"/>
          <w:color w:val="auto"/>
        </w:rPr>
      </w:pPr>
    </w:p>
    <w:p>
      <w:pPr>
        <w:ind w:left="660" w:right="18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funding has not been appropriated or otherwise authorized.</w:t>
      </w:r>
    </w:p>
    <w:p>
      <w:pPr>
        <w:spacing w:after="0" w:line="1"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our customers’ option and for which funding has not been appropriated or otherwise authorized.</w:t>
      </w:r>
    </w:p>
    <w:p>
      <w:pPr>
        <w:spacing w:after="0" w:line="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indefinite delivery/indefinite quantity (“IDIQ”) contracts, General Services Administration (“GSA”) Multiple Award schedule contracts (“GSA schedules”) or other master agreement contract vehicles, except to the extent that task orders have been awarded to us under those contracts.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as of the respective periods presented:</w:t>
      </w:r>
    </w:p>
    <w:p>
      <w:pPr>
        <w:spacing w:after="0" w:line="2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29"/>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Unfunded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30"/>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Priced options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r>
      <w:tr>
        <w:trPr>
          <w:trHeight w:val="248"/>
        </w:trPr>
        <w:tc>
          <w:tcPr>
            <w:tcW w:w="6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backlog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300" w:right="1080" w:hanging="161"/>
        <w:spacing w:after="0" w:line="21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Amounts reflect the Company’s change in policy during the fourth quarter of fiscal 2025 to exclude contracts for which the period of performance has expired.</w:t>
      </w:r>
    </w:p>
    <w:p>
      <w:pPr>
        <w:spacing w:after="0" w:line="1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total backlog consists of contractual values which is inclusive of remaining performance obligations, unexercised option periods and other unexercised optional orders. As of December 31, 2025 and March 31, 2025, the Company had $10.5 billion and $9.5 billion of remaining performance obligations, respectively, and we expect to recognize approximately 65% of the remaining performance obligations as of December 31, 2025 as revenue over the next 12 months, and approximately 70% over the next 24 months. The remainder is expected to be recognized thereafter. We also expect to recognize revenue from a substantial portion of funded backlog as of December 31, 2025, within the next twelve months. However, given the uncertainties discussed below, as well as the risks described in “Item 1A. Risk Factors” of our Annual Report on Form 10-K for the fiscal year ended March 31, 2025, we can give no assurance that we will be able to convert our performance obligations or funded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view growth in total backlog as a key measure of our potential business growth. Total backlog increased by 2% from December 31, 2024 to December 31, 2025. Additions to funded backlog during the twelve months ended December 31, 2025 and 2024 totaled $11.0 billion and $11.8 billion, respectively, as a result of the conversion of unfunded backlog to funded backlog, the award of new contracts and task orders under which funding was appropriated, and the exercise and subsequent funding of priced options.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include contract modifications, including reductions in contract value, a reduction in U.S. government spending, whether due to cost cutting initiatives or other efforts to reduce spending, delayed funding of our contracts, and the other risks and factors listed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 Budgetary and Regulatory Environment” in this Quarterly Report, as well as those listed under “Risk Factors” in our Annual Report on Form 10-K for the year ended March 31, 2025. In addition, the amount of our funded backlog is also subject to change due to these factors. In our recent experience, the slowed procurement environment and reductions in contract value have had a negative effect on our ability to convert backlog to revenue as of December 31, 2025, and could have additional impacts in the future to our business and financial performance.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2025.</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items from our condensed consolidated statements of operations for the respective periods shown: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Pr>
          <w:p>
            <w:pPr>
              <w:spacing w:after="0"/>
              <w:rPr>
                <w:sz w:val="16"/>
                <w:szCs w:val="16"/>
                <w:color w:val="auto"/>
              </w:rPr>
            </w:pPr>
          </w:p>
        </w:tc>
      </w:tr>
      <w:tr>
        <w:trPr>
          <w:trHeight w:val="214"/>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Pr>
          <w:p>
            <w:pPr>
              <w:spacing w:after="0"/>
              <w:rPr>
                <w:sz w:val="18"/>
                <w:szCs w:val="18"/>
                <w:color w:val="auto"/>
              </w:rPr>
            </w:pPr>
          </w:p>
        </w:tc>
      </w:tr>
      <w:tr>
        <w:trPr>
          <w:trHeight w:val="208"/>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23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Billable expenses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3"/>
        </w:trPr>
        <w:tc>
          <w:tcPr>
            <w:tcW w:w="3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32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Revenue decreased 10% to $2,620 million, and 6% to $8,434 million, respectively, for the three and nine months ended December 31, 2025 compared to the prior year period. The decrease was primarily driven by the impact of a slowed procurement and funding environment, including the government shutdown that occurred in the third quarter of fiscal 2026. These factors drove a decrease in headcount, as well as a decline in billable expenses. In addition, revenue was positively impacted in the prior year by $122 million representing the reduction to our provision for claimed costs recorded during the second quarter of fiscal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the increases or decreases in labor and employee related costs as we are awarded contracts, task orders, and additional work under our existing contracts, and the hiring of people with specific skill sets and security clearances.</w:t>
      </w:r>
    </w:p>
    <w:p>
      <w:pPr>
        <w:spacing w:after="0" w:line="6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Cost of revenue includes direct labor, related employee benefits, and overhead. Overhead consists of indirect costs, including indirect labor relating to infrastructure, management and administration, and other expenses. Cost of revenue as a percentage of revenue was 48% and 45% for both the three and nine months ended December 31, 2025 and 2024, respectively. Cost of revenue decreased 4% for the three months ended December 31, 2025, and remained flat for the nine months ended December 31, 2025, as compared to the three and nine months ended December 31, 2024. The decrease for the quarter-to-date period was primarily due to decreases in salaries and related benefits due to overall headcount reductions.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Billable expenses include direct subcontractor expenses, travel expenses, and other expenses incurred to perform on contracts. Billable expenses as a percentage of revenue were 30% and 32% for the three months ended December 31, 2025 and 2024, respectively, and 31% and 32% for the nine months ended December 31, 2025 and 2024, respectively. Billable expenses decreased 18% and 10% for the three and nine months ended December 31, 2025, respectively, compared to the three and nine months ended December 31, 2024. The decreases were primarily attributable to decreases in the use of subcontractors driven by customer demand and timing of customer needs, partially offset by increases in other direct expenses as compared to the prior year.</w:t>
      </w: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indirect labor of executive management and corporate administrative functions, marketing and bid and proposal costs, legal costs, and other discretionary spending. General and administrative expenses as a percentage of revenue was 12% for both the three months ended December 31, 2025 and 2024, respectively, and 11% and 10% for the nine months ended December 31, 2025 and 2024, respectively. General and administrative expenses decreased 7% and increased 6% for the three and nine months ended December 31, 2025, respectively, compared to the three and nine months ended December 31, 2024.</w:t>
      </w:r>
    </w:p>
    <w:p>
      <w:pPr>
        <w:spacing w:after="0" w:line="7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Fiscal 2025 reflects $115 million in insurance recoveries from claims related to the Company’s fiscal 2024 settlement as described in Note 20, “Commitments and Contingencies,” to the consolidated financial statements contained within the Annual Report on Form 10-K for the fiscal year ended March 31, 2024, which primarily drove the increase for the year-to-date period. This was partially offset by decreases in salaries and related benefits, primarily due to overall headcount reductions, which also drove the decrease for the quarter-to-date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includes the depreciation of computers, leasehold improvements, furniture and other equipment, and the amortization of internally developed software, as well as third-party software that we use internally, and of identifiable long-lived intangible assets over their estimated useful lives. Depreciation and amortization expense remained flat for the three months ended December 31, 2025, and decreased 2% for the nine months ended December 31, 2025, respectively, as compared to the three and nine months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decreased 21% to $230 million and decreased 30% to $770 million for the three and nine months ended December 31, 2025, respectively, compared to the three and nine months ended December 31, 2024, reflecting decreases in operating margin from 10% to 9% and from 12% to 9%. Operating income was driven by the factors noted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Interest expense, net increased 12% and 10% for the three and nine months ended December 31, 2025, respectively, as compared to the three and nine months ended December 31, 2024, primarily due to increases of $10 million and $29 million in bond interest expense, respectively, driven by the</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$650 million Senior Notes due 2035 (issued in March of fiscal 2025). This was partially offset by lower interest rates on the Company’s term loans, as well as increases in interest income, reflecting the higher cash balances following the bond issuance noted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increased to $4 million for the three months ended December 31, 2025 from $(1) million for the three months ended</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December 31, 2024, and decreased to $5 million for the nine months ended December 31, 2025 from $6 million for the nine months ended December 31, 2024. The increase over the quarter-to-date period was primarily driven by a $7 million gain recognized on the sale of a group of contracts. Larger increases in the fair value of the Company’s investments reflected in fiscal 2025 as compared to fiscal 2026 offset the gain noted above, driving a decrease over the year to date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Income tax expense decreased 121% and 104% for the three and nine months ended December 31, 2025 as compared to the three and nine months ended December 31, 2024. The effective tax rate decreased to (7.0)% from 24.7% for the three month period and to (1.6)% from 24.0% for the nine month period. The decrease in tax expense was primarily driven by a reduction in the income tax reserve related to the completion of IRS examination procedures in the first quarter, the decrease in pre-tax income, and the tax benefit recognized in the third quarter as a result of a higher-than-estimated research and development tax credit and additional foreign derived intangible income deductions.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publicly disclose certain non-GAAP financial measurements, including </w:t>
      </w:r>
      <w:r>
        <w:rPr>
          <w:rFonts w:ascii="Times New Roman" w:cs="Times New Roman" w:eastAsia="Times New Roman" w:hAnsi="Times New Roman"/>
          <w:sz w:val="18"/>
          <w:szCs w:val="18"/>
          <w:i w:val="1"/>
          <w:iCs w:val="1"/>
          <w:color w:val="auto"/>
        </w:rPr>
        <w:t>Revenue, Excluding Billable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because management uses these measures for business planning purposes, including to manage our business against internal projected results of operations and measure our performance. We view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w:t>
      </w:r>
      <w:r>
        <w:rPr>
          <w:rFonts w:ascii="Times New Roman" w:cs="Times New Roman" w:eastAsia="Times New Roman" w:hAnsi="Times New Roman"/>
          <w:sz w:val="18"/>
          <w:szCs w:val="18"/>
          <w:i w:val="1"/>
          <w:iCs w:val="1"/>
          <w:color w:val="auto"/>
        </w:rPr>
        <w:t>Revenue, Excluding Billable Expenses</w:t>
      </w:r>
      <w:r>
        <w:rPr>
          <w:rFonts w:ascii="Times New Roman" w:cs="Times New Roman" w:eastAsia="Times New Roman" w:hAnsi="Times New Roman"/>
          <w:sz w:val="18"/>
          <w:szCs w:val="18"/>
          <w:color w:val="auto"/>
        </w:rPr>
        <w:t xml:space="preserve">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 These supplemental performance measurements may vary from and may not be comparable to similarly titled measures by other companies in our industry. </w:t>
      </w:r>
      <w:r>
        <w:rPr>
          <w:rFonts w:ascii="Times New Roman" w:cs="Times New Roman" w:eastAsia="Times New Roman" w:hAnsi="Times New Roman"/>
          <w:sz w:val="18"/>
          <w:szCs w:val="18"/>
          <w:i w:val="1"/>
          <w:iCs w:val="1"/>
          <w:color w:val="auto"/>
        </w:rPr>
        <w:t>Revenue, Excluding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Billable Expenses,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Adjusted EBITDA </w:t>
      </w:r>
      <w:r>
        <w:rPr>
          <w:rFonts w:ascii="Times New Roman" w:cs="Times New Roman" w:eastAsia="Times New Roman" w:hAnsi="Times New Roman"/>
          <w:sz w:val="18"/>
          <w:szCs w:val="18"/>
          <w:color w:val="auto"/>
        </w:rPr>
        <w:t>are not recognized measurements under accounting principles generally accepted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(“GAAP”) and when analyzing our performance, investors should (i) evaluate each adjustment in our reconciliation of revenue to </w:t>
      </w:r>
      <w:r>
        <w:rPr>
          <w:rFonts w:ascii="Times New Roman" w:cs="Times New Roman" w:eastAsia="Times New Roman" w:hAnsi="Times New Roman"/>
          <w:sz w:val="18"/>
          <w:szCs w:val="18"/>
          <w:i w:val="1"/>
          <w:iCs w:val="1"/>
          <w:color w:val="auto"/>
        </w:rPr>
        <w:t>Revenue, Excluding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Billable Expenses</w:t>
      </w:r>
      <w:r>
        <w:rPr>
          <w:rFonts w:ascii="Times New Roman" w:cs="Times New Roman" w:eastAsia="Times New Roman" w:hAnsi="Times New Roman"/>
          <w:sz w:val="18"/>
          <w:szCs w:val="18"/>
          <w:color w:val="auto"/>
        </w:rPr>
        <w:t>, net income to</w:t>
      </w:r>
      <w:r>
        <w:rPr>
          <w:rFonts w:ascii="Times New Roman" w:cs="Times New Roman" w:eastAsia="Times New Roman" w:hAnsi="Times New Roman"/>
          <w:sz w:val="18"/>
          <w:szCs w:val="18"/>
          <w:i w:val="1"/>
          <w:iCs w:val="1"/>
          <w:color w:val="auto"/>
        </w:rPr>
        <w:t xml:space="preserve">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Adjusted EBITDA, </w:t>
      </w:r>
      <w:r>
        <w:rPr>
          <w:rFonts w:ascii="Times New Roman" w:cs="Times New Roman" w:eastAsia="Times New Roman" w:hAnsi="Times New Roman"/>
          <w:sz w:val="18"/>
          <w:szCs w:val="18"/>
          <w:color w:val="auto"/>
        </w:rPr>
        <w:t>and (ii) use</w:t>
      </w:r>
      <w:r>
        <w:rPr>
          <w:rFonts w:ascii="Times New Roman" w:cs="Times New Roman" w:eastAsia="Times New Roman" w:hAnsi="Times New Roman"/>
          <w:sz w:val="18"/>
          <w:szCs w:val="18"/>
          <w:i w:val="1"/>
          <w:iCs w:val="1"/>
          <w:color w:val="auto"/>
        </w:rPr>
        <w:t xml:space="preserve"> Revenue, Excluding Billable Expenses,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Adjusted EBITDA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and not as an alternative to, revenue and net income, as measures of operating results, each as defined under GAAP. We have defined the aforementioned non-GAAP measures as follows:</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Revenue, Excluding Billable Expenses </w:t>
      </w:r>
      <w:r>
        <w:rPr>
          <w:rFonts w:ascii="Times New Roman" w:cs="Times New Roman" w:eastAsia="Times New Roman" w:hAnsi="Times New Roman"/>
          <w:sz w:val="18"/>
          <w:szCs w:val="18"/>
          <w:color w:val="auto"/>
        </w:rPr>
        <w:t>represents revenue less billable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represents net income before income taxes, interest expense, net and other income (expense), and depreciation and amortization.</w:t>
      </w:r>
    </w:p>
    <w:p>
      <w:pPr>
        <w:spacing w:after="0" w:line="63" w:lineRule="exact"/>
        <w:rPr>
          <w:rFonts w:ascii="Times New Roman" w:cs="Times New Roman" w:eastAsia="Times New Roman" w:hAnsi="Times New Roman"/>
          <w:sz w:val="18"/>
          <w:szCs w:val="18"/>
          <w:color w:val="auto"/>
        </w:rPr>
      </w:pPr>
    </w:p>
    <w:p>
      <w:pPr>
        <w:ind w:left="660" w:right="2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represents net income before income tax expense, interest expense, net and other income (expense), and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amortization and before certain other items, including change in provision for claimed costs for historical rate years, certain other corporate expenses, and certain insurance recoveries. The Company prepares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to eliminate the impact of items it does not consider indicative of ongoing operating performance due to their inherent unusual, extraordinary or non-recurring nature or because they result from an event of a similar nature.</w:t>
      </w:r>
    </w:p>
    <w:p>
      <w:pPr>
        <w:spacing w:after="0" w:line="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 xml:space="preserve">Below is a reconciliation of our most directly comparable GAAP measures to our non-GAAP measures, Revenue to </w:t>
      </w:r>
      <w:r>
        <w:rPr>
          <w:rFonts w:ascii="Times New Roman" w:cs="Times New Roman" w:eastAsia="Times New Roman" w:hAnsi="Times New Roman"/>
          <w:sz w:val="18"/>
          <w:szCs w:val="18"/>
          <w:i w:val="1"/>
          <w:iCs w:val="1"/>
          <w:color w:val="auto"/>
        </w:rPr>
        <w:t>Revenue, Excluding Billable Expenses</w:t>
      </w:r>
      <w:r>
        <w:rPr>
          <w:rFonts w:ascii="Times New Roman" w:cs="Times New Roman" w:eastAsia="Times New Roman" w:hAnsi="Times New Roman"/>
          <w:sz w:val="18"/>
          <w:szCs w:val="18"/>
          <w:color w:val="auto"/>
        </w:rPr>
        <w:t xml:space="preserve"> and Net income to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calculated and presented in accordance with GAAP:</w:t>
      </w:r>
    </w:p>
    <w:tbl>
      <w:tblPr>
        <w:tblLayout w:type="fixed"/>
        <w:tblInd w:w="18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center"/>
              <w:ind w:right="4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6"/>
                <w:szCs w:val="16"/>
                <w:color w:val="auto"/>
              </w:rPr>
            </w:pPr>
          </w:p>
        </w:tc>
        <w:tc>
          <w:tcPr>
            <w:tcW w:w="2360" w:type="dxa"/>
            <w:vAlign w:val="bottom"/>
            <w:gridSpan w:val="3"/>
          </w:tcPr>
          <w:p>
            <w:pPr>
              <w:jc w:val="center"/>
              <w:ind w:right="21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0"/>
                <w:szCs w:val="20"/>
                <w:color w:val="auto"/>
              </w:rPr>
            </w:pPr>
          </w:p>
        </w:tc>
        <w:tc>
          <w:tcPr>
            <w:tcW w:w="23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9,005</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Billable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2,852</w:t>
            </w:r>
          </w:p>
        </w:tc>
      </w:tr>
      <w:tr>
        <w:trPr>
          <w:trHeight w:val="223"/>
        </w:trPr>
        <w:tc>
          <w:tcPr>
            <w:tcW w:w="552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Revenue, Excluding Billable Expenses</w:t>
            </w:r>
            <w:r>
              <w:rPr>
                <w:rFonts w:ascii="Times New Roman" w:cs="Times New Roman" w:eastAsia="Times New Roman" w:hAnsi="Times New Roman"/>
                <w:sz w:val="23"/>
                <w:szCs w:val="23"/>
                <w:color w:val="auto"/>
                <w:vertAlign w:val="superscript"/>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6,153</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5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 and other income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provision for claimed costs (a)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corporate expenses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Insurance recoveries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*Revenue, Excluding Billable Expenses includes $113 million of revenue for the three and nine months ending December 31, 2024, resulting from the reduction to our provision for claimed costs as noted below.</w:t>
      </w:r>
    </w:p>
    <w:p>
      <w:pPr>
        <w:spacing w:after="0" w:line="1" w:lineRule="exact"/>
        <w:rPr>
          <w:sz w:val="20"/>
          <w:szCs w:val="20"/>
          <w:color w:val="auto"/>
        </w:rPr>
      </w:pPr>
    </w:p>
    <w:p>
      <w:pPr>
        <w:ind w:left="660" w:right="100" w:hanging="247"/>
        <w:spacing w:after="0" w:line="261" w:lineRule="auto"/>
        <w:tabs>
          <w:tab w:leader="none" w:pos="6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reduction to our provision for claimed costs for years prior to fiscal 2025 recorded during the second quarter of fiscal 2025, which resulted in a corresponding increase to revenue, as a result of the Defense Contract Audit Agency's findings related to its audits of our claimed costs for multiple fiscal years. See Note 19, “Commitments and Contingencies,” to the consolidated financial statements in the Company's Form 10-K for the fiscal year ended March 31, 2025 for further information.</w:t>
      </w:r>
    </w:p>
    <w:p>
      <w:pPr>
        <w:spacing w:after="0" w:line="17" w:lineRule="exact"/>
        <w:rPr>
          <w:rFonts w:ascii="Times New Roman" w:cs="Times New Roman" w:eastAsia="Times New Roman" w:hAnsi="Times New Roman"/>
          <w:sz w:val="18"/>
          <w:szCs w:val="18"/>
          <w:color w:val="auto"/>
        </w:rPr>
      </w:pPr>
    </w:p>
    <w:p>
      <w:pPr>
        <w:ind w:left="660" w:hanging="247"/>
        <w:spacing w:after="0" w:line="261" w:lineRule="auto"/>
        <w:tabs>
          <w:tab w:leader="none" w:pos="6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2026, other corporate expenses consist primarily of nonrecoverable costs associated with employee severance from cost management and restructuring initiatives, as well as transaction costs associated with a divestiture. See Note 13, “Supplemental Condensed Consolidated Financial Information,” to the condensed consolidated financial statements for further information. In fiscal 2025, other corporate expenses consist primarily of acquisition related costs from the acquisition of PAR Government Systems Corporation (“PGSC”).</w:t>
      </w:r>
    </w:p>
    <w:p>
      <w:pPr>
        <w:spacing w:after="0" w:line="17" w:lineRule="exact"/>
        <w:rPr>
          <w:rFonts w:ascii="Times New Roman" w:cs="Times New Roman" w:eastAsia="Times New Roman" w:hAnsi="Times New Roman"/>
          <w:sz w:val="18"/>
          <w:szCs w:val="18"/>
          <w:color w:val="auto"/>
        </w:rPr>
      </w:pPr>
    </w:p>
    <w:p>
      <w:pPr>
        <w:ind w:left="660" w:right="260" w:hanging="247"/>
        <w:spacing w:after="0" w:line="266" w:lineRule="auto"/>
        <w:tabs>
          <w:tab w:leader="none" w:pos="6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2025, our total liquidity was $1.9 billion, consisting of $882 million of cash and cash equivalents and $1.0 billion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for the respective periods shown:</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3"/>
        </w:trPr>
        <w:tc>
          <w:tcPr>
            <w:tcW w:w="3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420" w:type="dxa"/>
            <w:vAlign w:val="bottom"/>
          </w:tcPr>
          <w:p>
            <w:pPr>
              <w:spacing w:after="0"/>
              <w:rPr>
                <w:sz w:val="17"/>
                <w:szCs w:val="17"/>
                <w:color w:val="auto"/>
              </w:rPr>
            </w:pPr>
          </w:p>
        </w:tc>
        <w:tc>
          <w:tcPr>
            <w:tcW w:w="142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3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6"/>
        </w:trPr>
        <w:tc>
          <w:tcPr>
            <w:tcW w:w="3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spacing w:after="0"/>
              <w:rPr>
                <w:sz w:val="16"/>
                <w:szCs w:val="16"/>
                <w:color w:val="auto"/>
              </w:rPr>
            </w:pPr>
          </w:p>
        </w:tc>
      </w:tr>
      <w:tr>
        <w:trPr>
          <w:trHeight w:val="23"/>
        </w:trPr>
        <w:tc>
          <w:tcPr>
            <w:tcW w:w="3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30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4"/>
        </w:trPr>
        <w:tc>
          <w:tcPr>
            <w:tcW w:w="3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r>
    </w:tbl>
    <w:p>
      <w:pPr>
        <w:spacing w:after="0" w:line="154"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4"/>
        </w:trPr>
        <w:tc>
          <w:tcPr>
            <w:tcW w:w="70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1"/>
        </w:trPr>
        <w:tc>
          <w:tcPr>
            <w:tcW w:w="7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7"/>
              </w:rPr>
              <w:t>(184)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7"/>
              </w:rPr>
              <w:t>(706)</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7"/>
              </w:rPr>
              <w:t>(100)</w:t>
            </w:r>
          </w:p>
        </w:tc>
      </w:tr>
      <w:tr>
        <w:trPr>
          <w:trHeight w:val="21"/>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both organic and inorganic growth of our business;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maintenance around all financial management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 including potential capital calls for venture capital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3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Credit Agreement and interest payments for the Senior Notes due 2028, Senior Notes due 2029 and Senior Notes due 2033, Senior Notes due 2035;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From time to time, we evaluate conditions to opportunistically access the financing markets to secure additional debt capital resources and improve the terms of our indebtedness. Some of the possible uses of our remaining excess cash at any point in time may include funding strategic acquisitions and investments, debt repayment, further investment in our business and returning value to stockholders through share repurchases, quarterly dividends and special dividends.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operations was $801 million for the nine months ended December 31, 2025 compared to $790 million in the prior year period. The increase in operating cash was primarily driven by lower tax payments as compared to the prior year. This was partially offset by the $115 million in insurance recoveries received in fiscal year 2025, along with the change to the Company's payroll cadence during the second quarter of fiscal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$52 million in the nine months ended December 31, 2025 compared to $184 million in the prior year period. The decrease in investing cash used over the prior year was primarily due to the Company's acquisition of PGSC in the prior year, as well as the proceeds from the divestiture of a group of contracts in the current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$752 million in the nine months ended December 31, 2025 compared to $706 million in the prior year period. The increase in financing cash used over the prior year was primarily due to an increase in share repurchases of $24 million and an increase in term loan payments of $22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January 23, 2026, the Company announced a regular quarterly cash dividend in the amount of $0.59 per share. The quarterly dividend is payable on March 2, 2026 to stockholders of record on February 13, 2026.</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December 31, 2025, quarterly cash dividends of $0.55 and $1.65 per share, respectively, were declared and paid totaling $67 million and $205 million, respectively.</w:t>
      </w:r>
    </w:p>
    <w:p>
      <w:pPr>
        <w:spacing w:after="0" w:line="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December 12, 2011, the Board of Directors initially approved a share repurchase program, which was subsequently increased from time to time, and most recently increased by $500 million to $4,085 million on October 22, 2025. The Company may repurchase shares pursuant to the program by means of open market repurchases, directly negotiated repurchases or through agents acting pursuant to negotiated repurchase agreements. During the first nine months of fiscal 2026, the Company purchased 4.7 million shares of the Company's Class A Common Stock for an aggregate of $486 million. As of December 31, 2025, the Company had approximately $759 million remaining under the repurchase program.</w:t>
      </w:r>
    </w:p>
    <w:p>
      <w:pPr>
        <w:spacing w:after="0" w:line="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Senior Notes due 2033 and Senior Notes due 2035 were issued by Booz Allen Hamilton pursuant to the Base Indenture, among Booz Allen Hamilton, the Company and U.S. Bank Trust Company, National Association, as trustee, as supplemented by the respective Supplemental Indenture and are fully and unconditionally guaranteed on an unsecured and unsubordinated basis by the Company pursuant to the Base Indenture.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tables below present the summarized financial information as combined for the Company and Booz Allen Hamilton as of March 31, 2025 and as of and for the nine months ended December 31, 2025, after the elimination of intercompany transactions and balances between the Company and Booz Allen Hamilton and excluding the subsidiaries of both entities that are not issuers or guarantors of the Senior Notes due 2033 and Senior Notes due 2035,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Statements of Financial Condition</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6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 from non-guarantor subsidiaries</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 of accumulated amortization</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payables to non-guarantor subsidiaries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414"/>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Operations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Pr>
          <w:p>
            <w:pPr>
              <w:spacing w:after="0"/>
              <w:rPr>
                <w:sz w:val="17"/>
                <w:szCs w:val="17"/>
                <w:color w:val="auto"/>
              </w:rPr>
            </w:pPr>
          </w:p>
        </w:tc>
        <w:tc>
          <w:tcPr>
            <w:tcW w:w="2640" w:type="dxa"/>
            <w:vAlign w:val="bottom"/>
            <w:gridSpan w:val="5"/>
          </w:tcPr>
          <w:p>
            <w:pPr>
              <w:jc w:val="right"/>
              <w:ind w:right="74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non-guarantor subsidiaries</w:t>
            </w:r>
          </w:p>
        </w:tc>
        <w:tc>
          <w:tcPr>
            <w:tcW w:w="56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from non-guarantor subsidiaries</w:t>
            </w:r>
          </w:p>
        </w:tc>
        <w:tc>
          <w:tcPr>
            <w:tcW w:w="56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Obligor Group</w:t>
            </w:r>
          </w:p>
        </w:tc>
        <w:tc>
          <w:tcPr>
            <w:tcW w:w="560" w:type="dxa"/>
            <w:vAlign w:val="bottom"/>
          </w:tcPr>
          <w:p>
            <w:pPr>
              <w:spacing w:after="0"/>
              <w:rPr>
                <w:sz w:val="20"/>
                <w:szCs w:val="20"/>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12, “Commitments and Contingencies,”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(the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30" w:lineRule="exact"/>
        <w:rPr>
          <w:sz w:val="20"/>
          <w:szCs w:val="20"/>
          <w:color w:val="auto"/>
        </w:rPr>
      </w:pPr>
    </w:p>
    <w:p>
      <w:pPr>
        <w:ind w:left="660" w:right="48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reduce U.S. government spending, increased insourcing by certain U.S. government agencies, and shifts in expenditures away from agencies or programs that we support, as well as associated uncertainty around the timing, extent, nature and effect of such efforts;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well as delayed long-term funding of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comply with new and existing U.S. and international laws and regulations;</w:t>
      </w:r>
    </w:p>
    <w:p>
      <w:pPr>
        <w:spacing w:after="0" w:line="62" w:lineRule="exact"/>
        <w:rPr>
          <w:rFonts w:ascii="Arial" w:cs="Arial" w:eastAsia="Arial" w:hAnsi="Arial"/>
          <w:sz w:val="18"/>
          <w:szCs w:val="18"/>
          <w:color w:val="auto"/>
        </w:rPr>
      </w:pPr>
    </w:p>
    <w:p>
      <w:pPr>
        <w:ind w:left="660" w:right="28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U.S. government GSA Schedules or our position as prime contractor on government-wide acquisition contract vehicles (“GWACs”);</w:t>
      </w:r>
    </w:p>
    <w:p>
      <w:pPr>
        <w:spacing w:after="0" w:line="63"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certain of our U.S. government contracts and changes in the mix of our contracts including our ability to accurately estimate or otherwise recover expenses, time, and resources for our contracts;</w:t>
      </w:r>
    </w:p>
    <w:p>
      <w:pPr>
        <w:spacing w:after="0" w:line="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20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threats, including cyber attacks on our network and internal systems or on our customers’ network or internal systems;</w:t>
      </w:r>
    </w:p>
    <w:p>
      <w:pPr>
        <w:spacing w:after="0" w:line="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subcontractors, or suppliers, including the improper access, use or release of our or our customers’ sensitive or classified information;</w:t>
      </w:r>
    </w:p>
    <w:p>
      <w:pPr>
        <w:spacing w:after="0" w:line="1"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customers;</w:t>
      </w:r>
    </w:p>
    <w:p>
      <w:pPr>
        <w:spacing w:after="0" w:line="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possible recession and volatility or instability of the global financial system, including the failures of financial institutions and the resulting impact on counterparties and business conditions generally;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deterioration of economic conditions or weakening in credit or capital markets;</w:t>
      </w:r>
    </w:p>
    <w:p>
      <w:pPr>
        <w:spacing w:after="0" w:line="6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 and</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 as well as those listed under “Risk Factors” in our Annual Report on Form 10-K for the year ended March 31, 2025.</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2025 filed with the Securities and Exchange Commission on May 23,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Disclosure concerning legal proceedings can be found in Part I, Item 1. “Financial Statements, Notes to Unaudited Condensed Consolidated Financial Statements, Note 12, “Commitments and Contingencies,” under the caption, “Litigation,” which is incorporated here by this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2025 filed with the Securities and Exchange Commission on May 23,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for each of the three months in the quarter ended 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75"/>
        </w:trPr>
        <w:tc>
          <w:tcPr>
            <w:tcW w:w="364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Programs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Shares Purchased</w:t>
            </w:r>
            <w:r>
              <w:rPr>
                <w:rFonts w:ascii="Times New Roman" w:cs="Times New Roman" w:eastAsia="Times New Roman" w:hAnsi="Times New Roman"/>
                <w:sz w:val="23"/>
                <w:szCs w:val="23"/>
                <w:b w:val="1"/>
                <w:bCs w:val="1"/>
                <w:color w:val="auto"/>
                <w:w w:val="96"/>
                <w:vertAlign w:val="superscript"/>
              </w:rPr>
              <w:t>(1)</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millions)</w:t>
            </w:r>
          </w:p>
        </w:tc>
        <w:tc>
          <w:tcPr>
            <w:tcW w:w="0" w:type="dxa"/>
            <w:vAlign w:val="bottom"/>
          </w:tcPr>
          <w:p>
            <w:pPr>
              <w:spacing w:after="0"/>
              <w:rPr>
                <w:sz w:val="1"/>
                <w:szCs w:val="1"/>
                <w:color w:val="auto"/>
              </w:rPr>
            </w:pPr>
          </w:p>
        </w:tc>
      </w:tr>
      <w:tr>
        <w:trPr>
          <w:trHeight w:val="223"/>
        </w:trPr>
        <w:tc>
          <w:tcPr>
            <w:tcW w:w="36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749,017</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8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739,393</w:t>
            </w:r>
          </w:p>
        </w:tc>
        <w:tc>
          <w:tcPr>
            <w:tcW w:w="18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$809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291,233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290,931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$784</w:t>
            </w:r>
          </w:p>
        </w:tc>
        <w:tc>
          <w:tcPr>
            <w:tcW w:w="0" w:type="dxa"/>
            <w:vAlign w:val="bottom"/>
          </w:tcPr>
          <w:p>
            <w:pPr>
              <w:spacing w:after="0"/>
              <w:rPr>
                <w:sz w:val="1"/>
                <w:szCs w:val="1"/>
                <w:color w:val="auto"/>
              </w:rPr>
            </w:pPr>
          </w:p>
        </w:tc>
      </w:tr>
      <w:tr>
        <w:trPr>
          <w:trHeight w:val="229"/>
        </w:trPr>
        <w:tc>
          <w:tcPr>
            <w:tcW w:w="36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76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284,458</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c>
          <w:tcPr>
            <w:tcW w:w="184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283,269</w:t>
            </w:r>
          </w:p>
        </w:tc>
        <w:tc>
          <w:tcPr>
            <w:tcW w:w="18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$759</w:t>
            </w:r>
          </w:p>
        </w:tc>
        <w:tc>
          <w:tcPr>
            <w:tcW w:w="0" w:type="dxa"/>
            <w:vAlign w:val="bottom"/>
          </w:tcPr>
          <w:p>
            <w:pPr>
              <w:spacing w:after="0"/>
              <w:rPr>
                <w:sz w:val="1"/>
                <w:szCs w:val="1"/>
                <w:color w:val="auto"/>
              </w:rPr>
            </w:pPr>
          </w:p>
        </w:tc>
      </w:tr>
      <w:tr>
        <w:trPr>
          <w:trHeight w:val="223"/>
        </w:trPr>
        <w:tc>
          <w:tcPr>
            <w:tcW w:w="3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1,324,708</w:t>
            </w:r>
          </w:p>
        </w:tc>
        <w:tc>
          <w:tcPr>
            <w:tcW w:w="176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1,313,593</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320" w:hanging="251"/>
        <w:spacing w:after="0" w:line="242" w:lineRule="auto"/>
        <w:tabs>
          <w:tab w:leader="none" w:pos="262"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total number of shares purchased includes shares surrendered to satisfy minimum statutory tax withholding obligations related to the vesting of stock awards.</w:t>
      </w:r>
    </w:p>
    <w:p>
      <w:pPr>
        <w:spacing w:after="0" w:line="33" w:lineRule="exact"/>
        <w:rPr>
          <w:rFonts w:ascii="Times New Roman" w:cs="Times New Roman" w:eastAsia="Times New Roman" w:hAnsi="Times New Roman"/>
          <w:sz w:val="22"/>
          <w:szCs w:val="22"/>
          <w:color w:val="auto"/>
          <w:vertAlign w:val="superscript"/>
        </w:rPr>
      </w:pPr>
    </w:p>
    <w:p>
      <w:pPr>
        <w:ind w:left="340" w:hanging="251"/>
        <w:spacing w:after="0" w:line="255" w:lineRule="auto"/>
        <w:tabs>
          <w:tab w:leader="none" w:pos="262"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December 12, 2011, the Board of Directors initially approved a share repurchase program, which was subsequently increased from time to time, and most recently increased by $500 million to $4,085 million on October 22, 2025.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20, 2026, Nancy J. Laben, Executive Vice President and Chief Legal Officer of the Company, informed the Company of her planned retirement from the Company, effective April 3, 2026.</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Exhibit</w:t>
      </w: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980" w:right="80" w:hanging="954"/>
        <w:spacing w:after="0" w:line="237" w:lineRule="auto"/>
        <w:tabs>
          <w:tab w:leader="none" w:pos="980" w:val="left"/>
        </w:tabs>
        <w:numPr>
          <w:ilvl w:val="0"/>
          <w:numId w:val="16"/>
        </w:numPr>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List of Guarantors and Subsidiary Issuers of Guaranteed Securities (Incorporated by reference to Exhibit 22 to the Company’s Annual Report</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for the fiscal year ended March 31, 2025 on Form 10-K (File No. 001-34972))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80" w:type="dxa"/>
            <w:vAlign w:val="bottom"/>
          </w:tcPr>
          <w:p>
            <w:pPr>
              <w:jc w:val="right"/>
              <w:ind w:right="550"/>
              <w:spacing w:after="0" w:line="204"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Rule 13a-14(a)/15d-14(a) Certification of the Chief Executive Officer*</w:t>
            </w:r>
          </w:p>
        </w:tc>
      </w:tr>
      <w:tr>
        <w:trPr>
          <w:trHeight w:val="21"/>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980" w:type="dxa"/>
            <w:vAlign w:val="bottom"/>
            <w:tcBorders>
              <w:bottom w:val="single" w:sz="8" w:color="CCEEFF"/>
            </w:tcBorders>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0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w:t>
            </w:r>
          </w:p>
        </w:tc>
        <w:tc>
          <w:tcPr>
            <w:tcW w:w="5180" w:type="dxa"/>
            <w:vAlign w:val="bottom"/>
            <w:tcBorders>
              <w:bottom w:val="single" w:sz="8" w:color="CCEEFF"/>
            </w:tcBorders>
            <w:gridSpan w:val="4"/>
            <w:shd w:val="clear" w:color="auto" w:fill="CCEEFF"/>
          </w:tcPr>
          <w:p>
            <w:pPr>
              <w:spacing w:after="0"/>
              <w:rPr>
                <w:sz w:val="18"/>
                <w:szCs w:val="18"/>
                <w:color w:val="auto"/>
              </w:rPr>
            </w:pPr>
          </w:p>
        </w:tc>
      </w:tr>
      <w:tr>
        <w:trPr>
          <w:trHeight w:val="189"/>
        </w:trPr>
        <w:tc>
          <w:tcPr>
            <w:tcW w:w="98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required by Rule 13a-14(b) or Rule 15d-14(b) and Section 1350 of Chapter 63 of Title 18 of the</w:t>
            </w:r>
          </w:p>
        </w:tc>
      </w:tr>
      <w:tr>
        <w:trPr>
          <w:trHeight w:val="155"/>
        </w:trPr>
        <w:tc>
          <w:tcPr>
            <w:tcW w:w="980" w:type="dxa"/>
            <w:vAlign w:val="bottom"/>
          </w:tcPr>
          <w:p>
            <w:pPr>
              <w:spacing w:after="0"/>
              <w:rPr>
                <w:sz w:val="13"/>
                <w:szCs w:val="13"/>
                <w:color w:val="auto"/>
              </w:rPr>
            </w:pPr>
          </w:p>
        </w:tc>
        <w:tc>
          <w:tcPr>
            <w:tcW w:w="100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18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2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9"/>
        </w:trPr>
        <w:tc>
          <w:tcPr>
            <w:tcW w:w="98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22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276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bl>
    <w:p>
      <w:pPr>
        <w:ind w:left="980" w:right="60" w:hanging="954"/>
        <w:spacing w:after="0" w:line="219"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and nine months ended December 31, 2025 formatted in Inline XBRL (eXtensible Business Reporting Language): (i) Condensed Consolidated Balance Sheets at December 31, 2025 and March 31, 2025; (ii) Condensed Consolidated Statements of Operations for the three and nine months ended December 31, 2025 and 2024; (iii) Condensed Consolidated Statements of Comprehensive Income for the three and nine months ended December 31, 2025 and 2024; (iv) Condensed Consolidated Statements of Cash Flows for the nine months ended December 31, 2025 and 2024; and (v) Notes to Condensed Consolidated Financial Statements.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9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Filed electronically herewith.</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9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4780" w:val="left"/>
          <w:tab w:leader="none" w:pos="524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8"/>
          <w:szCs w:val="18"/>
          <w:color w:val="auto"/>
        </w:rPr>
        <w:t>By:</w:t>
        <w:tab/>
        <w:t>/s/ Dennis Metzfield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37890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Dennis Metzfield</w:t>
      </w:r>
    </w:p>
    <w:p>
      <w:pPr>
        <w:ind w:left="5260"/>
        <w:spacing w:after="0" w:line="219" w:lineRule="auto"/>
        <w:rPr>
          <w:sz w:val="20"/>
          <w:szCs w:val="20"/>
          <w:color w:val="auto"/>
        </w:rPr>
      </w:pPr>
      <w:r>
        <w:rPr>
          <w:rFonts w:ascii="Times New Roman" w:cs="Times New Roman" w:eastAsia="Times New Roman" w:hAnsi="Times New Roman"/>
          <w:sz w:val="18"/>
          <w:szCs w:val="18"/>
          <w:color w:val="auto"/>
        </w:rPr>
        <w:t>Vice President, Controller and Chief Accounting Officer</w:t>
      </w:r>
    </w:p>
    <w:p>
      <w:pPr>
        <w:ind w:left="52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40"/>
          </w:cols>
          <w:pgMar w:left="320" w:top="121" w:right="1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091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409190" cy="8890"/>
                    </a:xfrm>
                    <a:prstGeom prst="rect">
                      <a:avLst/>
                    </a:prstGeom>
                    <a:noFill/>
                  </pic:spPr>
                </pic:pic>
              </a:graphicData>
            </a:graphic>
          </wp:anchor>
        </w:drawing>
      </w:r>
    </w:p>
    <w:p>
      <w:pPr>
        <w:spacing w:after="0" w:line="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 Calderone,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65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A. Calderone</w:t>
      </w:r>
    </w:p>
    <w:p>
      <w:pPr>
        <w:ind w:left="60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638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2025,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858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Matthew A. Calderone</w:t>
      </w:r>
    </w:p>
    <w:p>
      <w:pPr>
        <w:ind w:left="58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58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2"/>
    </w:lvl>
  </w:abstractNum>
  <w:abstractNum w:abstractNumId="16">
    <w:nsid w:val="721DA317"/>
    <w:multiLevelType w:val="hybridMultilevel"/>
    <w:lvl w:ilvl="0">
      <w:lvlJc w:val="left"/>
      <w:lvlText w:val="%1"/>
      <w:numFmt w:val="decimal"/>
      <w:start w:val="10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67" Type="http://schemas.openxmlformats.org/officeDocument/2006/relationships/hyperlink" Target="https://www.sec.gov/Archives/edgar/data/1443646/000144364625000076/bah-ex22xq4fy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2026-01-23T05:55:39Z</dcterms:created>
  <dcterms:modified xsi:type="dcterms:W3CDTF">2026-01-23T05:55:39Z</dcterms:modified>
</cp:coreProperties>
</file>