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310515</wp:posOffset>
            </wp:positionH>
            <wp:positionV relativeFrom="page">
              <wp:posOffset>528320</wp:posOffset>
            </wp:positionV>
            <wp:extent cx="6935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5470" cy="8255"/>
                    </a:xfrm>
                    <a:prstGeom prst="rect">
                      <a:avLst/>
                    </a:prstGeom>
                    <a:noFill/>
                  </pic:spPr>
                </pic:pic>
              </a:graphicData>
            </a:graphic>
          </wp:anchor>
        </w:drawing>
        <w:drawing>
          <wp:anchor simplePos="0" relativeHeight="251657728" behindDoc="1" locked="0" layoutInCell="0" allowOverlap="1">
            <wp:simplePos x="0" y="0"/>
            <wp:positionH relativeFrom="page">
              <wp:posOffset>310515</wp:posOffset>
            </wp:positionH>
            <wp:positionV relativeFrom="page">
              <wp:posOffset>553085</wp:posOffset>
            </wp:positionV>
            <wp:extent cx="6935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547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line="238" w:lineRule="auto"/>
        <w:rPr>
          <w:sz w:val="20"/>
          <w:szCs w:val="20"/>
          <w:color w:val="auto"/>
        </w:rPr>
      </w:pPr>
      <w:r>
        <w:rPr>
          <w:rFonts w:ascii="Arial" w:cs="Arial" w:eastAsia="Arial" w:hAnsi="Arial"/>
          <w:sz w:val="21"/>
          <w:szCs w:val="21"/>
          <w:b w:val="1"/>
          <w:bCs w:val="1"/>
          <w:color w:val="auto"/>
        </w:rPr>
        <w:t>WASHINGTON, D.C. 20549</w:t>
      </w:r>
    </w:p>
    <w:p>
      <w:pPr>
        <w:ind w:left="4100"/>
        <w:spacing w:after="0"/>
        <w:rPr>
          <w:sz w:val="20"/>
          <w:szCs w:val="20"/>
          <w:color w:val="auto"/>
        </w:rPr>
      </w:pPr>
      <w:r>
        <w:rPr>
          <w:rFonts w:ascii="Arial" w:cs="Arial" w:eastAsia="Arial" w:hAnsi="Arial"/>
          <w:sz w:val="17"/>
          <w:szCs w:val="17"/>
          <w:color w:val="auto"/>
        </w:rPr>
        <w:t>___________________________________</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10-Q</w:t>
      </w:r>
    </w:p>
    <w:p>
      <w:pPr>
        <w:spacing w:after="0" w:line="29" w:lineRule="exact"/>
        <w:rPr>
          <w:sz w:val="24"/>
          <w:szCs w:val="24"/>
          <w:color w:val="auto"/>
        </w:rPr>
      </w:pPr>
    </w:p>
    <w:p>
      <w:pPr>
        <w:ind w:left="4160"/>
        <w:spacing w:after="0"/>
        <w:rPr>
          <w:sz w:val="20"/>
          <w:szCs w:val="20"/>
          <w:color w:val="auto"/>
        </w:rPr>
      </w:pPr>
      <w:r>
        <w:rPr>
          <w:rFonts w:ascii="Arial" w:cs="Arial" w:eastAsia="Arial" w:hAnsi="Arial"/>
          <w:sz w:val="17"/>
          <w:szCs w:val="17"/>
          <w:color w:val="auto"/>
        </w:rPr>
        <w:t>___________________________________</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ectPr>
          <w:pgSz w:w="11900" w:h="16838" w:orient="portrait"/>
          <w:cols w:equalWidth="0" w:num="1">
            <w:col w:w="11240"/>
          </w:cols>
          <w:pgMar w:left="320" w:top="947" w:right="339" w:bottom="1440" w:gutter="0" w:footer="0" w:header="0"/>
        </w:sectPr>
      </w:pPr>
    </w:p>
    <w:p>
      <w:pPr>
        <w:spacing w:after="0" w:line="200" w:lineRule="exact"/>
        <w:rPr>
          <w:sz w:val="24"/>
          <w:szCs w:val="24"/>
          <w:color w:val="auto"/>
        </w:rPr>
      </w:pPr>
    </w:p>
    <w:p>
      <w:pPr>
        <w:spacing w:after="0" w:line="267"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ind w:right="380"/>
        <w:spacing w:after="0" w:line="233" w:lineRule="auto"/>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348" w:lineRule="exact"/>
        <w:rPr>
          <w:sz w:val="24"/>
          <w:szCs w:val="24"/>
          <w:color w:val="auto"/>
        </w:rPr>
      </w:pPr>
    </w:p>
    <w:p>
      <w:pPr>
        <w:jc w:val="center"/>
        <w:ind w:right="860"/>
        <w:spacing w:after="0"/>
        <w:rPr>
          <w:sz w:val="20"/>
          <w:szCs w:val="20"/>
          <w:color w:val="auto"/>
        </w:rPr>
      </w:pPr>
      <w:r>
        <w:rPr>
          <w:rFonts w:ascii="Arial" w:cs="Arial" w:eastAsia="Arial" w:hAnsi="Arial"/>
          <w:sz w:val="17"/>
          <w:szCs w:val="17"/>
          <w:b w:val="1"/>
          <w:bCs w:val="1"/>
          <w:color w:val="auto"/>
        </w:rPr>
        <w:t>For the quarterly period ended September 30, 2021</w:t>
      </w:r>
    </w:p>
    <w:p>
      <w:pPr>
        <w:spacing w:after="0" w:line="14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w:t>
      </w:r>
    </w:p>
    <w:p>
      <w:pPr>
        <w:spacing w:after="0" w:line="9" w:lineRule="exact"/>
        <w:rPr>
          <w:sz w:val="24"/>
          <w:szCs w:val="24"/>
          <w:color w:val="auto"/>
        </w:rPr>
      </w:pPr>
    </w:p>
    <w:p>
      <w:pPr>
        <w:sectPr>
          <w:pgSz w:w="11900" w:h="16838" w:orient="portrait"/>
          <w:cols w:equalWidth="0" w:num="2">
            <w:col w:w="180" w:space="680"/>
            <w:col w:w="10380"/>
          </w:cols>
          <w:pgMar w:left="320" w:top="947" w:right="339" w:bottom="1440" w:gutter="0" w:footer="0" w:header="0"/>
          <w:type w:val="continuous"/>
        </w:sectPr>
      </w:pPr>
    </w:p>
    <w:p>
      <w:pPr>
        <w:ind w:left="860" w:hanging="840"/>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1934</w:t>
      </w:r>
    </w:p>
    <w:p>
      <w:pPr>
        <w:spacing w:after="0" w:line="220" w:lineRule="exact"/>
        <w:rPr>
          <w:sz w:val="24"/>
          <w:szCs w:val="24"/>
          <w:color w:val="auto"/>
        </w:rPr>
      </w:pPr>
    </w:p>
    <w:p>
      <w:pPr>
        <w:ind w:left="3900"/>
        <w:spacing w:after="0"/>
        <w:tabs>
          <w:tab w:leader="none" w:pos="66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No. 001-34972</w:t>
      </w:r>
    </w:p>
    <w:p>
      <w:pPr>
        <w:spacing w:after="0" w:line="25" w:lineRule="exact"/>
        <w:rPr>
          <w:sz w:val="24"/>
          <w:szCs w:val="24"/>
          <w:color w:val="auto"/>
        </w:rPr>
      </w:pPr>
    </w:p>
    <w:p>
      <w:pPr>
        <w:ind w:left="4160"/>
        <w:spacing w:after="0"/>
        <w:rPr>
          <w:sz w:val="20"/>
          <w:szCs w:val="20"/>
          <w:color w:val="auto"/>
        </w:rPr>
      </w:pPr>
      <w:r>
        <w:rPr>
          <w:rFonts w:ascii="Arial" w:cs="Arial" w:eastAsia="Arial" w:hAnsi="Arial"/>
          <w:sz w:val="17"/>
          <w:szCs w:val="17"/>
          <w:color w:val="auto"/>
        </w:rPr>
        <w:t>___________________________________</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Booz Allen Hamilton Holding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7"/>
          <w:szCs w:val="17"/>
          <w:color w:val="auto"/>
        </w:rPr>
        <w:t>___________________________________</w:t>
      </w:r>
    </w:p>
    <w:p>
      <w:pPr>
        <w:spacing w:after="0" w:line="123" w:lineRule="exact"/>
        <w:rPr>
          <w:sz w:val="24"/>
          <w:szCs w:val="24"/>
          <w:color w:val="auto"/>
        </w:rPr>
      </w:pPr>
    </w:p>
    <w:p>
      <w:pPr>
        <w:ind w:left="1800"/>
        <w:spacing w:after="0"/>
        <w:tabs>
          <w:tab w:leader="none" w:pos="8940" w:val="left"/>
        </w:tabs>
        <w:rPr>
          <w:sz w:val="20"/>
          <w:szCs w:val="20"/>
          <w:color w:val="auto"/>
        </w:rPr>
      </w:pPr>
      <w:r>
        <w:rPr>
          <w:rFonts w:ascii="Arial" w:cs="Arial" w:eastAsia="Arial" w:hAnsi="Arial"/>
          <w:sz w:val="17"/>
          <w:szCs w:val="17"/>
          <w:b w:val="1"/>
          <w:bCs w:val="1"/>
          <w:color w:val="auto"/>
        </w:rPr>
        <w:t>Delaware</w:t>
      </w:r>
      <w:r>
        <w:rPr>
          <w:sz w:val="20"/>
          <w:szCs w:val="20"/>
          <w:color w:val="auto"/>
        </w:rPr>
        <w:tab/>
      </w:r>
      <w:r>
        <w:rPr>
          <w:rFonts w:ascii="Arial" w:cs="Arial" w:eastAsia="Arial" w:hAnsi="Arial"/>
          <w:sz w:val="17"/>
          <w:szCs w:val="17"/>
          <w:b w:val="1"/>
          <w:bCs w:val="1"/>
          <w:color w:val="auto"/>
        </w:rPr>
        <w:t>26-2634160</w:t>
      </w:r>
    </w:p>
    <w:p>
      <w:pPr>
        <w:ind w:left="1280"/>
        <w:spacing w:after="0"/>
        <w:tabs>
          <w:tab w:leader="none" w:pos="886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1"/>
          <w:szCs w:val="11"/>
          <w:b w:val="1"/>
          <w:bCs w:val="1"/>
          <w:color w:val="auto"/>
        </w:rPr>
        <w:t>(I.R.S. Employer</w:t>
      </w:r>
    </w:p>
    <w:p>
      <w:pPr>
        <w:ind w:left="1240"/>
        <w:spacing w:after="0"/>
        <w:tabs>
          <w:tab w:leader="none" w:pos="882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1"/>
          <w:szCs w:val="11"/>
          <w:b w:val="1"/>
          <w:bCs w:val="1"/>
          <w:color w:val="auto"/>
        </w:rPr>
        <w:t>Identification No.)</w:t>
      </w:r>
    </w:p>
    <w:p>
      <w:pPr>
        <w:spacing w:after="0" w:line="60" w:lineRule="exact"/>
        <w:rPr>
          <w:sz w:val="24"/>
          <w:szCs w:val="24"/>
          <w:color w:val="auto"/>
        </w:rPr>
      </w:pPr>
    </w:p>
    <w:p>
      <w:pPr>
        <w:ind w:left="320"/>
        <w:spacing w:after="0"/>
        <w:tabs>
          <w:tab w:leader="none" w:pos="2500" w:val="left"/>
          <w:tab w:leader="none" w:pos="3480" w:val="left"/>
          <w:tab w:leader="none" w:pos="9140" w:val="left"/>
        </w:tabs>
        <w:rPr>
          <w:sz w:val="20"/>
          <w:szCs w:val="20"/>
          <w:color w:val="auto"/>
        </w:rPr>
      </w:pPr>
      <w:r>
        <w:rPr>
          <w:rFonts w:ascii="Arial" w:cs="Arial" w:eastAsia="Arial" w:hAnsi="Arial"/>
          <w:sz w:val="17"/>
          <w:szCs w:val="17"/>
          <w:b w:val="1"/>
          <w:bCs w:val="1"/>
          <w:color w:val="auto"/>
        </w:rPr>
        <w:t>8283 Greensboro Drive,</w:t>
      </w:r>
      <w:r>
        <w:rPr>
          <w:sz w:val="20"/>
          <w:szCs w:val="20"/>
          <w:color w:val="auto"/>
        </w:rPr>
        <w:tab/>
      </w:r>
      <w:r>
        <w:rPr>
          <w:rFonts w:ascii="Arial" w:cs="Arial" w:eastAsia="Arial" w:hAnsi="Arial"/>
          <w:sz w:val="17"/>
          <w:szCs w:val="17"/>
          <w:b w:val="1"/>
          <w:bCs w:val="1"/>
          <w:color w:val="auto"/>
        </w:rPr>
        <w:t>McLean,</w:t>
      </w:r>
      <w:r>
        <w:rPr>
          <w:sz w:val="20"/>
          <w:szCs w:val="20"/>
          <w:color w:val="auto"/>
        </w:rPr>
        <w:tab/>
      </w:r>
      <w:r>
        <w:rPr>
          <w:rFonts w:ascii="Arial" w:cs="Arial" w:eastAsia="Arial" w:hAnsi="Arial"/>
          <w:sz w:val="17"/>
          <w:szCs w:val="17"/>
          <w:b w:val="1"/>
          <w:bCs w:val="1"/>
          <w:color w:val="auto"/>
        </w:rPr>
        <w:t>Virginia</w:t>
      </w:r>
      <w:r>
        <w:rPr>
          <w:sz w:val="20"/>
          <w:szCs w:val="20"/>
          <w:color w:val="auto"/>
        </w:rPr>
        <w:tab/>
      </w:r>
      <w:r>
        <w:rPr>
          <w:rFonts w:ascii="Arial" w:cs="Arial" w:eastAsia="Arial" w:hAnsi="Arial"/>
          <w:sz w:val="15"/>
          <w:szCs w:val="15"/>
          <w:b w:val="1"/>
          <w:bCs w:val="1"/>
          <w:color w:val="auto"/>
        </w:rPr>
        <w:t>22102</w:t>
      </w:r>
    </w:p>
    <w:p>
      <w:pPr>
        <w:spacing w:after="0" w:line="25" w:lineRule="exact"/>
        <w:rPr>
          <w:sz w:val="24"/>
          <w:szCs w:val="24"/>
          <w:color w:val="auto"/>
        </w:rPr>
      </w:pPr>
    </w:p>
    <w:p>
      <w:pPr>
        <w:ind w:left="1000"/>
        <w:spacing w:after="0"/>
        <w:tabs>
          <w:tab w:leader="none" w:pos="904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1"/>
          <w:szCs w:val="11"/>
          <w:b w:val="1"/>
          <w:bCs w:val="1"/>
          <w:color w:val="auto"/>
        </w:rPr>
        <w:t>(Zip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(703) 902-5000</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 w:lineRule="exact"/>
        <w:rPr>
          <w:sz w:val="24"/>
          <w:szCs w:val="24"/>
          <w:color w:val="auto"/>
        </w:rPr>
      </w:pPr>
    </w:p>
    <w:p>
      <w:pPr>
        <w:ind w:left="4100"/>
        <w:spacing w:after="0"/>
        <w:rPr>
          <w:sz w:val="20"/>
          <w:szCs w:val="20"/>
          <w:color w:val="auto"/>
        </w:rPr>
      </w:pPr>
      <w:r>
        <w:rPr>
          <w:rFonts w:ascii="Arial" w:cs="Arial" w:eastAsia="Arial" w:hAnsi="Arial"/>
          <w:sz w:val="17"/>
          <w:szCs w:val="17"/>
          <w:color w:val="auto"/>
        </w:rPr>
        <w:t>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129" w:lineRule="exact"/>
        <w:rPr>
          <w:sz w:val="24"/>
          <w:szCs w:val="24"/>
          <w:color w:val="auto"/>
        </w:rPr>
      </w:pPr>
    </w:p>
    <w:tbl>
      <w:tblPr>
        <w:tblLayout w:type="fixed"/>
        <w:tblInd w:w="184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1040" w:type="dxa"/>
            <w:vAlign w:val="bottom"/>
          </w:tcPr>
          <w:p>
            <w:pPr>
              <w:spacing w:after="0"/>
              <w:rPr>
                <w:sz w:val="14"/>
                <w:szCs w:val="14"/>
                <w:color w:val="auto"/>
              </w:rPr>
            </w:pPr>
          </w:p>
        </w:tc>
        <w:tc>
          <w:tcPr>
            <w:tcW w:w="2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Trading Symbol</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0"/>
        </w:trPr>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35"/>
        </w:trPr>
        <w:tc>
          <w:tcPr>
            <w:tcW w:w="2400" w:type="dxa"/>
            <w:vAlign w:val="bottom"/>
            <w:gridSpan w:val="3"/>
          </w:tcPr>
          <w:p>
            <w:pPr>
              <w:jc w:val="center"/>
              <w:ind w:right="780"/>
              <w:spacing w:after="0"/>
              <w:rPr>
                <w:sz w:val="20"/>
                <w:szCs w:val="20"/>
                <w:color w:val="auto"/>
              </w:rPr>
            </w:pPr>
            <w:r>
              <w:rPr>
                <w:rFonts w:ascii="Arial" w:cs="Arial" w:eastAsia="Arial" w:hAnsi="Arial"/>
                <w:sz w:val="17"/>
                <w:szCs w:val="17"/>
                <w:color w:val="auto"/>
                <w:w w:val="90"/>
              </w:rPr>
              <w:t>Class A Common Stock</w:t>
            </w:r>
          </w:p>
        </w:tc>
        <w:tc>
          <w:tcPr>
            <w:tcW w:w="800" w:type="dxa"/>
            <w:vAlign w:val="bottom"/>
          </w:tcPr>
          <w:p>
            <w:pPr>
              <w:spacing w:after="0"/>
              <w:rPr>
                <w:sz w:val="20"/>
                <w:szCs w:val="20"/>
                <w:color w:val="auto"/>
              </w:rPr>
            </w:pPr>
          </w:p>
        </w:tc>
        <w:tc>
          <w:tcPr>
            <w:tcW w:w="2100" w:type="dxa"/>
            <w:vAlign w:val="bottom"/>
            <w:gridSpan w:val="2"/>
          </w:tcPr>
          <w:p>
            <w:pPr>
              <w:jc w:val="center"/>
              <w:ind w:right="1180"/>
              <w:spacing w:after="0"/>
              <w:rPr>
                <w:sz w:val="20"/>
                <w:szCs w:val="20"/>
                <w:color w:val="auto"/>
              </w:rPr>
            </w:pPr>
            <w:r>
              <w:rPr>
                <w:rFonts w:ascii="Arial" w:cs="Arial" w:eastAsia="Arial" w:hAnsi="Arial"/>
                <w:sz w:val="14"/>
                <w:szCs w:val="14"/>
                <w:color w:val="auto"/>
                <w:w w:val="97"/>
              </w:rPr>
              <w:t>BAH</w:t>
            </w:r>
          </w:p>
        </w:tc>
        <w:tc>
          <w:tcPr>
            <w:tcW w:w="2680" w:type="dxa"/>
            <w:vAlign w:val="bottom"/>
          </w:tcPr>
          <w:p>
            <w:pPr>
              <w:jc w:val="center"/>
              <w:spacing w:after="0"/>
              <w:rPr>
                <w:sz w:val="20"/>
                <w:szCs w:val="20"/>
                <w:color w:val="auto"/>
              </w:rPr>
            </w:pPr>
            <w:r>
              <w:rPr>
                <w:rFonts w:ascii="Arial" w:cs="Arial" w:eastAsia="Arial" w:hAnsi="Arial"/>
                <w:sz w:val="17"/>
                <w:szCs w:val="17"/>
                <w:color w:val="auto"/>
                <w:w w:val="91"/>
              </w:rPr>
              <w:t>New York Stock Exchange</w:t>
            </w:r>
          </w:p>
        </w:tc>
      </w:tr>
    </w:tbl>
    <w:p>
      <w:pPr>
        <w:spacing w:after="0" w:line="91" w:lineRule="exact"/>
        <w:rPr>
          <w:sz w:val="24"/>
          <w:szCs w:val="24"/>
          <w:color w:val="auto"/>
        </w:rPr>
      </w:pPr>
    </w:p>
    <w:p>
      <w:pPr>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ind w:right="120"/>
        <w:spacing w:after="0" w:line="22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2" w:lineRule="exact"/>
        <w:rPr>
          <w:sz w:val="24"/>
          <w:szCs w:val="24"/>
          <w:color w:val="auto"/>
        </w:rPr>
      </w:pPr>
    </w:p>
    <w:p>
      <w:pPr>
        <w:ind w:right="120"/>
        <w:spacing w:after="0" w:line="27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333"/>
        </w:trPr>
        <w:tc>
          <w:tcPr>
            <w:tcW w:w="21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6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460"/>
              <w:spacing w:after="0"/>
              <w:rPr>
                <w:sz w:val="20"/>
                <w:szCs w:val="20"/>
                <w:color w:val="auto"/>
              </w:rPr>
            </w:pPr>
            <w:r>
              <w:rPr>
                <w:rFonts w:ascii="Arial" w:cs="Arial" w:eastAsia="Arial" w:hAnsi="Arial"/>
                <w:sz w:val="17"/>
                <w:szCs w:val="17"/>
                <w:color w:val="auto"/>
              </w:rPr>
              <w:t>Accelerated Filer</w:t>
            </w:r>
          </w:p>
        </w:tc>
        <w:tc>
          <w:tcPr>
            <w:tcW w:w="7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44"/>
        </w:trPr>
        <w:tc>
          <w:tcPr>
            <w:tcW w:w="2160" w:type="dxa"/>
            <w:vAlign w:val="bottom"/>
          </w:tcPr>
          <w:p>
            <w:pPr>
              <w:spacing w:after="0"/>
              <w:rPr>
                <w:sz w:val="20"/>
                <w:szCs w:val="20"/>
                <w:color w:val="auto"/>
              </w:rPr>
            </w:pPr>
            <w:r>
              <w:rPr>
                <w:rFonts w:ascii="Arial" w:cs="Arial" w:eastAsia="Arial" w:hAnsi="Arial"/>
                <w:sz w:val="17"/>
                <w:szCs w:val="17"/>
                <w:color w:val="auto"/>
              </w:rPr>
              <w:t>Non-Accelerated Filer</w:t>
            </w:r>
          </w:p>
        </w:tc>
        <w:tc>
          <w:tcPr>
            <w:tcW w:w="3160" w:type="dxa"/>
            <w:vAlign w:val="bottom"/>
          </w:tcPr>
          <w:p>
            <w:pPr>
              <w:spacing w:after="0"/>
              <w:rPr>
                <w:sz w:val="21"/>
                <w:szCs w:val="21"/>
                <w:color w:val="auto"/>
              </w:rPr>
            </w:pPr>
          </w:p>
        </w:tc>
        <w:tc>
          <w:tcPr>
            <w:tcW w:w="4960" w:type="dxa"/>
            <w:vAlign w:val="bottom"/>
          </w:tcPr>
          <w:p>
            <w:pPr>
              <w:ind w:left="2460"/>
              <w:spacing w:after="0"/>
              <w:rPr>
                <w:sz w:val="20"/>
                <w:szCs w:val="20"/>
                <w:color w:val="auto"/>
              </w:rPr>
            </w:pPr>
            <w:r>
              <w:rPr>
                <w:rFonts w:ascii="Arial" w:cs="Arial" w:eastAsia="Arial" w:hAnsi="Arial"/>
                <w:sz w:val="17"/>
                <w:szCs w:val="17"/>
                <w:color w:val="auto"/>
              </w:rPr>
              <w:t>Smaller Reporting Company</w:t>
            </w:r>
          </w:p>
        </w:tc>
        <w:tc>
          <w:tcPr>
            <w:tcW w:w="7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1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960" w:type="dxa"/>
            <w:vAlign w:val="bottom"/>
          </w:tcPr>
          <w:p>
            <w:pPr>
              <w:ind w:left="2460"/>
              <w:spacing w:after="0"/>
              <w:rPr>
                <w:sz w:val="20"/>
                <w:szCs w:val="20"/>
                <w:color w:val="auto"/>
              </w:rPr>
            </w:pPr>
            <w:r>
              <w:rPr>
                <w:rFonts w:ascii="Arial" w:cs="Arial" w:eastAsia="Arial" w:hAnsi="Arial"/>
                <w:sz w:val="17"/>
                <w:szCs w:val="17"/>
                <w:color w:val="auto"/>
              </w:rPr>
              <w:t>Emerging Growth Company</w:t>
            </w:r>
          </w:p>
        </w:tc>
        <w:tc>
          <w:tcPr>
            <w:tcW w:w="70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1"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tabs>
          <w:tab w:leader="none" w:pos="84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428625</wp:posOffset>
            </wp:positionV>
            <wp:extent cx="716470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5840" w:type="dxa"/>
            <w:vAlign w:val="bottom"/>
            <w:gridSpan w:val="2"/>
          </w:tcPr>
          <w:p>
            <w:pPr>
              <w:jc w:val="center"/>
              <w:ind w:left="2846"/>
              <w:spacing w:after="0"/>
              <w:rPr>
                <w:sz w:val="20"/>
                <w:szCs w:val="20"/>
                <w:color w:val="auto"/>
              </w:rPr>
            </w:pPr>
            <w:r>
              <w:rPr>
                <w:rFonts w:ascii="Arial" w:cs="Arial" w:eastAsia="Arial" w:hAnsi="Arial"/>
                <w:sz w:val="14"/>
                <w:szCs w:val="14"/>
                <w:b w:val="1"/>
                <w:bCs w:val="1"/>
                <w:color w:val="auto"/>
                <w:w w:val="87"/>
              </w:rPr>
              <w:t>Shares Outstanding</w:t>
            </w:r>
          </w:p>
        </w:tc>
      </w:tr>
      <w:tr>
        <w:trPr>
          <w:trHeight w:val="178"/>
        </w:trPr>
        <w:tc>
          <w:tcPr>
            <w:tcW w:w="5400" w:type="dxa"/>
            <w:vAlign w:val="bottom"/>
          </w:tcPr>
          <w:p>
            <w:pPr>
              <w:spacing w:after="0"/>
              <w:rPr>
                <w:sz w:val="15"/>
                <w:szCs w:val="15"/>
                <w:color w:val="auto"/>
              </w:rPr>
            </w:pPr>
          </w:p>
        </w:tc>
        <w:tc>
          <w:tcPr>
            <w:tcW w:w="5840" w:type="dxa"/>
            <w:vAlign w:val="bottom"/>
            <w:gridSpan w:val="2"/>
          </w:tcPr>
          <w:p>
            <w:pPr>
              <w:jc w:val="center"/>
              <w:ind w:left="2846"/>
              <w:spacing w:after="0"/>
              <w:rPr>
                <w:sz w:val="20"/>
                <w:szCs w:val="20"/>
                <w:color w:val="auto"/>
              </w:rPr>
            </w:pPr>
            <w:r>
              <w:rPr>
                <w:rFonts w:ascii="Arial" w:cs="Arial" w:eastAsia="Arial" w:hAnsi="Arial"/>
                <w:sz w:val="14"/>
                <w:szCs w:val="14"/>
                <w:b w:val="1"/>
                <w:bCs w:val="1"/>
                <w:color w:val="auto"/>
                <w:w w:val="86"/>
              </w:rPr>
              <w:t>as of October 26, 2021</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 Common Stock</w:t>
            </w:r>
          </w:p>
        </w:tc>
        <w:tc>
          <w:tcPr>
            <w:tcW w:w="5480" w:type="dxa"/>
            <w:vAlign w:val="bottom"/>
            <w:shd w:val="clear" w:color="auto" w:fill="CCEEFF"/>
          </w:tcPr>
          <w:p>
            <w:pPr>
              <w:jc w:val="right"/>
              <w:ind w:right="6"/>
              <w:spacing w:after="0"/>
              <w:rPr>
                <w:sz w:val="20"/>
                <w:szCs w:val="20"/>
                <w:color w:val="auto"/>
              </w:rPr>
            </w:pPr>
            <w:r>
              <w:rPr>
                <w:rFonts w:ascii="Arial" w:cs="Arial" w:eastAsia="Arial" w:hAnsi="Arial"/>
                <w:sz w:val="17"/>
                <w:szCs w:val="17"/>
                <w:color w:val="auto"/>
              </w:rPr>
              <w:t>133,896,656</w:t>
            </w:r>
          </w:p>
        </w:tc>
        <w:tc>
          <w:tcPr>
            <w:tcW w:w="360" w:type="dxa"/>
            <w:vAlign w:val="bottom"/>
          </w:tcPr>
          <w:p>
            <w:pPr>
              <w:spacing w:after="0"/>
              <w:rPr>
                <w:sz w:val="19"/>
                <w:szCs w:val="19"/>
                <w:color w:val="auto"/>
              </w:rPr>
            </w:pPr>
          </w:p>
        </w:tc>
      </w:tr>
      <w:tr>
        <w:trPr>
          <w:trHeight w:val="724"/>
        </w:trPr>
        <w:tc>
          <w:tcPr>
            <w:tcW w:w="540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10500" w:type="dxa"/>
            <w:vAlign w:val="bottom"/>
            <w:gridSpan w:val="16"/>
          </w:tcPr>
          <w:p>
            <w:pPr>
              <w:spacing w:after="0"/>
              <w:rPr>
                <w:sz w:val="20"/>
                <w:szCs w:val="20"/>
                <w:color w:val="auto"/>
              </w:rPr>
            </w:pPr>
            <w:r>
              <w:rPr>
                <w:rFonts w:ascii="Arial" w:cs="Arial" w:eastAsia="Arial" w:hAnsi="Arial"/>
                <w:sz w:val="17"/>
                <w:szCs w:val="17"/>
                <w:b w:val="1"/>
                <w:bCs w:val="1"/>
                <w:color w:val="auto"/>
              </w:rPr>
              <w:t>TABLE OF CONTENTS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480" w:type="dxa"/>
            <w:vAlign w:val="bottom"/>
            <w:gridSpan w:val="5"/>
            <w:vMerge w:val="restart"/>
          </w:tcPr>
          <w:p>
            <w:pPr>
              <w:spacing w:after="0"/>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PART I. Financial Information</w:t>
              </w:r>
            </w:hyperlink>
          </w:p>
        </w:tc>
        <w:tc>
          <w:tcPr>
            <w:tcW w:w="8000" w:type="dxa"/>
            <w:vAlign w:val="bottom"/>
            <w:gridSpan w:val="10"/>
            <w:vMerge w:val="restart"/>
          </w:tcPr>
          <w:p>
            <w:pPr>
              <w:spacing w:after="0"/>
              <w:rPr>
                <w:sz w:val="24"/>
                <w:szCs w:val="24"/>
                <w:color w:val="auto"/>
              </w:rPr>
            </w:pPr>
          </w:p>
        </w:tc>
        <w:tc>
          <w:tcPr>
            <w:tcW w:w="740" w:type="dxa"/>
            <w:vAlign w:val="bottom"/>
            <w:gridSpan w:val="5"/>
          </w:tcPr>
          <w:p>
            <w:pPr>
              <w:ind w:left="1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80" w:type="dxa"/>
            <w:vAlign w:val="bottom"/>
            <w:gridSpan w:val="5"/>
            <w:vMerge w:val="continue"/>
          </w:tcPr>
          <w:p>
            <w:pPr>
              <w:spacing w:after="0"/>
              <w:rPr>
                <w:sz w:val="13"/>
                <w:szCs w:val="13"/>
                <w:color w:val="auto"/>
              </w:rPr>
            </w:pPr>
          </w:p>
        </w:tc>
        <w:tc>
          <w:tcPr>
            <w:tcW w:w="8000" w:type="dxa"/>
            <w:vAlign w:val="bottom"/>
            <w:gridSpan w:val="10"/>
            <w:vMerge w:val="continue"/>
          </w:tcPr>
          <w:p>
            <w:pPr>
              <w:spacing w:after="0"/>
              <w:rPr>
                <w:sz w:val="13"/>
                <w:szCs w:val="13"/>
                <w:color w:val="auto"/>
              </w:rPr>
            </w:pPr>
          </w:p>
        </w:tc>
        <w:tc>
          <w:tcPr>
            <w:tcW w:w="720" w:type="dxa"/>
            <w:vAlign w:val="bottom"/>
            <w:tcBorders>
              <w:top w:val="single" w:sz="8" w:color="auto"/>
            </w:tcBorders>
            <w:gridSpan w:val="4"/>
          </w:tcPr>
          <w:p>
            <w:pPr>
              <w:jc w:val="right"/>
              <w:ind w:right="20"/>
              <w:spacing w:after="0" w:line="147" w:lineRule="exact"/>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Arial" w:cs="Arial" w:eastAsia="Arial" w:hAnsi="Arial"/>
                <w:sz w:val="17"/>
                <w:szCs w:val="17"/>
                <w:b w:val="1"/>
                <w:bCs w:val="1"/>
                <w:color w:val="auto"/>
              </w:rPr>
              <w:t>ITEM 1</w:t>
            </w:r>
          </w:p>
        </w:tc>
        <w:tc>
          <w:tcPr>
            <w:tcW w:w="1540" w:type="dxa"/>
            <w:vAlign w:val="bottom"/>
            <w:gridSpan w:val="7"/>
          </w:tcPr>
          <w:p>
            <w:pPr>
              <w:spacing w:after="0"/>
              <w:rPr>
                <w:rFonts w:ascii="Arial" w:cs="Arial" w:eastAsia="Arial" w:hAnsi="Arial"/>
                <w:sz w:val="17"/>
                <w:szCs w:val="17"/>
                <w:b w:val="1"/>
                <w:bCs w:val="1"/>
                <w:color w:val="0000FF"/>
                <w:w w:val="89"/>
              </w:rPr>
            </w:pPr>
            <w:hyperlink w:anchor="page4">
              <w:r>
                <w:rPr>
                  <w:rFonts w:ascii="Arial" w:cs="Arial" w:eastAsia="Arial" w:hAnsi="Arial"/>
                  <w:sz w:val="17"/>
                  <w:szCs w:val="17"/>
                  <w:b w:val="1"/>
                  <w:bCs w:val="1"/>
                  <w:color w:val="0000FF"/>
                  <w:w w:val="89"/>
                </w:rPr>
                <w:t>Financial Statements</w:t>
              </w:r>
            </w:hyperlink>
          </w:p>
        </w:tc>
        <w:tc>
          <w:tcPr>
            <w:tcW w:w="7380" w:type="dxa"/>
            <w:vAlign w:val="bottom"/>
            <w:gridSpan w:val="7"/>
          </w:tcPr>
          <w:p>
            <w:pPr>
              <w:spacing w:after="0"/>
              <w:rPr>
                <w:sz w:val="17"/>
                <w:szCs w:val="17"/>
                <w:color w:val="auto"/>
              </w:rPr>
            </w:pPr>
          </w:p>
        </w:tc>
        <w:tc>
          <w:tcPr>
            <w:tcW w:w="720" w:type="dxa"/>
            <w:vAlign w:val="bottom"/>
            <w:gridSpan w:val="4"/>
          </w:tcPr>
          <w:p>
            <w:pPr>
              <w:jc w:val="right"/>
              <w:ind w:right="20"/>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Arial" w:cs="Arial" w:eastAsia="Arial" w:hAnsi="Arial"/>
                <w:sz w:val="17"/>
                <w:szCs w:val="17"/>
                <w:b w:val="1"/>
                <w:bCs w:val="1"/>
                <w:color w:val="auto"/>
              </w:rPr>
              <w:t>ITEM 2</w:t>
            </w:r>
          </w:p>
        </w:tc>
        <w:tc>
          <w:tcPr>
            <w:tcW w:w="8920" w:type="dxa"/>
            <w:vAlign w:val="bottom"/>
            <w:gridSpan w:val="14"/>
          </w:tcPr>
          <w:p>
            <w:pPr>
              <w:spacing w:after="0"/>
              <w:rPr>
                <w:rFonts w:ascii="Arial" w:cs="Arial" w:eastAsia="Arial" w:hAnsi="Arial"/>
                <w:sz w:val="17"/>
                <w:szCs w:val="17"/>
                <w:b w:val="1"/>
                <w:bCs w:val="1"/>
                <w:color w:val="0000FF"/>
              </w:rPr>
            </w:pPr>
            <w:hyperlink w:anchor="page28">
              <w:r>
                <w:rPr>
                  <w:rFonts w:ascii="Arial" w:cs="Arial" w:eastAsia="Arial" w:hAnsi="Arial"/>
                  <w:sz w:val="17"/>
                  <w:szCs w:val="17"/>
                  <w:b w:val="1"/>
                  <w:bCs w:val="1"/>
                  <w:color w:val="0000FF"/>
                </w:rPr>
                <w:t>Management's Discussion and Analysis of Financial Condition and Results of Operations</w:t>
              </w:r>
            </w:hyperlink>
          </w:p>
        </w:tc>
        <w:tc>
          <w:tcPr>
            <w:tcW w:w="720" w:type="dxa"/>
            <w:vAlign w:val="bottom"/>
            <w:gridSpan w:val="4"/>
          </w:tcPr>
          <w:p>
            <w:pPr>
              <w:jc w:val="right"/>
              <w:ind w:right="20"/>
              <w:spacing w:after="0"/>
              <w:rPr>
                <w:rFonts w:ascii="Arial" w:cs="Arial" w:eastAsia="Arial" w:hAnsi="Arial"/>
                <w:sz w:val="17"/>
                <w:szCs w:val="17"/>
                <w:b w:val="1"/>
                <w:bCs w:val="1"/>
                <w:color w:val="0000FF"/>
              </w:rPr>
            </w:pPr>
            <w:hyperlink w:anchor="page28">
              <w:r>
                <w:rPr>
                  <w:rFonts w:ascii="Arial" w:cs="Arial" w:eastAsia="Arial" w:hAnsi="Arial"/>
                  <w:sz w:val="17"/>
                  <w:szCs w:val="17"/>
                  <w:b w:val="1"/>
                  <w:bCs w:val="1"/>
                  <w:color w:val="0000FF"/>
                </w:rPr>
                <w:t>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Arial" w:cs="Arial" w:eastAsia="Arial" w:hAnsi="Arial"/>
                <w:sz w:val="17"/>
                <w:szCs w:val="17"/>
                <w:b w:val="1"/>
                <w:bCs w:val="1"/>
                <w:color w:val="auto"/>
              </w:rPr>
              <w:t>ITEM 3</w:t>
            </w:r>
          </w:p>
        </w:tc>
        <w:tc>
          <w:tcPr>
            <w:tcW w:w="4440" w:type="dxa"/>
            <w:vAlign w:val="bottom"/>
            <w:gridSpan w:val="12"/>
          </w:tcPr>
          <w:p>
            <w:pPr>
              <w:spacing w:after="0"/>
              <w:rPr>
                <w:rFonts w:ascii="Arial" w:cs="Arial" w:eastAsia="Arial" w:hAnsi="Arial"/>
                <w:sz w:val="17"/>
                <w:szCs w:val="17"/>
                <w:b w:val="1"/>
                <w:bCs w:val="1"/>
                <w:color w:val="0000FF"/>
                <w:w w:val="92"/>
              </w:rPr>
            </w:pPr>
            <w:hyperlink w:anchor="page47">
              <w:r>
                <w:rPr>
                  <w:rFonts w:ascii="Arial" w:cs="Arial" w:eastAsia="Arial" w:hAnsi="Arial"/>
                  <w:sz w:val="17"/>
                  <w:szCs w:val="17"/>
                  <w:b w:val="1"/>
                  <w:bCs w:val="1"/>
                  <w:color w:val="0000FF"/>
                  <w:w w:val="92"/>
                </w:rPr>
                <w:t>Quantitative and Qualitative Disclosures About Market Risk</w:t>
              </w:r>
            </w:hyperlink>
          </w:p>
        </w:tc>
        <w:tc>
          <w:tcPr>
            <w:tcW w:w="20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20" w:type="dxa"/>
            <w:vAlign w:val="bottom"/>
            <w:gridSpan w:val="4"/>
          </w:tcPr>
          <w:p>
            <w:pPr>
              <w:jc w:val="right"/>
              <w:ind w:right="20"/>
              <w:spacing w:after="0"/>
              <w:rPr>
                <w:rFonts w:ascii="Arial" w:cs="Arial" w:eastAsia="Arial" w:hAnsi="Arial"/>
                <w:sz w:val="17"/>
                <w:szCs w:val="17"/>
                <w:b w:val="1"/>
                <w:bCs w:val="1"/>
                <w:color w:val="0000FF"/>
              </w:rPr>
            </w:pPr>
            <w:hyperlink w:anchor="page47">
              <w:r>
                <w:rPr>
                  <w:rFonts w:ascii="Arial" w:cs="Arial" w:eastAsia="Arial" w:hAnsi="Arial"/>
                  <w:sz w:val="17"/>
                  <w:szCs w:val="17"/>
                  <w:b w:val="1"/>
                  <w:bCs w:val="1"/>
                  <w:color w:val="0000FF"/>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Arial" w:cs="Arial" w:eastAsia="Arial" w:hAnsi="Arial"/>
                <w:sz w:val="17"/>
                <w:szCs w:val="17"/>
                <w:b w:val="1"/>
                <w:bCs w:val="1"/>
                <w:color w:val="auto"/>
              </w:rPr>
              <w:t>ITEM 4</w:t>
            </w:r>
          </w:p>
        </w:tc>
        <w:tc>
          <w:tcPr>
            <w:tcW w:w="1820" w:type="dxa"/>
            <w:vAlign w:val="bottom"/>
            <w:gridSpan w:val="9"/>
          </w:tcPr>
          <w:p>
            <w:pPr>
              <w:spacing w:after="0"/>
              <w:rPr>
                <w:rFonts w:ascii="Arial" w:cs="Arial" w:eastAsia="Arial" w:hAnsi="Arial"/>
                <w:sz w:val="17"/>
                <w:szCs w:val="17"/>
                <w:b w:val="1"/>
                <w:bCs w:val="1"/>
                <w:color w:val="0000FF"/>
                <w:w w:val="88"/>
              </w:rPr>
            </w:pPr>
            <w:hyperlink w:anchor="page47">
              <w:r>
                <w:rPr>
                  <w:rFonts w:ascii="Arial" w:cs="Arial" w:eastAsia="Arial" w:hAnsi="Arial"/>
                  <w:sz w:val="17"/>
                  <w:szCs w:val="17"/>
                  <w:b w:val="1"/>
                  <w:bCs w:val="1"/>
                  <w:color w:val="0000FF"/>
                  <w:w w:val="88"/>
                </w:rPr>
                <w:t>Controls and Procedures</w:t>
              </w:r>
            </w:hyperlink>
          </w:p>
        </w:tc>
        <w:tc>
          <w:tcPr>
            <w:tcW w:w="2620" w:type="dxa"/>
            <w:vAlign w:val="bottom"/>
            <w:gridSpan w:val="3"/>
          </w:tcPr>
          <w:p>
            <w:pPr>
              <w:spacing w:after="0"/>
              <w:rPr>
                <w:sz w:val="17"/>
                <w:szCs w:val="17"/>
                <w:color w:val="auto"/>
              </w:rPr>
            </w:pPr>
          </w:p>
        </w:tc>
        <w:tc>
          <w:tcPr>
            <w:tcW w:w="4480" w:type="dxa"/>
            <w:vAlign w:val="bottom"/>
            <w:gridSpan w:val="2"/>
          </w:tcPr>
          <w:p>
            <w:pPr>
              <w:spacing w:after="0"/>
              <w:rPr>
                <w:sz w:val="17"/>
                <w:szCs w:val="17"/>
                <w:color w:val="auto"/>
              </w:rPr>
            </w:pPr>
          </w:p>
        </w:tc>
        <w:tc>
          <w:tcPr>
            <w:tcW w:w="720" w:type="dxa"/>
            <w:vAlign w:val="bottom"/>
            <w:gridSpan w:val="4"/>
          </w:tcPr>
          <w:p>
            <w:pPr>
              <w:jc w:val="right"/>
              <w:ind w:right="20"/>
              <w:spacing w:after="0"/>
              <w:rPr>
                <w:rFonts w:ascii="Arial" w:cs="Arial" w:eastAsia="Arial" w:hAnsi="Arial"/>
                <w:sz w:val="17"/>
                <w:szCs w:val="17"/>
                <w:b w:val="1"/>
                <w:bCs w:val="1"/>
                <w:color w:val="0000FF"/>
              </w:rPr>
            </w:pPr>
            <w:hyperlink w:anchor="page47">
              <w:r>
                <w:rPr>
                  <w:rFonts w:ascii="Arial" w:cs="Arial" w:eastAsia="Arial" w:hAnsi="Arial"/>
                  <w:sz w:val="17"/>
                  <w:szCs w:val="17"/>
                  <w:b w:val="1"/>
                  <w:bCs w:val="1"/>
                  <w:color w:val="0000FF"/>
                </w:rPr>
                <w:t>43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gridSpan w:val="2"/>
          </w:tcPr>
          <w:p>
            <w:pPr>
              <w:spacing w:after="0"/>
              <w:rPr>
                <w:rFonts w:ascii="Arial" w:cs="Arial" w:eastAsia="Arial" w:hAnsi="Arial"/>
                <w:sz w:val="17"/>
                <w:szCs w:val="17"/>
                <w:b w:val="1"/>
                <w:bCs w:val="1"/>
                <w:color w:val="0000FF"/>
                <w:w w:val="96"/>
              </w:rPr>
            </w:pPr>
            <w:hyperlink w:anchor="page47">
              <w:r>
                <w:rPr>
                  <w:rFonts w:ascii="Arial" w:cs="Arial" w:eastAsia="Arial" w:hAnsi="Arial"/>
                  <w:sz w:val="17"/>
                  <w:szCs w:val="17"/>
                  <w:b w:val="1"/>
                  <w:bCs w:val="1"/>
                  <w:color w:val="0000FF"/>
                  <w:w w:val="96"/>
                </w:rPr>
                <w:t>PART II. Other Information</w:t>
              </w:r>
            </w:hyperlink>
          </w:p>
        </w:tc>
        <w:tc>
          <w:tcPr>
            <w:tcW w:w="8400" w:type="dxa"/>
            <w:vAlign w:val="bottom"/>
            <w:gridSpan w:val="13"/>
          </w:tcPr>
          <w:p>
            <w:pPr>
              <w:spacing w:after="0"/>
              <w:rPr>
                <w:sz w:val="17"/>
                <w:szCs w:val="17"/>
                <w:color w:val="auto"/>
              </w:rPr>
            </w:pPr>
          </w:p>
        </w:tc>
        <w:tc>
          <w:tcPr>
            <w:tcW w:w="720" w:type="dxa"/>
            <w:vAlign w:val="bottom"/>
            <w:gridSpan w:val="4"/>
          </w:tcPr>
          <w:p>
            <w:pPr>
              <w:jc w:val="right"/>
              <w:ind w:right="20"/>
              <w:spacing w:after="0"/>
              <w:rPr>
                <w:rFonts w:ascii="Arial" w:cs="Arial" w:eastAsia="Arial" w:hAnsi="Arial"/>
                <w:sz w:val="17"/>
                <w:szCs w:val="17"/>
                <w:b w:val="1"/>
                <w:bCs w:val="1"/>
                <w:color w:val="0000FF"/>
              </w:rPr>
            </w:pPr>
            <w:hyperlink w:anchor="page47">
              <w:r>
                <w:rPr>
                  <w:rFonts w:ascii="Arial" w:cs="Arial" w:eastAsia="Arial" w:hAnsi="Arial"/>
                  <w:sz w:val="17"/>
                  <w:szCs w:val="17"/>
                  <w:b w:val="1"/>
                  <w:bCs w:val="1"/>
                  <w:color w:val="0000FF"/>
                </w:rPr>
                <w:t>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Arial" w:cs="Arial" w:eastAsia="Arial" w:hAnsi="Arial"/>
                <w:sz w:val="17"/>
                <w:szCs w:val="17"/>
                <w:b w:val="1"/>
                <w:bCs w:val="1"/>
                <w:color w:val="auto"/>
              </w:rPr>
              <w:t>ITEM 1</w:t>
            </w:r>
          </w:p>
        </w:tc>
        <w:tc>
          <w:tcPr>
            <w:tcW w:w="1340" w:type="dxa"/>
            <w:vAlign w:val="bottom"/>
            <w:gridSpan w:val="5"/>
          </w:tcPr>
          <w:p>
            <w:pPr>
              <w:spacing w:after="0"/>
              <w:rPr>
                <w:rFonts w:ascii="Arial" w:cs="Arial" w:eastAsia="Arial" w:hAnsi="Arial"/>
                <w:sz w:val="17"/>
                <w:szCs w:val="17"/>
                <w:b w:val="1"/>
                <w:bCs w:val="1"/>
                <w:color w:val="0000FF"/>
                <w:w w:val="87"/>
              </w:rPr>
            </w:pPr>
            <w:hyperlink w:anchor="page48">
              <w:r>
                <w:rPr>
                  <w:rFonts w:ascii="Arial" w:cs="Arial" w:eastAsia="Arial" w:hAnsi="Arial"/>
                  <w:sz w:val="17"/>
                  <w:szCs w:val="17"/>
                  <w:b w:val="1"/>
                  <w:bCs w:val="1"/>
                  <w:color w:val="0000FF"/>
                  <w:w w:val="87"/>
                </w:rPr>
                <w:t>Legal Proceedings</w:t>
              </w:r>
            </w:hyperlink>
          </w:p>
        </w:tc>
        <w:tc>
          <w:tcPr>
            <w:tcW w:w="7580" w:type="dxa"/>
            <w:vAlign w:val="bottom"/>
            <w:gridSpan w:val="9"/>
          </w:tcPr>
          <w:p>
            <w:pPr>
              <w:spacing w:after="0"/>
              <w:rPr>
                <w:sz w:val="17"/>
                <w:szCs w:val="17"/>
                <w:color w:val="auto"/>
              </w:rPr>
            </w:pPr>
          </w:p>
        </w:tc>
        <w:tc>
          <w:tcPr>
            <w:tcW w:w="720" w:type="dxa"/>
            <w:vAlign w:val="bottom"/>
            <w:gridSpan w:val="4"/>
          </w:tcPr>
          <w:p>
            <w:pPr>
              <w:jc w:val="right"/>
              <w:ind w:right="20"/>
              <w:spacing w:after="0"/>
              <w:rPr>
                <w:rFonts w:ascii="Arial" w:cs="Arial" w:eastAsia="Arial" w:hAnsi="Arial"/>
                <w:sz w:val="17"/>
                <w:szCs w:val="17"/>
                <w:b w:val="1"/>
                <w:bCs w:val="1"/>
                <w:color w:val="0000FF"/>
              </w:rPr>
            </w:pPr>
            <w:hyperlink w:anchor="page48">
              <w:r>
                <w:rPr>
                  <w:rFonts w:ascii="Arial" w:cs="Arial" w:eastAsia="Arial" w:hAnsi="Arial"/>
                  <w:sz w:val="17"/>
                  <w:szCs w:val="17"/>
                  <w:b w:val="1"/>
                  <w:bCs w:val="1"/>
                  <w:color w:val="0000FF"/>
                </w:rPr>
                <w:t>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Arial" w:cs="Arial" w:eastAsia="Arial" w:hAnsi="Arial"/>
                <w:sz w:val="17"/>
                <w:szCs w:val="17"/>
                <w:b w:val="1"/>
                <w:bCs w:val="1"/>
                <w:color w:val="auto"/>
              </w:rPr>
              <w:t>ITEM 1A</w:t>
            </w:r>
          </w:p>
        </w:tc>
        <w:tc>
          <w:tcPr>
            <w:tcW w:w="1340" w:type="dxa"/>
            <w:vAlign w:val="bottom"/>
            <w:gridSpan w:val="5"/>
          </w:tcPr>
          <w:p>
            <w:pPr>
              <w:spacing w:after="0"/>
              <w:rPr>
                <w:rFonts w:ascii="Arial" w:cs="Arial" w:eastAsia="Arial" w:hAnsi="Arial"/>
                <w:sz w:val="17"/>
                <w:szCs w:val="17"/>
                <w:b w:val="1"/>
                <w:bCs w:val="1"/>
                <w:color w:val="0000FF"/>
              </w:rPr>
            </w:pPr>
            <w:hyperlink w:anchor="page48">
              <w:r>
                <w:rPr>
                  <w:rFonts w:ascii="Arial" w:cs="Arial" w:eastAsia="Arial" w:hAnsi="Arial"/>
                  <w:sz w:val="17"/>
                  <w:szCs w:val="17"/>
                  <w:b w:val="1"/>
                  <w:bCs w:val="1"/>
                  <w:color w:val="0000FF"/>
                </w:rPr>
                <w:t>Risk Factors</w:t>
              </w:r>
            </w:hyperlink>
          </w:p>
        </w:tc>
        <w:tc>
          <w:tcPr>
            <w:tcW w:w="7580" w:type="dxa"/>
            <w:vAlign w:val="bottom"/>
            <w:gridSpan w:val="9"/>
          </w:tcPr>
          <w:p>
            <w:pPr>
              <w:spacing w:after="0"/>
              <w:rPr>
                <w:sz w:val="17"/>
                <w:szCs w:val="17"/>
                <w:color w:val="auto"/>
              </w:rPr>
            </w:pPr>
          </w:p>
        </w:tc>
        <w:tc>
          <w:tcPr>
            <w:tcW w:w="720" w:type="dxa"/>
            <w:vAlign w:val="bottom"/>
            <w:gridSpan w:val="4"/>
          </w:tcPr>
          <w:p>
            <w:pPr>
              <w:jc w:val="right"/>
              <w:ind w:right="20"/>
              <w:spacing w:after="0"/>
              <w:rPr>
                <w:rFonts w:ascii="Arial" w:cs="Arial" w:eastAsia="Arial" w:hAnsi="Arial"/>
                <w:sz w:val="17"/>
                <w:szCs w:val="17"/>
                <w:b w:val="1"/>
                <w:bCs w:val="1"/>
                <w:color w:val="0000FF"/>
              </w:rPr>
            </w:pPr>
            <w:hyperlink w:anchor="page48">
              <w:r>
                <w:rPr>
                  <w:rFonts w:ascii="Arial" w:cs="Arial" w:eastAsia="Arial" w:hAnsi="Arial"/>
                  <w:sz w:val="17"/>
                  <w:szCs w:val="17"/>
                  <w:b w:val="1"/>
                  <w:bCs w:val="1"/>
                  <w:color w:val="0000FF"/>
                </w:rPr>
                <w:t>45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Arial" w:cs="Arial" w:eastAsia="Arial" w:hAnsi="Arial"/>
                <w:sz w:val="17"/>
                <w:szCs w:val="17"/>
                <w:b w:val="1"/>
                <w:bCs w:val="1"/>
                <w:color w:val="auto"/>
              </w:rPr>
              <w:t>ITEM 2</w:t>
            </w:r>
          </w:p>
        </w:tc>
        <w:tc>
          <w:tcPr>
            <w:tcW w:w="8920" w:type="dxa"/>
            <w:vAlign w:val="bottom"/>
            <w:gridSpan w:val="14"/>
          </w:tcPr>
          <w:p>
            <w:pPr>
              <w:spacing w:after="0"/>
              <w:rPr>
                <w:rFonts w:ascii="Arial" w:cs="Arial" w:eastAsia="Arial" w:hAnsi="Arial"/>
                <w:sz w:val="17"/>
                <w:szCs w:val="17"/>
                <w:b w:val="1"/>
                <w:bCs w:val="1"/>
                <w:color w:val="0000FF"/>
              </w:rPr>
            </w:pPr>
            <w:hyperlink w:anchor="page50">
              <w:r>
                <w:rPr>
                  <w:rFonts w:ascii="Arial" w:cs="Arial" w:eastAsia="Arial" w:hAnsi="Arial"/>
                  <w:sz w:val="17"/>
                  <w:szCs w:val="17"/>
                  <w:b w:val="1"/>
                  <w:bCs w:val="1"/>
                  <w:color w:val="0000FF"/>
                </w:rPr>
                <w:t>Unregistered Sales of Equity Securities and Use of Proceeds</w:t>
              </w:r>
            </w:hyperlink>
          </w:p>
        </w:tc>
        <w:tc>
          <w:tcPr>
            <w:tcW w:w="720" w:type="dxa"/>
            <w:vAlign w:val="bottom"/>
            <w:gridSpan w:val="4"/>
          </w:tcPr>
          <w:p>
            <w:pPr>
              <w:jc w:val="right"/>
              <w:ind w:right="20"/>
              <w:spacing w:after="0"/>
              <w:rPr>
                <w:rFonts w:ascii="Arial" w:cs="Arial" w:eastAsia="Arial" w:hAnsi="Arial"/>
                <w:sz w:val="17"/>
                <w:szCs w:val="17"/>
                <w:b w:val="1"/>
                <w:bCs w:val="1"/>
                <w:color w:val="0000FF"/>
              </w:rPr>
            </w:pPr>
            <w:hyperlink w:anchor="page50">
              <w:r>
                <w:rPr>
                  <w:rFonts w:ascii="Arial" w:cs="Arial" w:eastAsia="Arial" w:hAnsi="Arial"/>
                  <w:sz w:val="17"/>
                  <w:szCs w:val="17"/>
                  <w:b w:val="1"/>
                  <w:bCs w:val="1"/>
                  <w:color w:val="0000FF"/>
                </w:rPr>
                <w:t>46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Arial" w:cs="Arial" w:eastAsia="Arial" w:hAnsi="Arial"/>
                <w:sz w:val="17"/>
                <w:szCs w:val="17"/>
                <w:b w:val="1"/>
                <w:bCs w:val="1"/>
                <w:color w:val="auto"/>
              </w:rPr>
              <w:t>ITEM 3</w:t>
            </w:r>
          </w:p>
        </w:tc>
        <w:tc>
          <w:tcPr>
            <w:tcW w:w="4340" w:type="dxa"/>
            <w:vAlign w:val="bottom"/>
            <w:gridSpan w:val="11"/>
          </w:tcPr>
          <w:p>
            <w:pPr>
              <w:spacing w:after="0"/>
              <w:rPr>
                <w:rFonts w:ascii="Arial" w:cs="Arial" w:eastAsia="Arial" w:hAnsi="Arial"/>
                <w:sz w:val="17"/>
                <w:szCs w:val="17"/>
                <w:b w:val="1"/>
                <w:bCs w:val="1"/>
                <w:color w:val="0000FF"/>
              </w:rPr>
            </w:pPr>
            <w:hyperlink w:anchor="page50">
              <w:r>
                <w:rPr>
                  <w:rFonts w:ascii="Arial" w:cs="Arial" w:eastAsia="Arial" w:hAnsi="Arial"/>
                  <w:sz w:val="17"/>
                  <w:szCs w:val="17"/>
                  <w:b w:val="1"/>
                  <w:bCs w:val="1"/>
                  <w:color w:val="0000FF"/>
                </w:rPr>
                <w:t>Defaults Upon Senior Securities</w:t>
              </w:r>
            </w:hyperlink>
          </w:p>
        </w:tc>
        <w:tc>
          <w:tcPr>
            <w:tcW w:w="4580" w:type="dxa"/>
            <w:vAlign w:val="bottom"/>
            <w:gridSpan w:val="3"/>
          </w:tcPr>
          <w:p>
            <w:pPr>
              <w:spacing w:after="0"/>
              <w:rPr>
                <w:sz w:val="17"/>
                <w:szCs w:val="17"/>
                <w:color w:val="auto"/>
              </w:rPr>
            </w:pPr>
          </w:p>
        </w:tc>
        <w:tc>
          <w:tcPr>
            <w:tcW w:w="720" w:type="dxa"/>
            <w:vAlign w:val="bottom"/>
            <w:gridSpan w:val="4"/>
          </w:tcPr>
          <w:p>
            <w:pPr>
              <w:jc w:val="right"/>
              <w:ind w:right="20"/>
              <w:spacing w:after="0"/>
              <w:rPr>
                <w:rFonts w:ascii="Arial" w:cs="Arial" w:eastAsia="Arial" w:hAnsi="Arial"/>
                <w:sz w:val="17"/>
                <w:szCs w:val="17"/>
                <w:b w:val="1"/>
                <w:bCs w:val="1"/>
                <w:color w:val="0000FF"/>
              </w:rPr>
            </w:pPr>
            <w:hyperlink w:anchor="page50">
              <w:r>
                <w:rPr>
                  <w:rFonts w:ascii="Arial" w:cs="Arial" w:eastAsia="Arial" w:hAnsi="Arial"/>
                  <w:sz w:val="17"/>
                  <w:szCs w:val="17"/>
                  <w:b w:val="1"/>
                  <w:bCs w:val="1"/>
                  <w:color w:val="0000FF"/>
                </w:rPr>
                <w:t>46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Arial" w:cs="Arial" w:eastAsia="Arial" w:hAnsi="Arial"/>
                <w:sz w:val="17"/>
                <w:szCs w:val="17"/>
                <w:b w:val="1"/>
                <w:bCs w:val="1"/>
                <w:color w:val="auto"/>
              </w:rPr>
              <w:t>ITEM 4</w:t>
            </w:r>
          </w:p>
        </w:tc>
        <w:tc>
          <w:tcPr>
            <w:tcW w:w="2320" w:type="dxa"/>
            <w:vAlign w:val="bottom"/>
            <w:gridSpan w:val="10"/>
          </w:tcPr>
          <w:p>
            <w:pPr>
              <w:spacing w:after="0"/>
              <w:rPr>
                <w:rFonts w:ascii="Arial" w:cs="Arial" w:eastAsia="Arial" w:hAnsi="Arial"/>
                <w:sz w:val="17"/>
                <w:szCs w:val="17"/>
                <w:b w:val="1"/>
                <w:bCs w:val="1"/>
                <w:color w:val="0000FF"/>
              </w:rPr>
            </w:pPr>
            <w:hyperlink w:anchor="page50">
              <w:r>
                <w:rPr>
                  <w:rFonts w:ascii="Arial" w:cs="Arial" w:eastAsia="Arial" w:hAnsi="Arial"/>
                  <w:sz w:val="17"/>
                  <w:szCs w:val="17"/>
                  <w:b w:val="1"/>
                  <w:bCs w:val="1"/>
                  <w:color w:val="0000FF"/>
                </w:rPr>
                <w:t>Mine Safety Disclosures</w:t>
              </w:r>
            </w:hyperlink>
          </w:p>
        </w:tc>
        <w:tc>
          <w:tcPr>
            <w:tcW w:w="6600" w:type="dxa"/>
            <w:vAlign w:val="bottom"/>
            <w:gridSpan w:val="4"/>
          </w:tcPr>
          <w:p>
            <w:pPr>
              <w:spacing w:after="0"/>
              <w:rPr>
                <w:sz w:val="17"/>
                <w:szCs w:val="17"/>
                <w:color w:val="auto"/>
              </w:rPr>
            </w:pPr>
          </w:p>
        </w:tc>
        <w:tc>
          <w:tcPr>
            <w:tcW w:w="720" w:type="dxa"/>
            <w:vAlign w:val="bottom"/>
            <w:gridSpan w:val="4"/>
          </w:tcPr>
          <w:p>
            <w:pPr>
              <w:jc w:val="right"/>
              <w:ind w:right="20"/>
              <w:spacing w:after="0"/>
              <w:rPr>
                <w:rFonts w:ascii="Arial" w:cs="Arial" w:eastAsia="Arial" w:hAnsi="Arial"/>
                <w:sz w:val="17"/>
                <w:szCs w:val="17"/>
                <w:b w:val="1"/>
                <w:bCs w:val="1"/>
                <w:color w:val="0000FF"/>
              </w:rPr>
            </w:pPr>
            <w:hyperlink w:anchor="page50">
              <w:r>
                <w:rPr>
                  <w:rFonts w:ascii="Arial" w:cs="Arial" w:eastAsia="Arial" w:hAnsi="Arial"/>
                  <w:sz w:val="17"/>
                  <w:szCs w:val="17"/>
                  <w:b w:val="1"/>
                  <w:bCs w:val="1"/>
                  <w:color w:val="0000FF"/>
                </w:rPr>
                <w:t>47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18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Arial" w:cs="Arial" w:eastAsia="Arial" w:hAnsi="Arial"/>
                <w:sz w:val="17"/>
                <w:szCs w:val="17"/>
                <w:b w:val="1"/>
                <w:bCs w:val="1"/>
                <w:color w:val="auto"/>
              </w:rPr>
              <w:t>ITEM 5</w:t>
            </w:r>
          </w:p>
        </w:tc>
        <w:tc>
          <w:tcPr>
            <w:tcW w:w="1380" w:type="dxa"/>
            <w:vAlign w:val="bottom"/>
            <w:gridSpan w:val="6"/>
          </w:tcPr>
          <w:p>
            <w:pPr>
              <w:spacing w:after="0"/>
              <w:rPr>
                <w:rFonts w:ascii="Arial" w:cs="Arial" w:eastAsia="Arial" w:hAnsi="Arial"/>
                <w:sz w:val="17"/>
                <w:szCs w:val="17"/>
                <w:b w:val="1"/>
                <w:bCs w:val="1"/>
                <w:color w:val="0000FF"/>
                <w:w w:val="94"/>
              </w:rPr>
            </w:pPr>
            <w:hyperlink w:anchor="page51">
              <w:r>
                <w:rPr>
                  <w:rFonts w:ascii="Arial" w:cs="Arial" w:eastAsia="Arial" w:hAnsi="Arial"/>
                  <w:sz w:val="17"/>
                  <w:szCs w:val="17"/>
                  <w:b w:val="1"/>
                  <w:bCs w:val="1"/>
                  <w:color w:val="0000FF"/>
                  <w:w w:val="94"/>
                </w:rPr>
                <w:t>Other Information</w:t>
              </w:r>
            </w:hyperlink>
          </w:p>
        </w:tc>
        <w:tc>
          <w:tcPr>
            <w:tcW w:w="360" w:type="dxa"/>
            <w:vAlign w:val="bottom"/>
            <w:gridSpan w:val="2"/>
          </w:tcPr>
          <w:p>
            <w:pPr>
              <w:spacing w:after="0"/>
              <w:rPr>
                <w:sz w:val="17"/>
                <w:szCs w:val="17"/>
                <w:color w:val="auto"/>
              </w:rPr>
            </w:pPr>
          </w:p>
        </w:tc>
        <w:tc>
          <w:tcPr>
            <w:tcW w:w="7180" w:type="dxa"/>
            <w:vAlign w:val="bottom"/>
            <w:gridSpan w:val="6"/>
          </w:tcPr>
          <w:p>
            <w:pPr>
              <w:spacing w:after="0"/>
              <w:rPr>
                <w:sz w:val="17"/>
                <w:szCs w:val="17"/>
                <w:color w:val="auto"/>
              </w:rPr>
            </w:pPr>
          </w:p>
        </w:tc>
        <w:tc>
          <w:tcPr>
            <w:tcW w:w="720" w:type="dxa"/>
            <w:vAlign w:val="bottom"/>
            <w:gridSpan w:val="4"/>
          </w:tcPr>
          <w:p>
            <w:pPr>
              <w:jc w:val="right"/>
              <w:ind w:right="20"/>
              <w:spacing w:after="0"/>
              <w:rPr>
                <w:rFonts w:ascii="Arial" w:cs="Arial" w:eastAsia="Arial" w:hAnsi="Arial"/>
                <w:sz w:val="17"/>
                <w:szCs w:val="17"/>
                <w:b w:val="1"/>
                <w:bCs w:val="1"/>
                <w:color w:val="0000FF"/>
              </w:rPr>
            </w:pPr>
            <w:hyperlink w:anchor="page51">
              <w:r>
                <w:rPr>
                  <w:rFonts w:ascii="Arial" w:cs="Arial" w:eastAsia="Arial" w:hAnsi="Arial"/>
                  <w:sz w:val="17"/>
                  <w:szCs w:val="17"/>
                  <w:b w:val="1"/>
                  <w:bCs w:val="1"/>
                  <w:color w:val="0000FF"/>
                </w:rPr>
                <w:t>47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Arial" w:cs="Arial" w:eastAsia="Arial" w:hAnsi="Arial"/>
                <w:sz w:val="17"/>
                <w:szCs w:val="17"/>
                <w:b w:val="1"/>
                <w:bCs w:val="1"/>
                <w:color w:val="auto"/>
              </w:rPr>
              <w:t>ITEM 6</w:t>
            </w:r>
          </w:p>
        </w:tc>
        <w:tc>
          <w:tcPr>
            <w:tcW w:w="1380" w:type="dxa"/>
            <w:vAlign w:val="bottom"/>
            <w:gridSpan w:val="6"/>
          </w:tcPr>
          <w:p>
            <w:pPr>
              <w:spacing w:after="0"/>
              <w:rPr>
                <w:rFonts w:ascii="Arial" w:cs="Arial" w:eastAsia="Arial" w:hAnsi="Arial"/>
                <w:sz w:val="17"/>
                <w:szCs w:val="17"/>
                <w:b w:val="1"/>
                <w:bCs w:val="1"/>
                <w:color w:val="0000FF"/>
              </w:rPr>
            </w:pPr>
            <w:hyperlink w:anchor="page51">
              <w:r>
                <w:rPr>
                  <w:rFonts w:ascii="Arial" w:cs="Arial" w:eastAsia="Arial" w:hAnsi="Arial"/>
                  <w:sz w:val="17"/>
                  <w:szCs w:val="17"/>
                  <w:b w:val="1"/>
                  <w:bCs w:val="1"/>
                  <w:color w:val="0000FF"/>
                </w:rPr>
                <w:t>Exhibits</w:t>
              </w:r>
            </w:hyperlink>
          </w:p>
        </w:tc>
        <w:tc>
          <w:tcPr>
            <w:tcW w:w="7540" w:type="dxa"/>
            <w:vAlign w:val="bottom"/>
            <w:gridSpan w:val="8"/>
          </w:tcPr>
          <w:p>
            <w:pPr>
              <w:spacing w:after="0"/>
              <w:rPr>
                <w:sz w:val="17"/>
                <w:szCs w:val="17"/>
                <w:color w:val="auto"/>
              </w:rPr>
            </w:pPr>
          </w:p>
        </w:tc>
        <w:tc>
          <w:tcPr>
            <w:tcW w:w="720" w:type="dxa"/>
            <w:vAlign w:val="bottom"/>
            <w:gridSpan w:val="4"/>
          </w:tcPr>
          <w:p>
            <w:pPr>
              <w:jc w:val="right"/>
              <w:ind w:right="20"/>
              <w:spacing w:after="0"/>
              <w:rPr>
                <w:rFonts w:ascii="Arial" w:cs="Arial" w:eastAsia="Arial" w:hAnsi="Arial"/>
                <w:sz w:val="17"/>
                <w:szCs w:val="17"/>
                <w:b w:val="1"/>
                <w:bCs w:val="1"/>
                <w:color w:val="0000FF"/>
              </w:rPr>
            </w:pPr>
            <w:hyperlink w:anchor="page51">
              <w:r>
                <w:rPr>
                  <w:rFonts w:ascii="Arial" w:cs="Arial" w:eastAsia="Arial" w:hAnsi="Arial"/>
                  <w:sz w:val="17"/>
                  <w:szCs w:val="17"/>
                  <w:b w:val="1"/>
                  <w:bCs w:val="1"/>
                  <w:color w:val="0000FF"/>
                </w:rPr>
                <w:t>48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8"/>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8880" w:type="dxa"/>
            <w:vAlign w:val="bottom"/>
            <w:gridSpan w:val="23"/>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48"/>
        </w:trPr>
        <w:tc>
          <w:tcPr>
            <w:tcW w:w="1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tcPr>
          <w:p>
            <w:pPr>
              <w:ind w:left="240"/>
              <w:spacing w:after="0"/>
              <w:rPr>
                <w:sz w:val="20"/>
                <w:szCs w:val="20"/>
                <w:color w:val="auto"/>
              </w:rPr>
            </w:pPr>
            <w:r>
              <w:rPr>
                <w:rFonts w:ascii="Arial" w:cs="Arial" w:eastAsia="Arial" w:hAnsi="Arial"/>
                <w:sz w:val="17"/>
                <w:szCs w:val="17"/>
                <w:b w:val="1"/>
                <w:bCs w:val="1"/>
                <w:color w:val="auto"/>
              </w:rPr>
              <w:t>PART I. FINANCIAL INFORMATION</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6"/>
        </w:trPr>
        <w:tc>
          <w:tcPr>
            <w:tcW w:w="100" w:type="dxa"/>
            <w:vAlign w:val="bottom"/>
          </w:tcPr>
          <w:p>
            <w:pPr>
              <w:spacing w:after="0"/>
              <w:rPr>
                <w:sz w:val="24"/>
                <w:szCs w:val="24"/>
                <w:color w:val="auto"/>
              </w:rPr>
            </w:pPr>
          </w:p>
        </w:tc>
        <w:tc>
          <w:tcPr>
            <w:tcW w:w="8880" w:type="dxa"/>
            <w:vAlign w:val="bottom"/>
            <w:gridSpan w:val="23"/>
          </w:tcPr>
          <w:p>
            <w:pPr>
              <w:spacing w:after="0"/>
              <w:rPr>
                <w:sz w:val="20"/>
                <w:szCs w:val="20"/>
                <w:color w:val="auto"/>
              </w:rPr>
            </w:pPr>
            <w:r>
              <w:rPr>
                <w:rFonts w:ascii="Arial" w:cs="Arial" w:eastAsia="Arial" w:hAnsi="Arial"/>
                <w:sz w:val="17"/>
                <w:szCs w:val="17"/>
                <w:b w:val="1"/>
                <w:bCs w:val="1"/>
                <w:color w:val="auto"/>
              </w:rPr>
              <w:t>Item 1</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Financial Statements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6"/>
        </w:trPr>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gridSpan w:val="14"/>
          </w:tcPr>
          <w:p>
            <w:pPr>
              <w:ind w:left="100"/>
              <w:spacing w:after="0"/>
              <w:rPr>
                <w:sz w:val="20"/>
                <w:szCs w:val="20"/>
                <w:color w:val="auto"/>
              </w:rPr>
            </w:pPr>
            <w:r>
              <w:rPr>
                <w:rFonts w:ascii="Arial" w:cs="Arial" w:eastAsia="Arial" w:hAnsi="Arial"/>
                <w:sz w:val="17"/>
                <w:szCs w:val="17"/>
                <w:b w:val="1"/>
                <w:bCs w:val="1"/>
                <w:color w:val="auto"/>
              </w:rPr>
              <w:t>INDEX TO THE UNAUDITED CONDENSED CONSOLIDATED FINANCIAL STATEMENTS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4"/>
        </w:trPr>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360" w:type="dxa"/>
            <w:vAlign w:val="bottom"/>
            <w:gridSpan w:val="8"/>
          </w:tcPr>
          <w:p>
            <w:pPr>
              <w:ind w:left="200"/>
              <w:spacing w:after="0"/>
              <w:rPr>
                <w:sz w:val="20"/>
                <w:szCs w:val="20"/>
                <w:color w:val="auto"/>
              </w:rPr>
            </w:pPr>
            <w:r>
              <w:rPr>
                <w:rFonts w:ascii="Arial" w:cs="Arial" w:eastAsia="Arial" w:hAnsi="Arial"/>
                <w:sz w:val="17"/>
                <w:szCs w:val="17"/>
                <w:b w:val="1"/>
                <w:bCs w:val="1"/>
                <w:color w:val="auto"/>
              </w:rPr>
              <w:t>Page</w:t>
            </w:r>
          </w:p>
        </w:tc>
      </w:tr>
      <w:tr>
        <w:trPr>
          <w:trHeight w:val="174"/>
        </w:trPr>
        <w:tc>
          <w:tcPr>
            <w:tcW w:w="2140" w:type="dxa"/>
            <w:vAlign w:val="bottom"/>
            <w:tcBorders>
              <w:bottom w:val="single" w:sz="8" w:color="0000FF"/>
            </w:tcBorders>
            <w:gridSpan w:val="13"/>
          </w:tcPr>
          <w:p>
            <w:pPr>
              <w:ind w:left="40"/>
              <w:spacing w:after="0" w:line="174" w:lineRule="exact"/>
              <w:rPr>
                <w:rFonts w:ascii="Arial" w:cs="Arial" w:eastAsia="Arial" w:hAnsi="Arial"/>
                <w:sz w:val="17"/>
                <w:szCs w:val="17"/>
                <w:b w:val="1"/>
                <w:bCs w:val="1"/>
                <w:color w:val="0000FF"/>
                <w:w w:val="87"/>
              </w:rPr>
            </w:pPr>
            <w:hyperlink w:anchor="page4">
              <w:r>
                <w:rPr>
                  <w:rFonts w:ascii="Arial" w:cs="Arial" w:eastAsia="Arial" w:hAnsi="Arial"/>
                  <w:sz w:val="17"/>
                  <w:szCs w:val="17"/>
                  <w:b w:val="1"/>
                  <w:bCs w:val="1"/>
                  <w:color w:val="0000FF"/>
                  <w:w w:val="87"/>
                </w:rPr>
                <w:t>Consolidated Balance Sheets</w:t>
              </w:r>
            </w:hyperlink>
          </w:p>
        </w:tc>
        <w:tc>
          <w:tcPr>
            <w:tcW w:w="6840" w:type="dxa"/>
            <w:vAlign w:val="bottom"/>
            <w:gridSpan w:val="11"/>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gridSpan w:val="3"/>
          </w:tcPr>
          <w:p>
            <w:pPr>
              <w:spacing w:after="0"/>
              <w:rPr>
                <w:sz w:val="15"/>
                <w:szCs w:val="15"/>
                <w:color w:val="auto"/>
              </w:rPr>
            </w:pPr>
          </w:p>
        </w:tc>
        <w:tc>
          <w:tcPr>
            <w:tcW w:w="100" w:type="dxa"/>
            <w:vAlign w:val="bottom"/>
            <w:tcBorders>
              <w:top w:val="single" w:sz="8" w:color="auto"/>
              <w:bottom w:val="single" w:sz="8" w:color="0000FF"/>
            </w:tcBorders>
          </w:tcPr>
          <w:p>
            <w:pPr>
              <w:jc w:val="center"/>
              <w:spacing w:after="0" w:line="174" w:lineRule="exact"/>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1</w:t>
              </w:r>
            </w:hyperlink>
          </w:p>
        </w:tc>
        <w:tc>
          <w:tcPr>
            <w:tcW w:w="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920" w:type="dxa"/>
            <w:vAlign w:val="bottom"/>
          </w:tcPr>
          <w:p>
            <w:pPr>
              <w:spacing w:after="0"/>
              <w:rPr>
                <w:sz w:val="15"/>
                <w:szCs w:val="15"/>
                <w:color w:val="auto"/>
              </w:rPr>
            </w:pPr>
          </w:p>
        </w:tc>
      </w:tr>
      <w:tr>
        <w:trPr>
          <w:trHeight w:val="198"/>
        </w:trPr>
        <w:tc>
          <w:tcPr>
            <w:tcW w:w="2900" w:type="dxa"/>
            <w:vAlign w:val="bottom"/>
            <w:tcBorders>
              <w:bottom w:val="single" w:sz="8" w:color="0000FF"/>
            </w:tcBorders>
            <w:gridSpan w:val="18"/>
          </w:tcPr>
          <w:p>
            <w:pPr>
              <w:ind w:left="40"/>
              <w:spacing w:after="0"/>
              <w:rPr>
                <w:rFonts w:ascii="Arial" w:cs="Arial" w:eastAsia="Arial" w:hAnsi="Arial"/>
                <w:sz w:val="17"/>
                <w:szCs w:val="17"/>
                <w:b w:val="1"/>
                <w:bCs w:val="1"/>
                <w:color w:val="0000FF"/>
                <w:w w:val="88"/>
              </w:rPr>
            </w:pPr>
            <w:hyperlink w:anchor="page5">
              <w:r>
                <w:rPr>
                  <w:rFonts w:ascii="Arial" w:cs="Arial" w:eastAsia="Arial" w:hAnsi="Arial"/>
                  <w:sz w:val="17"/>
                  <w:szCs w:val="17"/>
                  <w:b w:val="1"/>
                  <w:bCs w:val="1"/>
                  <w:color w:val="0000FF"/>
                  <w:w w:val="88"/>
                </w:rPr>
                <w:t>Consolidated Statements of Operations</w:t>
              </w:r>
            </w:hyperlink>
          </w:p>
        </w:tc>
        <w:tc>
          <w:tcPr>
            <w:tcW w:w="6080" w:type="dxa"/>
            <w:vAlign w:val="bottom"/>
            <w:gridSpan w:val="6"/>
          </w:tcPr>
          <w:p>
            <w:pPr>
              <w:spacing w:after="0"/>
              <w:rPr>
                <w:sz w:val="17"/>
                <w:szCs w:val="17"/>
                <w:color w:val="auto"/>
              </w:rPr>
            </w:pPr>
          </w:p>
        </w:tc>
        <w:tc>
          <w:tcPr>
            <w:tcW w:w="320" w:type="dxa"/>
            <w:vAlign w:val="bottom"/>
            <w:gridSpan w:val="4"/>
          </w:tcPr>
          <w:p>
            <w:pPr>
              <w:spacing w:after="0"/>
              <w:rPr>
                <w:sz w:val="17"/>
                <w:szCs w:val="17"/>
                <w:color w:val="auto"/>
              </w:rPr>
            </w:pPr>
          </w:p>
        </w:tc>
        <w:tc>
          <w:tcPr>
            <w:tcW w:w="100" w:type="dxa"/>
            <w:vAlign w:val="bottom"/>
            <w:tcBorders>
              <w:bottom w:val="single" w:sz="8" w:color="0000FF"/>
            </w:tcBorders>
          </w:tcPr>
          <w:p>
            <w:pPr>
              <w:jc w:val="center"/>
              <w:spacing w:after="0"/>
              <w:rPr>
                <w:rFonts w:ascii="Arial" w:cs="Arial" w:eastAsia="Arial" w:hAnsi="Arial"/>
                <w:sz w:val="17"/>
                <w:szCs w:val="17"/>
                <w:b w:val="1"/>
                <w:bCs w:val="1"/>
                <w:color w:val="0000FF"/>
              </w:rPr>
            </w:pPr>
            <w:hyperlink w:anchor="page5">
              <w:r>
                <w:rPr>
                  <w:rFonts w:ascii="Arial" w:cs="Arial" w:eastAsia="Arial" w:hAnsi="Arial"/>
                  <w:sz w:val="17"/>
                  <w:szCs w:val="17"/>
                  <w:b w:val="1"/>
                  <w:bCs w:val="1"/>
                  <w:color w:val="0000FF"/>
                </w:rPr>
                <w:t>2</w:t>
              </w:r>
            </w:hyperlink>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8980" w:type="dxa"/>
            <w:vAlign w:val="bottom"/>
            <w:gridSpan w:val="24"/>
          </w:tcPr>
          <w:p>
            <w:pPr>
              <w:ind w:left="40"/>
              <w:spacing w:after="0"/>
              <w:rPr>
                <w:rFonts w:ascii="Arial" w:cs="Arial" w:eastAsia="Arial" w:hAnsi="Arial"/>
                <w:sz w:val="17"/>
                <w:szCs w:val="17"/>
                <w:b w:val="1"/>
                <w:bCs w:val="1"/>
                <w:color w:val="0000FF"/>
              </w:rPr>
            </w:pPr>
            <w:hyperlink w:anchor="page6">
              <w:r>
                <w:rPr>
                  <w:rFonts w:ascii="Arial" w:cs="Arial" w:eastAsia="Arial" w:hAnsi="Arial"/>
                  <w:sz w:val="17"/>
                  <w:szCs w:val="17"/>
                  <w:b w:val="1"/>
                  <w:bCs w:val="1"/>
                  <w:color w:val="0000FF"/>
                </w:rPr>
                <w:t>Consolidated Statements of Comprehensive Income</w:t>
              </w:r>
            </w:hyperlink>
          </w:p>
        </w:tc>
        <w:tc>
          <w:tcPr>
            <w:tcW w:w="460" w:type="dxa"/>
            <w:vAlign w:val="bottom"/>
            <w:gridSpan w:val="6"/>
          </w:tcPr>
          <w:p>
            <w:pPr>
              <w:jc w:val="center"/>
              <w:ind w:left="195"/>
              <w:spacing w:after="0"/>
              <w:rPr>
                <w:rFonts w:ascii="Arial" w:cs="Arial" w:eastAsia="Arial" w:hAnsi="Arial"/>
                <w:sz w:val="17"/>
                <w:szCs w:val="17"/>
                <w:b w:val="1"/>
                <w:bCs w:val="1"/>
                <w:color w:val="0000FF"/>
              </w:rPr>
            </w:pPr>
            <w:hyperlink w:anchor="page6">
              <w:r>
                <w:rPr>
                  <w:rFonts w:ascii="Arial" w:cs="Arial" w:eastAsia="Arial" w:hAnsi="Arial"/>
                  <w:sz w:val="17"/>
                  <w:szCs w:val="17"/>
                  <w:b w:val="1"/>
                  <w:bCs w:val="1"/>
                  <w:color w:val="0000FF"/>
                </w:rPr>
                <w:t>3</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3800" w:type="dxa"/>
            <w:vAlign w:val="bottom"/>
            <w:tcBorders>
              <w:top w:val="single" w:sz="8" w:color="0000FF"/>
            </w:tcBorders>
            <w:gridSpan w:val="22"/>
          </w:tcPr>
          <w:p>
            <w:pPr>
              <w:ind w:left="40"/>
              <w:spacing w:after="0"/>
              <w:rPr>
                <w:rFonts w:ascii="Arial" w:cs="Arial" w:eastAsia="Arial" w:hAnsi="Arial"/>
                <w:sz w:val="17"/>
                <w:szCs w:val="17"/>
                <w:b w:val="1"/>
                <w:bCs w:val="1"/>
                <w:color w:val="0000FF"/>
              </w:rPr>
            </w:pPr>
            <w:hyperlink w:anchor="page7">
              <w:r>
                <w:rPr>
                  <w:rFonts w:ascii="Arial" w:cs="Arial" w:eastAsia="Arial" w:hAnsi="Arial"/>
                  <w:sz w:val="17"/>
                  <w:szCs w:val="17"/>
                  <w:b w:val="1"/>
                  <w:bCs w:val="1"/>
                  <w:color w:val="0000FF"/>
                </w:rPr>
                <w:t>Consolidated Statements of Cash Flows</w:t>
              </w:r>
            </w:hyperlink>
          </w:p>
        </w:tc>
        <w:tc>
          <w:tcPr>
            <w:tcW w:w="5180" w:type="dxa"/>
            <w:vAlign w:val="bottom"/>
            <w:gridSpan w:val="2"/>
          </w:tcPr>
          <w:p>
            <w:pPr>
              <w:spacing w:after="0"/>
              <w:rPr>
                <w:sz w:val="17"/>
                <w:szCs w:val="17"/>
                <w:color w:val="auto"/>
              </w:rPr>
            </w:pPr>
          </w:p>
        </w:tc>
        <w:tc>
          <w:tcPr>
            <w:tcW w:w="320" w:type="dxa"/>
            <w:vAlign w:val="bottom"/>
            <w:gridSpan w:val="4"/>
          </w:tcPr>
          <w:p>
            <w:pPr>
              <w:spacing w:after="0"/>
              <w:rPr>
                <w:sz w:val="17"/>
                <w:szCs w:val="17"/>
                <w:color w:val="auto"/>
              </w:rPr>
            </w:pPr>
          </w:p>
        </w:tc>
        <w:tc>
          <w:tcPr>
            <w:tcW w:w="100" w:type="dxa"/>
            <w:vAlign w:val="bottom"/>
            <w:tcBorders>
              <w:top w:val="single" w:sz="8" w:color="0000FF"/>
            </w:tcBorders>
          </w:tcPr>
          <w:p>
            <w:pPr>
              <w:jc w:val="center"/>
              <w:spacing w:after="0"/>
              <w:rPr>
                <w:rFonts w:ascii="Arial" w:cs="Arial" w:eastAsia="Arial" w:hAnsi="Arial"/>
                <w:sz w:val="17"/>
                <w:szCs w:val="17"/>
                <w:b w:val="1"/>
                <w:bCs w:val="1"/>
                <w:color w:val="0000FF"/>
              </w:rPr>
            </w:pPr>
            <w:hyperlink w:anchor="page7">
              <w:r>
                <w:rPr>
                  <w:rFonts w:ascii="Arial" w:cs="Arial" w:eastAsia="Arial" w:hAnsi="Arial"/>
                  <w:sz w:val="17"/>
                  <w:szCs w:val="17"/>
                  <w:b w:val="1"/>
                  <w:bCs w:val="1"/>
                  <w:color w:val="0000FF"/>
                </w:rPr>
                <w:t>4</w:t>
              </w:r>
            </w:hyperlink>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8980" w:type="dxa"/>
            <w:vAlign w:val="bottom"/>
            <w:gridSpan w:val="24"/>
          </w:tcPr>
          <w:p>
            <w:pPr>
              <w:ind w:left="40"/>
              <w:spacing w:after="0"/>
              <w:rPr>
                <w:rFonts w:ascii="Arial" w:cs="Arial" w:eastAsia="Arial" w:hAnsi="Arial"/>
                <w:sz w:val="17"/>
                <w:szCs w:val="17"/>
                <w:b w:val="1"/>
                <w:bCs w:val="1"/>
                <w:color w:val="0000FF"/>
              </w:rPr>
            </w:pPr>
            <w:hyperlink w:anchor="page8">
              <w:r>
                <w:rPr>
                  <w:rFonts w:ascii="Arial" w:cs="Arial" w:eastAsia="Arial" w:hAnsi="Arial"/>
                  <w:sz w:val="17"/>
                  <w:szCs w:val="17"/>
                  <w:b w:val="1"/>
                  <w:bCs w:val="1"/>
                  <w:color w:val="0000FF"/>
                </w:rPr>
                <w:t>Consolidated Statement of Stockholders' Equity</w:t>
              </w:r>
            </w:hyperlink>
          </w:p>
        </w:tc>
        <w:tc>
          <w:tcPr>
            <w:tcW w:w="460" w:type="dxa"/>
            <w:vAlign w:val="bottom"/>
            <w:gridSpan w:val="6"/>
          </w:tcPr>
          <w:p>
            <w:pPr>
              <w:jc w:val="center"/>
              <w:ind w:left="195"/>
              <w:spacing w:after="0"/>
              <w:rPr>
                <w:rFonts w:ascii="Arial" w:cs="Arial" w:eastAsia="Arial" w:hAnsi="Arial"/>
                <w:sz w:val="17"/>
                <w:szCs w:val="17"/>
                <w:b w:val="1"/>
                <w:bCs w:val="1"/>
                <w:color w:val="0000FF"/>
              </w:rPr>
            </w:pPr>
            <w:hyperlink w:anchor="page8">
              <w:r>
                <w:rPr>
                  <w:rFonts w:ascii="Arial" w:cs="Arial" w:eastAsia="Arial" w:hAnsi="Arial"/>
                  <w:sz w:val="17"/>
                  <w:szCs w:val="17"/>
                  <w:b w:val="1"/>
                  <w:bCs w:val="1"/>
                  <w:color w:val="0000FF"/>
                </w:rPr>
                <w:t>5</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8980" w:type="dxa"/>
            <w:vAlign w:val="bottom"/>
            <w:gridSpan w:val="24"/>
          </w:tcPr>
          <w:p>
            <w:pPr>
              <w:spacing w:after="0"/>
              <w:rPr>
                <w:rFonts w:ascii="Arial" w:cs="Arial" w:eastAsia="Arial" w:hAnsi="Arial"/>
                <w:sz w:val="17"/>
                <w:szCs w:val="17"/>
                <w:b w:val="1"/>
                <w:bCs w:val="1"/>
                <w:color w:val="0000FF"/>
              </w:rPr>
            </w:pPr>
            <w:hyperlink w:anchor="page10">
              <w:r>
                <w:rPr>
                  <w:rFonts w:ascii="Arial" w:cs="Arial" w:eastAsia="Arial" w:hAnsi="Arial"/>
                  <w:sz w:val="17"/>
                  <w:szCs w:val="17"/>
                  <w:b w:val="1"/>
                  <w:bCs w:val="1"/>
                  <w:color w:val="0000FF"/>
                </w:rPr>
                <w:t>naudited Condensed Consolidated Financial Statements</w:t>
              </w:r>
            </w:hyperlink>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020" w:type="dxa"/>
            <w:vAlign w:val="bottom"/>
            <w:tcBorders>
              <w:top w:val="single" w:sz="8" w:color="0000FF"/>
            </w:tcBorders>
            <w:gridSpan w:val="23"/>
          </w:tcPr>
          <w:p>
            <w:pPr>
              <w:spacing w:after="0"/>
              <w:rPr>
                <w:rFonts w:ascii="Arial" w:cs="Arial" w:eastAsia="Arial" w:hAnsi="Arial"/>
                <w:sz w:val="17"/>
                <w:szCs w:val="17"/>
                <w:b w:val="1"/>
                <w:bCs w:val="1"/>
                <w:color w:val="0000FF"/>
              </w:rPr>
            </w:pPr>
            <w:hyperlink w:anchor="page10">
              <w:r>
                <w:rPr>
                  <w:rFonts w:ascii="Arial" w:cs="Arial" w:eastAsia="Arial" w:hAnsi="Arial"/>
                  <w:sz w:val="17"/>
                  <w:szCs w:val="17"/>
                  <w:b w:val="1"/>
                  <w:bCs w:val="1"/>
                  <w:color w:val="0000FF"/>
                </w:rPr>
                <w:t>ness Overview</w:t>
              </w:r>
            </w:hyperlink>
          </w:p>
        </w:tc>
        <w:tc>
          <w:tcPr>
            <w:tcW w:w="4960" w:type="dxa"/>
            <w:vAlign w:val="bottom"/>
          </w:tcPr>
          <w:p>
            <w:pPr>
              <w:spacing w:after="0"/>
              <w:rPr>
                <w:sz w:val="17"/>
                <w:szCs w:val="17"/>
                <w:color w:val="auto"/>
              </w:rPr>
            </w:pPr>
          </w:p>
        </w:tc>
        <w:tc>
          <w:tcPr>
            <w:tcW w:w="460" w:type="dxa"/>
            <w:vAlign w:val="bottom"/>
            <w:gridSpan w:val="6"/>
          </w:tcPr>
          <w:p>
            <w:pPr>
              <w:jc w:val="center"/>
              <w:ind w:left="195"/>
              <w:spacing w:after="0"/>
              <w:rPr>
                <w:rFonts w:ascii="Arial" w:cs="Arial" w:eastAsia="Arial" w:hAnsi="Arial"/>
                <w:sz w:val="17"/>
                <w:szCs w:val="17"/>
                <w:b w:val="1"/>
                <w:bCs w:val="1"/>
                <w:color w:val="0000FF"/>
              </w:rPr>
            </w:pPr>
            <w:hyperlink w:anchor="page10">
              <w:r>
                <w:rPr>
                  <w:rFonts w:ascii="Arial" w:cs="Arial" w:eastAsia="Arial" w:hAnsi="Arial"/>
                  <w:sz w:val="17"/>
                  <w:szCs w:val="17"/>
                  <w:b w:val="1"/>
                  <w:bCs w:val="1"/>
                  <w:color w:val="0000FF"/>
                </w:rPr>
                <w:t>7</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8980" w:type="dxa"/>
            <w:vAlign w:val="bottom"/>
            <w:gridSpan w:val="24"/>
          </w:tcPr>
          <w:p>
            <w:pPr>
              <w:spacing w:after="0"/>
              <w:rPr>
                <w:rFonts w:ascii="Arial" w:cs="Arial" w:eastAsia="Arial" w:hAnsi="Arial"/>
                <w:sz w:val="17"/>
                <w:szCs w:val="17"/>
                <w:b w:val="1"/>
                <w:bCs w:val="1"/>
                <w:color w:val="0000FF"/>
              </w:rPr>
            </w:pPr>
            <w:hyperlink w:anchor="page11">
              <w:r>
                <w:rPr>
                  <w:rFonts w:ascii="Arial" w:cs="Arial" w:eastAsia="Arial" w:hAnsi="Arial"/>
                  <w:sz w:val="17"/>
                  <w:szCs w:val="17"/>
                  <w:b w:val="1"/>
                  <w:bCs w:val="1"/>
                  <w:color w:val="0000FF"/>
                </w:rPr>
                <w:t>s of Presentation</w:t>
              </w:r>
            </w:hyperlink>
          </w:p>
        </w:tc>
        <w:tc>
          <w:tcPr>
            <w:tcW w:w="460" w:type="dxa"/>
            <w:vAlign w:val="bottom"/>
            <w:gridSpan w:val="6"/>
          </w:tcPr>
          <w:p>
            <w:pPr>
              <w:jc w:val="center"/>
              <w:ind w:left="195"/>
              <w:spacing w:after="0"/>
              <w:rPr>
                <w:rFonts w:ascii="Arial" w:cs="Arial" w:eastAsia="Arial" w:hAnsi="Arial"/>
                <w:sz w:val="17"/>
                <w:szCs w:val="17"/>
                <w:b w:val="1"/>
                <w:bCs w:val="1"/>
                <w:color w:val="0000FF"/>
              </w:rPr>
            </w:pPr>
            <w:hyperlink w:anchor="page11">
              <w:r>
                <w:rPr>
                  <w:rFonts w:ascii="Arial" w:cs="Arial" w:eastAsia="Arial" w:hAnsi="Arial"/>
                  <w:sz w:val="17"/>
                  <w:szCs w:val="17"/>
                  <w:b w:val="1"/>
                  <w:bCs w:val="1"/>
                  <w:color w:val="0000FF"/>
                </w:rPr>
                <w:t>7</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1200" w:type="dxa"/>
            <w:vAlign w:val="bottom"/>
            <w:tcBorders>
              <w:top w:val="single" w:sz="8" w:color="0000FF"/>
            </w:tcBorders>
            <w:gridSpan w:val="7"/>
          </w:tcPr>
          <w:p>
            <w:pPr>
              <w:ind w:left="40"/>
              <w:spacing w:after="0"/>
              <w:rPr>
                <w:rFonts w:ascii="Arial" w:cs="Arial" w:eastAsia="Arial" w:hAnsi="Arial"/>
                <w:sz w:val="17"/>
                <w:szCs w:val="17"/>
                <w:b w:val="1"/>
                <w:bCs w:val="1"/>
                <w:color w:val="0000FF"/>
              </w:rPr>
            </w:pPr>
            <w:hyperlink w:anchor="page11">
              <w:r>
                <w:rPr>
                  <w:rFonts w:ascii="Arial" w:cs="Arial" w:eastAsia="Arial" w:hAnsi="Arial"/>
                  <w:sz w:val="17"/>
                  <w:szCs w:val="17"/>
                  <w:b w:val="1"/>
                  <w:bCs w:val="1"/>
                  <w:color w:val="0000FF"/>
                </w:rPr>
                <w:t>nue</w:t>
              </w:r>
            </w:hyperlink>
          </w:p>
        </w:tc>
        <w:tc>
          <w:tcPr>
            <w:tcW w:w="7780" w:type="dxa"/>
            <w:vAlign w:val="bottom"/>
            <w:gridSpan w:val="17"/>
          </w:tcPr>
          <w:p>
            <w:pPr>
              <w:spacing w:after="0"/>
              <w:rPr>
                <w:sz w:val="17"/>
                <w:szCs w:val="17"/>
                <w:color w:val="auto"/>
              </w:rPr>
            </w:pPr>
          </w:p>
        </w:tc>
        <w:tc>
          <w:tcPr>
            <w:tcW w:w="320" w:type="dxa"/>
            <w:vAlign w:val="bottom"/>
            <w:gridSpan w:val="4"/>
          </w:tcPr>
          <w:p>
            <w:pPr>
              <w:spacing w:after="0"/>
              <w:rPr>
                <w:sz w:val="17"/>
                <w:szCs w:val="17"/>
                <w:color w:val="auto"/>
              </w:rPr>
            </w:pPr>
          </w:p>
        </w:tc>
        <w:tc>
          <w:tcPr>
            <w:tcW w:w="100" w:type="dxa"/>
            <w:vAlign w:val="bottom"/>
            <w:tcBorders>
              <w:top w:val="single" w:sz="8" w:color="0000FF"/>
            </w:tcBorders>
          </w:tcPr>
          <w:p>
            <w:pPr>
              <w:jc w:val="center"/>
              <w:spacing w:after="0"/>
              <w:rPr>
                <w:rFonts w:ascii="Arial" w:cs="Arial" w:eastAsia="Arial" w:hAnsi="Arial"/>
                <w:sz w:val="17"/>
                <w:szCs w:val="17"/>
                <w:b w:val="1"/>
                <w:bCs w:val="1"/>
                <w:color w:val="0000FF"/>
              </w:rPr>
            </w:pPr>
            <w:hyperlink w:anchor="page11">
              <w:r>
                <w:rPr>
                  <w:rFonts w:ascii="Arial" w:cs="Arial" w:eastAsia="Arial" w:hAnsi="Arial"/>
                  <w:sz w:val="17"/>
                  <w:szCs w:val="17"/>
                  <w:b w:val="1"/>
                  <w:bCs w:val="1"/>
                  <w:color w:val="0000FF"/>
                </w:rPr>
                <w:t>7</w:t>
              </w:r>
            </w:hyperlink>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1480" w:type="dxa"/>
            <w:vAlign w:val="bottom"/>
            <w:gridSpan w:val="9"/>
          </w:tcPr>
          <w:p>
            <w:pPr>
              <w:ind w:left="40"/>
              <w:spacing w:after="0"/>
              <w:rPr>
                <w:rFonts w:ascii="Arial" w:cs="Arial" w:eastAsia="Arial" w:hAnsi="Arial"/>
                <w:sz w:val="17"/>
                <w:szCs w:val="17"/>
                <w:b w:val="1"/>
                <w:bCs w:val="1"/>
                <w:color w:val="0000FF"/>
              </w:rPr>
            </w:pPr>
            <w:hyperlink w:anchor="page14">
              <w:r>
                <w:rPr>
                  <w:rFonts w:ascii="Arial" w:cs="Arial" w:eastAsia="Arial" w:hAnsi="Arial"/>
                  <w:sz w:val="17"/>
                  <w:szCs w:val="17"/>
                  <w:b w:val="1"/>
                  <w:bCs w:val="1"/>
                  <w:color w:val="0000FF"/>
                </w:rPr>
                <w:t>ings Per Share</w:t>
              </w:r>
            </w:hyperlink>
          </w:p>
        </w:tc>
        <w:tc>
          <w:tcPr>
            <w:tcW w:w="7500" w:type="dxa"/>
            <w:vAlign w:val="bottom"/>
            <w:gridSpan w:val="15"/>
          </w:tcPr>
          <w:p>
            <w:pPr>
              <w:spacing w:after="0"/>
              <w:rPr>
                <w:sz w:val="17"/>
                <w:szCs w:val="17"/>
                <w:color w:val="auto"/>
              </w:rPr>
            </w:pPr>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14">
              <w:r>
                <w:rPr>
                  <w:rFonts w:ascii="Arial" w:cs="Arial" w:eastAsia="Arial" w:hAnsi="Arial"/>
                  <w:sz w:val="17"/>
                  <w:szCs w:val="17"/>
                  <w:b w:val="1"/>
                  <w:bCs w:val="1"/>
                  <w:color w:val="0000FF"/>
                  <w:w w:val="94"/>
                </w:rPr>
                <w:t>10</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5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2880" w:type="dxa"/>
            <w:vAlign w:val="bottom"/>
            <w:gridSpan w:val="17"/>
          </w:tcPr>
          <w:p>
            <w:pPr>
              <w:spacing w:after="0"/>
              <w:rPr>
                <w:rFonts w:ascii="Arial" w:cs="Arial" w:eastAsia="Arial" w:hAnsi="Arial"/>
                <w:sz w:val="17"/>
                <w:szCs w:val="17"/>
                <w:b w:val="1"/>
                <w:bCs w:val="1"/>
                <w:color w:val="0000FF"/>
                <w:w w:val="88"/>
              </w:rPr>
            </w:pPr>
            <w:hyperlink w:anchor="page15">
              <w:r>
                <w:rPr>
                  <w:rFonts w:ascii="Arial" w:cs="Arial" w:eastAsia="Arial" w:hAnsi="Arial"/>
                  <w:sz w:val="17"/>
                  <w:szCs w:val="17"/>
                  <w:b w:val="1"/>
                  <w:bCs w:val="1"/>
                  <w:color w:val="0000FF"/>
                  <w:w w:val="88"/>
                </w:rPr>
                <w:t>uisition, Goodwill and Intangible Assets</w:t>
              </w:r>
            </w:hyperlink>
          </w:p>
        </w:tc>
        <w:tc>
          <w:tcPr>
            <w:tcW w:w="6100" w:type="dxa"/>
            <w:vAlign w:val="bottom"/>
            <w:gridSpan w:val="7"/>
          </w:tcPr>
          <w:p>
            <w:pPr>
              <w:spacing w:after="0"/>
              <w:rPr>
                <w:sz w:val="17"/>
                <w:szCs w:val="17"/>
                <w:color w:val="auto"/>
              </w:rPr>
            </w:pPr>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15">
              <w:r>
                <w:rPr>
                  <w:rFonts w:ascii="Arial" w:cs="Arial" w:eastAsia="Arial" w:hAnsi="Arial"/>
                  <w:sz w:val="17"/>
                  <w:szCs w:val="17"/>
                  <w:b w:val="1"/>
                  <w:bCs w:val="1"/>
                  <w:color w:val="0000FF"/>
                  <w:w w:val="94"/>
                </w:rPr>
                <w:t>12</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5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8980" w:type="dxa"/>
            <w:vAlign w:val="bottom"/>
            <w:gridSpan w:val="24"/>
          </w:tcPr>
          <w:p>
            <w:pPr>
              <w:ind w:left="40"/>
              <w:spacing w:after="0"/>
              <w:rPr>
                <w:rFonts w:ascii="Arial" w:cs="Arial" w:eastAsia="Arial" w:hAnsi="Arial"/>
                <w:sz w:val="17"/>
                <w:szCs w:val="17"/>
                <w:b w:val="1"/>
                <w:bCs w:val="1"/>
                <w:color w:val="0000FF"/>
              </w:rPr>
            </w:pPr>
            <w:hyperlink w:anchor="page18">
              <w:r>
                <w:rPr>
                  <w:rFonts w:ascii="Arial" w:cs="Arial" w:eastAsia="Arial" w:hAnsi="Arial"/>
                  <w:sz w:val="17"/>
                  <w:szCs w:val="17"/>
                  <w:b w:val="1"/>
                  <w:bCs w:val="1"/>
                  <w:color w:val="0000FF"/>
                </w:rPr>
                <w:t>unts Payable and Other Accrued Expenses</w:t>
              </w:r>
            </w:hyperlink>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18">
              <w:r>
                <w:rPr>
                  <w:rFonts w:ascii="Arial" w:cs="Arial" w:eastAsia="Arial" w:hAnsi="Arial"/>
                  <w:sz w:val="17"/>
                  <w:szCs w:val="17"/>
                  <w:b w:val="1"/>
                  <w:bCs w:val="1"/>
                  <w:color w:val="0000FF"/>
                  <w:w w:val="94"/>
                </w:rPr>
                <w:t>14</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5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2340" w:type="dxa"/>
            <w:vAlign w:val="bottom"/>
            <w:gridSpan w:val="15"/>
          </w:tcPr>
          <w:p>
            <w:pPr>
              <w:ind w:left="20"/>
              <w:spacing w:after="0"/>
              <w:rPr>
                <w:rFonts w:ascii="Arial" w:cs="Arial" w:eastAsia="Arial" w:hAnsi="Arial"/>
                <w:sz w:val="17"/>
                <w:szCs w:val="17"/>
                <w:b w:val="1"/>
                <w:bCs w:val="1"/>
                <w:color w:val="0000FF"/>
                <w:w w:val="88"/>
              </w:rPr>
            </w:pPr>
            <w:hyperlink w:anchor="page18">
              <w:r>
                <w:rPr>
                  <w:rFonts w:ascii="Arial" w:cs="Arial" w:eastAsia="Arial" w:hAnsi="Arial"/>
                  <w:sz w:val="17"/>
                  <w:szCs w:val="17"/>
                  <w:b w:val="1"/>
                  <w:bCs w:val="1"/>
                  <w:color w:val="0000FF"/>
                  <w:w w:val="88"/>
                </w:rPr>
                <w:t>ued Compensation and Benefits</w:t>
              </w:r>
            </w:hyperlink>
          </w:p>
        </w:tc>
        <w:tc>
          <w:tcPr>
            <w:tcW w:w="800" w:type="dxa"/>
            <w:vAlign w:val="bottom"/>
            <w:gridSpan w:val="5"/>
          </w:tcPr>
          <w:p>
            <w:pPr>
              <w:spacing w:after="0"/>
              <w:rPr>
                <w:sz w:val="17"/>
                <w:szCs w:val="17"/>
                <w:color w:val="auto"/>
              </w:rPr>
            </w:pPr>
          </w:p>
        </w:tc>
        <w:tc>
          <w:tcPr>
            <w:tcW w:w="5840" w:type="dxa"/>
            <w:vAlign w:val="bottom"/>
            <w:gridSpan w:val="4"/>
          </w:tcPr>
          <w:p>
            <w:pPr>
              <w:spacing w:after="0"/>
              <w:rPr>
                <w:sz w:val="17"/>
                <w:szCs w:val="17"/>
                <w:color w:val="auto"/>
              </w:rPr>
            </w:pPr>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18">
              <w:r>
                <w:rPr>
                  <w:rFonts w:ascii="Arial" w:cs="Arial" w:eastAsia="Arial" w:hAnsi="Arial"/>
                  <w:sz w:val="17"/>
                  <w:szCs w:val="17"/>
                  <w:b w:val="1"/>
                  <w:bCs w:val="1"/>
                  <w:color w:val="0000FF"/>
                  <w:w w:val="94"/>
                </w:rPr>
                <w:t>15</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b w:val="1"/>
                <w:bCs w:val="1"/>
                <w:color w:val="0000FF"/>
                <w:w w:val="94"/>
              </w:rPr>
            </w:pPr>
            <w:hyperlink w:anchor="page19">
              <w:r>
                <w:rPr>
                  <w:rFonts w:ascii="Arial" w:cs="Arial" w:eastAsia="Arial" w:hAnsi="Arial"/>
                  <w:sz w:val="17"/>
                  <w:szCs w:val="17"/>
                  <w:b w:val="1"/>
                  <w:bCs w:val="1"/>
                  <w:color w:val="0000FF"/>
                  <w:w w:val="94"/>
                </w:rPr>
                <w:t>15</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8980" w:type="dxa"/>
            <w:vAlign w:val="bottom"/>
            <w:gridSpan w:val="24"/>
          </w:tcPr>
          <w:p>
            <w:pPr>
              <w:spacing w:after="0"/>
              <w:rPr>
                <w:rFonts w:ascii="Arial" w:cs="Arial" w:eastAsia="Arial" w:hAnsi="Arial"/>
                <w:sz w:val="17"/>
                <w:szCs w:val="17"/>
                <w:b w:val="1"/>
                <w:bCs w:val="1"/>
                <w:color w:val="0000FF"/>
              </w:rPr>
            </w:pPr>
            <w:hyperlink w:anchor="page21">
              <w:r>
                <w:rPr>
                  <w:rFonts w:ascii="Arial" w:cs="Arial" w:eastAsia="Arial" w:hAnsi="Arial"/>
                  <w:sz w:val="17"/>
                  <w:szCs w:val="17"/>
                  <w:b w:val="1"/>
                  <w:bCs w:val="1"/>
                  <w:color w:val="0000FF"/>
                </w:rPr>
                <w:t>vatives</w:t>
              </w:r>
            </w:hyperlink>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21">
              <w:r>
                <w:rPr>
                  <w:rFonts w:ascii="Arial" w:cs="Arial" w:eastAsia="Arial" w:hAnsi="Arial"/>
                  <w:sz w:val="17"/>
                  <w:szCs w:val="17"/>
                  <w:b w:val="1"/>
                  <w:bCs w:val="1"/>
                  <w:color w:val="0000FF"/>
                  <w:w w:val="94"/>
                </w:rPr>
                <w:t>17</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5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760" w:type="dxa"/>
            <w:vAlign w:val="bottom"/>
            <w:gridSpan w:val="4"/>
          </w:tcPr>
          <w:p>
            <w:pPr>
              <w:spacing w:after="0"/>
              <w:rPr>
                <w:rFonts w:ascii="Arial" w:cs="Arial" w:eastAsia="Arial" w:hAnsi="Arial"/>
                <w:sz w:val="17"/>
                <w:szCs w:val="17"/>
                <w:b w:val="1"/>
                <w:bCs w:val="1"/>
                <w:color w:val="0000FF"/>
                <w:w w:val="84"/>
              </w:rPr>
            </w:pPr>
            <w:hyperlink w:anchor="page22">
              <w:r>
                <w:rPr>
                  <w:rFonts w:ascii="Arial" w:cs="Arial" w:eastAsia="Arial" w:hAnsi="Arial"/>
                  <w:sz w:val="17"/>
                  <w:szCs w:val="17"/>
                  <w:b w:val="1"/>
                  <w:bCs w:val="1"/>
                  <w:color w:val="0000FF"/>
                  <w:w w:val="84"/>
                </w:rPr>
                <w:t>ome Taxes</w:t>
              </w:r>
            </w:hyperlink>
          </w:p>
        </w:tc>
        <w:tc>
          <w:tcPr>
            <w:tcW w:w="8220" w:type="dxa"/>
            <w:vAlign w:val="bottom"/>
            <w:gridSpan w:val="20"/>
          </w:tcPr>
          <w:p>
            <w:pPr>
              <w:spacing w:after="0"/>
              <w:rPr>
                <w:sz w:val="17"/>
                <w:szCs w:val="17"/>
                <w:color w:val="auto"/>
              </w:rPr>
            </w:pPr>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22">
              <w:r>
                <w:rPr>
                  <w:rFonts w:ascii="Arial" w:cs="Arial" w:eastAsia="Arial" w:hAnsi="Arial"/>
                  <w:sz w:val="17"/>
                  <w:szCs w:val="17"/>
                  <w:b w:val="1"/>
                  <w:bCs w:val="1"/>
                  <w:color w:val="0000FF"/>
                  <w:w w:val="94"/>
                </w:rPr>
                <w:t>18</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760" w:type="dxa"/>
            <w:vAlign w:val="bottom"/>
            <w:gridSpan w:val="4"/>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1760" w:type="dxa"/>
            <w:vAlign w:val="bottom"/>
            <w:gridSpan w:val="12"/>
          </w:tcPr>
          <w:p>
            <w:pPr>
              <w:ind w:left="40"/>
              <w:spacing w:after="0"/>
              <w:rPr>
                <w:rFonts w:ascii="Arial" w:cs="Arial" w:eastAsia="Arial" w:hAnsi="Arial"/>
                <w:sz w:val="17"/>
                <w:szCs w:val="17"/>
                <w:b w:val="1"/>
                <w:bCs w:val="1"/>
                <w:color w:val="0000FF"/>
                <w:w w:val="87"/>
              </w:rPr>
            </w:pPr>
            <w:hyperlink w:anchor="page22">
              <w:r>
                <w:rPr>
                  <w:rFonts w:ascii="Arial" w:cs="Arial" w:eastAsia="Arial" w:hAnsi="Arial"/>
                  <w:sz w:val="17"/>
                  <w:szCs w:val="17"/>
                  <w:b w:val="1"/>
                  <w:bCs w:val="1"/>
                  <w:color w:val="0000FF"/>
                  <w:w w:val="87"/>
                </w:rPr>
                <w:t>er Long Term Liabilities</w:t>
              </w:r>
            </w:hyperlink>
          </w:p>
        </w:tc>
        <w:tc>
          <w:tcPr>
            <w:tcW w:w="7220" w:type="dxa"/>
            <w:vAlign w:val="bottom"/>
            <w:gridSpan w:val="12"/>
          </w:tcPr>
          <w:p>
            <w:pPr>
              <w:spacing w:after="0"/>
              <w:rPr>
                <w:sz w:val="17"/>
                <w:szCs w:val="17"/>
                <w:color w:val="auto"/>
              </w:rPr>
            </w:pPr>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22">
              <w:r>
                <w:rPr>
                  <w:rFonts w:ascii="Arial" w:cs="Arial" w:eastAsia="Arial" w:hAnsi="Arial"/>
                  <w:sz w:val="17"/>
                  <w:szCs w:val="17"/>
                  <w:b w:val="1"/>
                  <w:bCs w:val="1"/>
                  <w:color w:val="0000FF"/>
                  <w:w w:val="94"/>
                </w:rPr>
                <w:t>19</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480" w:type="dxa"/>
            <w:vAlign w:val="bottom"/>
            <w:gridSpan w:val="9"/>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1760" w:type="dxa"/>
            <w:vAlign w:val="bottom"/>
            <w:gridSpan w:val="12"/>
          </w:tcPr>
          <w:p>
            <w:pPr>
              <w:ind w:left="20"/>
              <w:spacing w:after="0"/>
              <w:rPr>
                <w:rFonts w:ascii="Arial" w:cs="Arial" w:eastAsia="Arial" w:hAnsi="Arial"/>
                <w:sz w:val="17"/>
                <w:szCs w:val="17"/>
                <w:b w:val="1"/>
                <w:bCs w:val="1"/>
                <w:color w:val="0000FF"/>
              </w:rPr>
            </w:pPr>
            <w:hyperlink w:anchor="page23">
              <w:r>
                <w:rPr>
                  <w:rFonts w:ascii="Arial" w:cs="Arial" w:eastAsia="Arial" w:hAnsi="Arial"/>
                  <w:sz w:val="17"/>
                  <w:szCs w:val="17"/>
                  <w:b w:val="1"/>
                  <w:bCs w:val="1"/>
                  <w:color w:val="0000FF"/>
                </w:rPr>
                <w:t>ployee Benefit Plans</w:t>
              </w:r>
            </w:hyperlink>
          </w:p>
        </w:tc>
        <w:tc>
          <w:tcPr>
            <w:tcW w:w="7220" w:type="dxa"/>
            <w:vAlign w:val="bottom"/>
            <w:gridSpan w:val="12"/>
          </w:tcPr>
          <w:p>
            <w:pPr>
              <w:spacing w:after="0"/>
              <w:rPr>
                <w:sz w:val="17"/>
                <w:szCs w:val="17"/>
                <w:color w:val="auto"/>
              </w:rPr>
            </w:pPr>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23">
              <w:r>
                <w:rPr>
                  <w:rFonts w:ascii="Arial" w:cs="Arial" w:eastAsia="Arial" w:hAnsi="Arial"/>
                  <w:sz w:val="17"/>
                  <w:szCs w:val="17"/>
                  <w:b w:val="1"/>
                  <w:bCs w:val="1"/>
                  <w:color w:val="0000FF"/>
                  <w:w w:val="94"/>
                </w:rPr>
                <w:t>19</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480" w:type="dxa"/>
            <w:vAlign w:val="bottom"/>
            <w:gridSpan w:val="9"/>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8980" w:type="dxa"/>
            <w:vAlign w:val="bottom"/>
            <w:gridSpan w:val="24"/>
          </w:tcPr>
          <w:p>
            <w:pPr>
              <w:ind w:left="40"/>
              <w:spacing w:after="0"/>
              <w:rPr>
                <w:rFonts w:ascii="Arial" w:cs="Arial" w:eastAsia="Arial" w:hAnsi="Arial"/>
                <w:sz w:val="17"/>
                <w:szCs w:val="17"/>
                <w:b w:val="1"/>
                <w:bCs w:val="1"/>
                <w:color w:val="0000FF"/>
              </w:rPr>
            </w:pPr>
            <w:hyperlink w:anchor="page23">
              <w:r>
                <w:rPr>
                  <w:rFonts w:ascii="Arial" w:cs="Arial" w:eastAsia="Arial" w:hAnsi="Arial"/>
                  <w:sz w:val="17"/>
                  <w:szCs w:val="17"/>
                  <w:b w:val="1"/>
                  <w:bCs w:val="1"/>
                  <w:color w:val="0000FF"/>
                </w:rPr>
                <w:t>umulated Other Comprehensive Loss</w:t>
              </w:r>
            </w:hyperlink>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23">
              <w:r>
                <w:rPr>
                  <w:rFonts w:ascii="Arial" w:cs="Arial" w:eastAsia="Arial" w:hAnsi="Arial"/>
                  <w:sz w:val="17"/>
                  <w:szCs w:val="17"/>
                  <w:b w:val="1"/>
                  <w:bCs w:val="1"/>
                  <w:color w:val="0000FF"/>
                  <w:w w:val="94"/>
                </w:rPr>
                <w:t>20</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64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2760" w:type="dxa"/>
            <w:vAlign w:val="bottom"/>
            <w:gridSpan w:val="16"/>
          </w:tcPr>
          <w:p>
            <w:pPr>
              <w:spacing w:after="0"/>
              <w:rPr>
                <w:rFonts w:ascii="Arial" w:cs="Arial" w:eastAsia="Arial" w:hAnsi="Arial"/>
                <w:sz w:val="17"/>
                <w:szCs w:val="17"/>
                <w:b w:val="1"/>
                <w:bCs w:val="1"/>
                <w:color w:val="0000FF"/>
              </w:rPr>
            </w:pPr>
            <w:hyperlink w:anchor="page24">
              <w:r>
                <w:rPr>
                  <w:rFonts w:ascii="Arial" w:cs="Arial" w:eastAsia="Arial" w:hAnsi="Arial"/>
                  <w:sz w:val="17"/>
                  <w:szCs w:val="17"/>
                  <w:b w:val="1"/>
                  <w:bCs w:val="1"/>
                  <w:color w:val="0000FF"/>
                </w:rPr>
                <w:t>ck Based Compensation</w:t>
              </w:r>
            </w:hyperlink>
          </w:p>
        </w:tc>
        <w:tc>
          <w:tcPr>
            <w:tcW w:w="6220" w:type="dxa"/>
            <w:vAlign w:val="bottom"/>
            <w:gridSpan w:val="8"/>
          </w:tcPr>
          <w:p>
            <w:pPr>
              <w:spacing w:after="0"/>
              <w:rPr>
                <w:sz w:val="17"/>
                <w:szCs w:val="17"/>
                <w:color w:val="auto"/>
              </w:rPr>
            </w:pPr>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24">
              <w:r>
                <w:rPr>
                  <w:rFonts w:ascii="Arial" w:cs="Arial" w:eastAsia="Arial" w:hAnsi="Arial"/>
                  <w:sz w:val="17"/>
                  <w:szCs w:val="17"/>
                  <w:b w:val="1"/>
                  <w:bCs w:val="1"/>
                  <w:color w:val="0000FF"/>
                  <w:w w:val="94"/>
                </w:rPr>
                <w:t>20</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64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1640" w:type="dxa"/>
            <w:vAlign w:val="bottom"/>
            <w:gridSpan w:val="10"/>
          </w:tcPr>
          <w:p>
            <w:pPr>
              <w:spacing w:after="0"/>
              <w:rPr>
                <w:rFonts w:ascii="Arial" w:cs="Arial" w:eastAsia="Arial" w:hAnsi="Arial"/>
                <w:sz w:val="17"/>
                <w:szCs w:val="17"/>
                <w:b w:val="1"/>
                <w:bCs w:val="1"/>
                <w:color w:val="0000FF"/>
                <w:w w:val="89"/>
              </w:rPr>
            </w:pPr>
            <w:hyperlink w:anchor="page25">
              <w:r>
                <w:rPr>
                  <w:rFonts w:ascii="Arial" w:cs="Arial" w:eastAsia="Arial" w:hAnsi="Arial"/>
                  <w:sz w:val="17"/>
                  <w:szCs w:val="17"/>
                  <w:b w:val="1"/>
                  <w:bCs w:val="1"/>
                  <w:color w:val="0000FF"/>
                  <w:w w:val="89"/>
                </w:rPr>
                <w:t>r Value Measurements</w:t>
              </w:r>
            </w:hyperlink>
          </w:p>
        </w:tc>
        <w:tc>
          <w:tcPr>
            <w:tcW w:w="100" w:type="dxa"/>
            <w:vAlign w:val="bottom"/>
          </w:tcPr>
          <w:p>
            <w:pPr>
              <w:spacing w:after="0"/>
              <w:rPr>
                <w:sz w:val="17"/>
                <w:szCs w:val="17"/>
                <w:color w:val="auto"/>
              </w:rPr>
            </w:pPr>
          </w:p>
        </w:tc>
        <w:tc>
          <w:tcPr>
            <w:tcW w:w="7240" w:type="dxa"/>
            <w:vAlign w:val="bottom"/>
            <w:gridSpan w:val="13"/>
          </w:tcPr>
          <w:p>
            <w:pPr>
              <w:spacing w:after="0"/>
              <w:rPr>
                <w:sz w:val="17"/>
                <w:szCs w:val="17"/>
                <w:color w:val="auto"/>
              </w:rPr>
            </w:pPr>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25">
              <w:r>
                <w:rPr>
                  <w:rFonts w:ascii="Arial" w:cs="Arial" w:eastAsia="Arial" w:hAnsi="Arial"/>
                  <w:sz w:val="17"/>
                  <w:szCs w:val="17"/>
                  <w:b w:val="1"/>
                  <w:bCs w:val="1"/>
                  <w:color w:val="0000FF"/>
                  <w:w w:val="94"/>
                </w:rPr>
                <w:t>21</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640" w:type="dxa"/>
            <w:vAlign w:val="bottom"/>
            <w:gridSpan w:val="10"/>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1760" w:type="dxa"/>
            <w:vAlign w:val="bottom"/>
            <w:gridSpan w:val="12"/>
          </w:tcPr>
          <w:p>
            <w:pPr>
              <w:spacing w:after="0"/>
              <w:rPr>
                <w:rFonts w:ascii="Arial" w:cs="Arial" w:eastAsia="Arial" w:hAnsi="Arial"/>
                <w:sz w:val="17"/>
                <w:szCs w:val="17"/>
                <w:b w:val="1"/>
                <w:bCs w:val="1"/>
                <w:color w:val="0000FF"/>
                <w:w w:val="89"/>
              </w:rPr>
            </w:pPr>
            <w:hyperlink w:anchor="page27">
              <w:r>
                <w:rPr>
                  <w:rFonts w:ascii="Arial" w:cs="Arial" w:eastAsia="Arial" w:hAnsi="Arial"/>
                  <w:sz w:val="17"/>
                  <w:szCs w:val="17"/>
                  <w:b w:val="1"/>
                  <w:bCs w:val="1"/>
                  <w:color w:val="0000FF"/>
                  <w:w w:val="89"/>
                </w:rPr>
                <w:t>ated Party Transactions</w:t>
              </w:r>
            </w:hyperlink>
          </w:p>
        </w:tc>
        <w:tc>
          <w:tcPr>
            <w:tcW w:w="7220" w:type="dxa"/>
            <w:vAlign w:val="bottom"/>
            <w:gridSpan w:val="12"/>
          </w:tcPr>
          <w:p>
            <w:pPr>
              <w:spacing w:after="0"/>
              <w:rPr>
                <w:sz w:val="17"/>
                <w:szCs w:val="17"/>
                <w:color w:val="auto"/>
              </w:rPr>
            </w:pPr>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27">
              <w:r>
                <w:rPr>
                  <w:rFonts w:ascii="Arial" w:cs="Arial" w:eastAsia="Arial" w:hAnsi="Arial"/>
                  <w:sz w:val="17"/>
                  <w:szCs w:val="17"/>
                  <w:b w:val="1"/>
                  <w:bCs w:val="1"/>
                  <w:color w:val="0000FF"/>
                  <w:w w:val="94"/>
                </w:rPr>
                <w:t>23</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760" w:type="dxa"/>
            <w:vAlign w:val="bottom"/>
            <w:gridSpan w:val="1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8"/>
        </w:trPr>
        <w:tc>
          <w:tcPr>
            <w:tcW w:w="8980" w:type="dxa"/>
            <w:vAlign w:val="bottom"/>
            <w:gridSpan w:val="24"/>
          </w:tcPr>
          <w:p>
            <w:pPr>
              <w:spacing w:after="0"/>
              <w:rPr>
                <w:rFonts w:ascii="Arial" w:cs="Arial" w:eastAsia="Arial" w:hAnsi="Arial"/>
                <w:sz w:val="17"/>
                <w:szCs w:val="17"/>
                <w:b w:val="1"/>
                <w:bCs w:val="1"/>
                <w:color w:val="0000FF"/>
              </w:rPr>
            </w:pPr>
            <w:hyperlink w:anchor="page27">
              <w:r>
                <w:rPr>
                  <w:rFonts w:ascii="Arial" w:cs="Arial" w:eastAsia="Arial" w:hAnsi="Arial"/>
                  <w:sz w:val="17"/>
                  <w:szCs w:val="17"/>
                  <w:b w:val="1"/>
                  <w:bCs w:val="1"/>
                  <w:color w:val="0000FF"/>
                </w:rPr>
                <w:t>mmitments and Contingencies</w:t>
              </w:r>
            </w:hyperlink>
          </w:p>
        </w:tc>
        <w:tc>
          <w:tcPr>
            <w:tcW w:w="460" w:type="dxa"/>
            <w:vAlign w:val="bottom"/>
            <w:gridSpan w:val="6"/>
          </w:tcPr>
          <w:p>
            <w:pPr>
              <w:jc w:val="center"/>
              <w:ind w:left="195"/>
              <w:spacing w:after="0"/>
              <w:rPr>
                <w:rFonts w:ascii="Arial" w:cs="Arial" w:eastAsia="Arial" w:hAnsi="Arial"/>
                <w:sz w:val="17"/>
                <w:szCs w:val="17"/>
                <w:b w:val="1"/>
                <w:bCs w:val="1"/>
                <w:color w:val="0000FF"/>
                <w:w w:val="94"/>
              </w:rPr>
            </w:pPr>
            <w:hyperlink w:anchor="page27">
              <w:r>
                <w:rPr>
                  <w:rFonts w:ascii="Arial" w:cs="Arial" w:eastAsia="Arial" w:hAnsi="Arial"/>
                  <w:sz w:val="17"/>
                  <w:szCs w:val="17"/>
                  <w:b w:val="1"/>
                  <w:bCs w:val="1"/>
                  <w:color w:val="0000FF"/>
                  <w:w w:val="94"/>
                </w:rPr>
                <w:t>23</w:t>
              </w:r>
            </w:hyperlink>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947"/>
        </w:trPr>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7183755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-1871980</wp:posOffset>
            </wp:positionV>
            <wp:extent cx="165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ectPr>
          <w:pgSz w:w="11900" w:h="16838" w:orient="portrait"/>
          <w:cols w:equalWidth="0" w:num="1">
            <w:col w:w="11340"/>
          </w:cols>
          <w:pgMar w:left="220" w:top="111"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61"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61"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September 30,</w:t>
            </w:r>
          </w:p>
        </w:tc>
        <w:tc>
          <w:tcPr>
            <w:tcW w:w="240" w:type="dxa"/>
            <w:vAlign w:val="bottom"/>
          </w:tcPr>
          <w:p>
            <w:pPr>
              <w:spacing w:after="0"/>
              <w:rPr>
                <w:sz w:val="16"/>
                <w:szCs w:val="16"/>
                <w:color w:val="auto"/>
              </w:rPr>
            </w:pPr>
          </w:p>
        </w:tc>
        <w:tc>
          <w:tcPr>
            <w:tcW w:w="1220" w:type="dxa"/>
            <w:vAlign w:val="bottom"/>
          </w:tcPr>
          <w:p>
            <w:pPr>
              <w:jc w:val="right"/>
              <w:ind w:right="275"/>
              <w:spacing w:after="0"/>
              <w:rPr>
                <w:sz w:val="20"/>
                <w:szCs w:val="20"/>
                <w:color w:val="auto"/>
              </w:rPr>
            </w:pPr>
            <w:r>
              <w:rPr>
                <w:rFonts w:ascii="Arial" w:cs="Arial" w:eastAsia="Arial" w:hAnsi="Arial"/>
                <w:sz w:val="17"/>
                <w:szCs w:val="17"/>
                <w:b w:val="1"/>
                <w:bCs w:val="1"/>
                <w:color w:val="auto"/>
              </w:rPr>
              <w:t>March 31,</w:t>
            </w:r>
          </w:p>
        </w:tc>
        <w:tc>
          <w:tcPr>
            <w:tcW w:w="0" w:type="dxa"/>
            <w:vAlign w:val="bottom"/>
          </w:tcPr>
          <w:p>
            <w:pPr>
              <w:spacing w:after="0"/>
              <w:rPr>
                <w:sz w:val="1"/>
                <w:szCs w:val="1"/>
                <w:color w:val="auto"/>
              </w:rPr>
            </w:pPr>
          </w:p>
        </w:tc>
      </w:tr>
      <w:tr>
        <w:trPr>
          <w:trHeight w:val="218"/>
        </w:trPr>
        <w:tc>
          <w:tcPr>
            <w:tcW w:w="8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3"/>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(Unaudited)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3780"/>
              <w:spacing w:after="0"/>
              <w:rPr>
                <w:sz w:val="20"/>
                <w:szCs w:val="20"/>
                <w:color w:val="auto"/>
              </w:rPr>
            </w:pPr>
            <w:r>
              <w:rPr>
                <w:rFonts w:ascii="Arial" w:cs="Arial" w:eastAsia="Arial" w:hAnsi="Arial"/>
                <w:sz w:val="17"/>
                <w:szCs w:val="17"/>
                <w:b w:val="1"/>
                <w:bCs w:val="1"/>
                <w:color w:val="auto"/>
              </w:rPr>
              <w:t>ASSETS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788,697</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990,955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1,511,579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1,411,894</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119,633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233,323</w:t>
            </w:r>
          </w:p>
        </w:tc>
        <w:tc>
          <w:tcPr>
            <w:tcW w:w="0" w:type="dxa"/>
            <w:vAlign w:val="bottom"/>
          </w:tcPr>
          <w:p>
            <w:pPr>
              <w:spacing w:after="0"/>
              <w:rPr>
                <w:sz w:val="1"/>
                <w:szCs w:val="1"/>
                <w:color w:val="auto"/>
              </w:rPr>
            </w:pPr>
          </w:p>
        </w:tc>
      </w:tr>
      <w:tr>
        <w:trPr>
          <w:trHeight w:val="211"/>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2,419,909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2,636,172</w:t>
            </w: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7"/>
                <w:szCs w:val="17"/>
                <w:color w:val="auto"/>
              </w:rPr>
              <w:t>Property and equipment, net of accumulated depreciation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195,214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204,642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239,374</w:t>
            </w: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7"/>
                <w:szCs w:val="17"/>
                <w:color w:val="auto"/>
              </w:rPr>
              <w:t>Intangible assets, net of accumulated amortization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682,280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307,128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1,581,160</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471,409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531,125</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6,025,792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5,499,601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240"/>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320"/>
              <w:spacing w:after="0"/>
              <w:rPr>
                <w:sz w:val="20"/>
                <w:szCs w:val="20"/>
                <w:color w:val="auto"/>
              </w:rPr>
            </w:pPr>
            <w:r>
              <w:rPr>
                <w:rFonts w:ascii="Arial" w:cs="Arial" w:eastAsia="Arial" w:hAnsi="Arial"/>
                <w:sz w:val="17"/>
                <w:szCs w:val="17"/>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68,379</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77,865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 and other accrued expenses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858,805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666,971</w:t>
            </w:r>
          </w:p>
        </w:tc>
        <w:tc>
          <w:tcPr>
            <w:tcW w:w="0" w:type="dxa"/>
            <w:vAlign w:val="bottom"/>
          </w:tcPr>
          <w:p>
            <w:pPr>
              <w:spacing w:after="0"/>
              <w:rPr>
                <w:sz w:val="1"/>
                <w:szCs w:val="1"/>
                <w:color w:val="auto"/>
              </w:rPr>
            </w:pPr>
          </w:p>
        </w:tc>
      </w:tr>
      <w:tr>
        <w:trPr>
          <w:trHeight w:val="217"/>
        </w:trPr>
        <w:tc>
          <w:tcPr>
            <w:tcW w:w="8180" w:type="dxa"/>
            <w:vAlign w:val="bottom"/>
          </w:tcPr>
          <w:p>
            <w:pPr>
              <w:ind w:left="320"/>
              <w:spacing w:after="0"/>
              <w:rPr>
                <w:sz w:val="20"/>
                <w:szCs w:val="20"/>
                <w:color w:val="auto"/>
              </w:rPr>
            </w:pPr>
            <w:r>
              <w:rPr>
                <w:rFonts w:ascii="Arial" w:cs="Arial" w:eastAsia="Arial" w:hAnsi="Arial"/>
                <w:sz w:val="17"/>
                <w:szCs w:val="17"/>
                <w:color w:val="auto"/>
              </w:rPr>
              <w:t>Accrued compensation and benefits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384,694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425,615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lease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54,956</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70,148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65,698</w:t>
            </w:r>
          </w:p>
        </w:tc>
        <w:tc>
          <w:tcPr>
            <w:tcW w:w="0" w:type="dxa"/>
            <w:vAlign w:val="bottom"/>
          </w:tcPr>
          <w:p>
            <w:pPr>
              <w:spacing w:after="0"/>
              <w:rPr>
                <w:sz w:val="1"/>
                <w:szCs w:val="1"/>
                <w:color w:val="auto"/>
              </w:rPr>
            </w:pPr>
          </w:p>
        </w:tc>
      </w:tr>
      <w:tr>
        <w:trPr>
          <w:trHeight w:val="211"/>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1,437,284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1,291,105</w:t>
            </w: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7"/>
                <w:szCs w:val="17"/>
                <w:color w:val="auto"/>
              </w:rPr>
              <w:t>Long-term debt, net of current portion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2,764,083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2,278,731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net of current portion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263,144</w:t>
            </w: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282,344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364,461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239,880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230,984</w:t>
            </w:r>
          </w:p>
        </w:tc>
        <w:tc>
          <w:tcPr>
            <w:tcW w:w="0" w:type="dxa"/>
            <w:vAlign w:val="bottom"/>
          </w:tcPr>
          <w:p>
            <w:pPr>
              <w:spacing w:after="0"/>
              <w:rPr>
                <w:sz w:val="1"/>
                <w:szCs w:val="1"/>
                <w:color w:val="auto"/>
              </w:rPr>
            </w:pPr>
          </w:p>
        </w:tc>
      </w:tr>
      <w:tr>
        <w:trPr>
          <w:trHeight w:val="210"/>
        </w:trPr>
        <w:tc>
          <w:tcPr>
            <w:tcW w:w="8180" w:type="dxa"/>
            <w:vAlign w:val="bottom"/>
          </w:tcPr>
          <w:p>
            <w:pPr>
              <w:ind w:left="64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4,977,694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4,428,425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17)</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180" w:type="dxa"/>
            <w:vAlign w:val="bottom"/>
            <w:shd w:val="clear" w:color="auto" w:fill="CCEEFF"/>
          </w:tcPr>
          <w:p>
            <w:pPr>
              <w:ind w:left="280"/>
              <w:spacing w:after="0" w:line="167" w:lineRule="exact"/>
              <w:rPr>
                <w:sz w:val="20"/>
                <w:szCs w:val="20"/>
                <w:color w:val="auto"/>
              </w:rPr>
            </w:pPr>
            <w:r>
              <w:rPr>
                <w:rFonts w:ascii="Arial" w:cs="Arial" w:eastAsia="Arial" w:hAnsi="Arial"/>
                <w:sz w:val="17"/>
                <w:szCs w:val="17"/>
                <w:color w:val="auto"/>
                <w:w w:val="95"/>
              </w:rPr>
              <w:t>Common stock, Class A — $0.01 par value — authorized, 600,000,000 shares; issued, 163,627,651 shares at</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180" w:type="dxa"/>
            <w:vAlign w:val="bottom"/>
            <w:shd w:val="clear" w:color="auto" w:fill="CCEEFF"/>
          </w:tcPr>
          <w:p>
            <w:pPr>
              <w:ind w:left="280"/>
              <w:spacing w:after="0" w:line="167" w:lineRule="exact"/>
              <w:rPr>
                <w:sz w:val="20"/>
                <w:szCs w:val="20"/>
                <w:color w:val="auto"/>
              </w:rPr>
            </w:pPr>
            <w:r>
              <w:rPr>
                <w:rFonts w:ascii="Arial" w:cs="Arial" w:eastAsia="Arial" w:hAnsi="Arial"/>
                <w:sz w:val="17"/>
                <w:szCs w:val="17"/>
                <w:color w:val="auto"/>
                <w:w w:val="89"/>
              </w:rPr>
              <w:t>September 30, 2021 and 162,950,606 shares at March 31, 2021; outstanding, 134,325,110 shares at September 30,</w:t>
            </w:r>
          </w:p>
        </w:tc>
        <w:tc>
          <w:tcPr>
            <w:tcW w:w="1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1,629</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2021 and 136,246,029 shares at March 31, 2021</w:t>
            </w:r>
          </w:p>
        </w:tc>
        <w:tc>
          <w:tcPr>
            <w:tcW w:w="1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280"/>
              <w:spacing w:after="0"/>
              <w:rPr>
                <w:sz w:val="20"/>
                <w:szCs w:val="20"/>
                <w:color w:val="auto"/>
              </w:rPr>
            </w:pPr>
            <w:r>
              <w:rPr>
                <w:rFonts w:ascii="Arial" w:cs="Arial" w:eastAsia="Arial" w:hAnsi="Arial"/>
                <w:sz w:val="17"/>
                <w:szCs w:val="17"/>
                <w:color w:val="auto"/>
                <w:w w:val="94"/>
              </w:rPr>
              <w:t>Treasury stock, at cost — 29,302,541 shares at September 30, 2021 and 26,704,577 shares at March 31, 2021</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(1,433,136)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(1,216,163)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600,930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557,957</w:t>
            </w:r>
          </w:p>
        </w:tc>
        <w:tc>
          <w:tcPr>
            <w:tcW w:w="0" w:type="dxa"/>
            <w:vAlign w:val="bottom"/>
          </w:tcPr>
          <w:p>
            <w:pPr>
              <w:spacing w:after="0"/>
              <w:rPr>
                <w:sz w:val="1"/>
                <w:szCs w:val="1"/>
                <w:color w:val="auto"/>
              </w:rPr>
            </w:pPr>
          </w:p>
        </w:tc>
      </w:tr>
      <w:tr>
        <w:trPr>
          <w:trHeight w:val="217"/>
        </w:trPr>
        <w:tc>
          <w:tcPr>
            <w:tcW w:w="8180" w:type="dxa"/>
            <w:vAlign w:val="bottom"/>
          </w:tcPr>
          <w:p>
            <w:pPr>
              <w:ind w:left="320"/>
              <w:spacing w:after="0"/>
              <w:rPr>
                <w:sz w:val="20"/>
                <w:szCs w:val="20"/>
                <w:color w:val="auto"/>
              </w:rPr>
            </w:pPr>
            <w:r>
              <w:rPr>
                <w:rFonts w:ascii="Arial" w:cs="Arial" w:eastAsia="Arial" w:hAnsi="Arial"/>
                <w:sz w:val="17"/>
                <w:szCs w:val="17"/>
                <w:color w:val="auto"/>
              </w:rPr>
              <w:t>Retained earnings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1,902,667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1,757,524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(29,771)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stockholders’ equity</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1,048,098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1,071,176</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6,025,792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5,499,601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(Amounts in thousands, except per share data)</w:t>
      </w:r>
    </w:p>
    <w:p>
      <w:pPr>
        <w:spacing w:after="0" w:line="10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2,106,038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2,019,185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4,095,104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3,975,638</w:t>
            </w:r>
          </w:p>
        </w:tc>
        <w:tc>
          <w:tcPr>
            <w:tcW w:w="0" w:type="dxa"/>
            <w:vAlign w:val="bottom"/>
          </w:tcPr>
          <w:p>
            <w:pPr>
              <w:spacing w:after="0"/>
              <w:rPr>
                <w:sz w:val="1"/>
                <w:szCs w:val="1"/>
                <w:color w:val="auto"/>
              </w:rPr>
            </w:pPr>
          </w:p>
        </w:tc>
      </w:tr>
      <w:tr>
        <w:trPr>
          <w:trHeight w:val="217"/>
        </w:trPr>
        <w:tc>
          <w:tcPr>
            <w:tcW w:w="5040" w:type="dxa"/>
            <w:vAlign w:val="bottom"/>
          </w:tcPr>
          <w:p>
            <w:pPr>
              <w:ind w:left="20"/>
              <w:spacing w:after="0"/>
              <w:rPr>
                <w:sz w:val="20"/>
                <w:szCs w:val="20"/>
                <w:color w:val="auto"/>
              </w:rPr>
            </w:pPr>
            <w:r>
              <w:rPr>
                <w:rFonts w:ascii="Arial" w:cs="Arial" w:eastAsia="Arial" w:hAnsi="Arial"/>
                <w:sz w:val="17"/>
                <w:szCs w:val="17"/>
                <w:color w:val="auto"/>
              </w:rPr>
              <w:t>Operating costs and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947,689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1,910,408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1,891,499</w:t>
            </w:r>
          </w:p>
        </w:tc>
        <w:tc>
          <w:tcPr>
            <w:tcW w:w="0" w:type="dxa"/>
            <w:vAlign w:val="bottom"/>
          </w:tcPr>
          <w:p>
            <w:pPr>
              <w:spacing w:after="0"/>
              <w:rPr>
                <w:sz w:val="1"/>
                <w:szCs w:val="1"/>
                <w:color w:val="auto"/>
              </w:rPr>
            </w:pPr>
          </w:p>
        </w:tc>
      </w:tr>
      <w:tr>
        <w:trPr>
          <w:trHeight w:val="217"/>
        </w:trPr>
        <w:tc>
          <w:tcPr>
            <w:tcW w:w="5040" w:type="dxa"/>
            <w:vAlign w:val="bottom"/>
          </w:tcPr>
          <w:p>
            <w:pPr>
              <w:ind w:left="320"/>
              <w:spacing w:after="0"/>
              <w:rPr>
                <w:sz w:val="20"/>
                <w:szCs w:val="20"/>
                <w:color w:val="auto"/>
              </w:rPr>
            </w:pPr>
            <w:r>
              <w:rPr>
                <w:rFonts w:ascii="Arial" w:cs="Arial" w:eastAsia="Arial" w:hAnsi="Arial"/>
                <w:sz w:val="17"/>
                <w:szCs w:val="17"/>
                <w:color w:val="auto"/>
              </w:rPr>
              <w:t>Billable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640,120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603,652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1,195,665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1,152,729</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564,060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490,555</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Depreciation and amortization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37,602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65,347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41,747</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operating costs and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1,887,671</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1,811,964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3,735,480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3,576,530</w:t>
            </w: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218,367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207,221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359,624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399,108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(40,022)</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(12,870)</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320,415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346,216</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46,127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73,479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80,806</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154,834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246,936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265,410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Earnings per common share (Note 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0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4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1.14</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375"/>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0.98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1.81</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78"/>
        </w:trPr>
        <w:tc>
          <w:tcPr>
            <w:tcW w:w="5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72"/>
        </w:trPr>
        <w:tc>
          <w:tcPr>
            <w:tcW w:w="5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96"/>
              </w:rPr>
              <w:t>2020</w:t>
            </w: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154,834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246,936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265,410</w:t>
            </w:r>
          </w:p>
        </w:tc>
      </w:tr>
      <w:tr>
        <w:trPr>
          <w:trHeight w:val="217"/>
        </w:trPr>
        <w:tc>
          <w:tcPr>
            <w:tcW w:w="5280" w:type="dxa"/>
            <w:vAlign w:val="bottom"/>
          </w:tcPr>
          <w:p>
            <w:pPr>
              <w:ind w:left="20"/>
              <w:spacing w:after="0"/>
              <w:rPr>
                <w:sz w:val="20"/>
                <w:szCs w:val="20"/>
                <w:color w:val="auto"/>
              </w:rPr>
            </w:pPr>
            <w:r>
              <w:rPr>
                <w:rFonts w:ascii="Arial" w:cs="Arial" w:eastAsia="Arial" w:hAnsi="Arial"/>
                <w:sz w:val="17"/>
                <w:szCs w:val="17"/>
                <w:color w:val="auto"/>
              </w:rPr>
              <w:t>Other comprehensive income, net of tax:</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52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Change in unrealized gain on derivatives designated as cash flow hedges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2,739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2,225</w:t>
            </w:r>
          </w:p>
        </w:tc>
      </w:tr>
      <w:tr>
        <w:trPr>
          <w:trHeight w:val="217"/>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Change in postretirement plan costs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r>
      <w:tr>
        <w:trPr>
          <w:trHeight w:val="211"/>
        </w:trPr>
        <w:tc>
          <w:tcPr>
            <w:tcW w:w="5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other comprehensive income, net of tax</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2,759</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2,269</w:t>
            </w:r>
          </w:p>
        </w:tc>
      </w:tr>
      <w:tr>
        <w:trPr>
          <w:trHeight w:val="210"/>
        </w:trPr>
        <w:tc>
          <w:tcPr>
            <w:tcW w:w="5280" w:type="dxa"/>
            <w:vAlign w:val="bottom"/>
          </w:tcPr>
          <w:p>
            <w:pPr>
              <w:ind w:left="320"/>
              <w:spacing w:after="0"/>
              <w:rPr>
                <w:sz w:val="20"/>
                <w:szCs w:val="20"/>
                <w:color w:val="auto"/>
              </w:rPr>
            </w:pPr>
            <w:r>
              <w:rPr>
                <w:rFonts w:ascii="Arial" w:cs="Arial" w:eastAsia="Arial" w:hAnsi="Arial"/>
                <w:sz w:val="17"/>
                <w:szCs w:val="17"/>
                <w:color w:val="auto"/>
              </w:rPr>
              <w:t>Comprehensive income</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157,593</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139,767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252,708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267,679</w:t>
            </w:r>
          </w:p>
        </w:tc>
      </w:tr>
      <w:tr>
        <w:trPr>
          <w:trHeight w:val="20"/>
        </w:trPr>
        <w:tc>
          <w:tcPr>
            <w:tcW w:w="5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25"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Six Months Ended</w:t>
      </w: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5211445</wp:posOffset>
            </wp:positionH>
            <wp:positionV relativeFrom="paragraph">
              <wp:posOffset>7620</wp:posOffset>
            </wp:positionV>
            <wp:extent cx="1920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875" cy="8255"/>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8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4"/>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32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246,936</w:t>
            </w:r>
          </w:p>
        </w:tc>
        <w:tc>
          <w:tcPr>
            <w:tcW w:w="1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265,410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6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65,347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41,747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Noncash lease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26,891</w:t>
            </w:r>
          </w:p>
        </w:tc>
        <w:tc>
          <w:tcPr>
            <w:tcW w:w="0" w:type="dxa"/>
            <w:vAlign w:val="bottom"/>
          </w:tcPr>
          <w:p>
            <w:pPr>
              <w:spacing w:after="0"/>
              <w:rPr>
                <w:sz w:val="1"/>
                <w:szCs w:val="1"/>
                <w:color w:val="auto"/>
              </w:rPr>
            </w:pPr>
          </w:p>
        </w:tc>
      </w:tr>
      <w:tr>
        <w:trPr>
          <w:trHeight w:val="217"/>
        </w:trPr>
        <w:tc>
          <w:tcPr>
            <w:tcW w:w="8180" w:type="dxa"/>
            <w:vAlign w:val="bottom"/>
          </w:tcPr>
          <w:p>
            <w:pPr>
              <w:ind w:left="640"/>
              <w:spacing w:after="0"/>
              <w:rPr>
                <w:sz w:val="20"/>
                <w:szCs w:val="20"/>
                <w:color w:val="auto"/>
              </w:rPr>
            </w:pPr>
            <w:r>
              <w:rPr>
                <w:rFonts w:ascii="Arial" w:cs="Arial" w:eastAsia="Arial" w:hAnsi="Arial"/>
                <w:sz w:val="17"/>
                <w:szCs w:val="17"/>
                <w:color w:val="auto"/>
              </w:rPr>
              <w:t>Stock-based compensation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28,428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25,632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Amortization of debt issuance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2,176</w:t>
            </w:r>
          </w:p>
        </w:tc>
        <w:tc>
          <w:tcPr>
            <w:tcW w:w="0" w:type="dxa"/>
            <w:vAlign w:val="bottom"/>
          </w:tcPr>
          <w:p>
            <w:pPr>
              <w:spacing w:after="0"/>
              <w:rPr>
                <w:sz w:val="1"/>
                <w:szCs w:val="1"/>
                <w:color w:val="auto"/>
              </w:rPr>
            </w:pPr>
          </w:p>
        </w:tc>
      </w:tr>
      <w:tr>
        <w:trPr>
          <w:trHeight w:val="217"/>
        </w:trPr>
        <w:tc>
          <w:tcPr>
            <w:tcW w:w="8180" w:type="dxa"/>
            <w:vAlign w:val="bottom"/>
          </w:tcPr>
          <w:p>
            <w:pPr>
              <w:ind w:left="640"/>
              <w:spacing w:after="0"/>
              <w:rPr>
                <w:sz w:val="20"/>
                <w:szCs w:val="20"/>
                <w:color w:val="auto"/>
              </w:rPr>
            </w:pPr>
            <w:r>
              <w:rPr>
                <w:rFonts w:ascii="Arial" w:cs="Arial" w:eastAsia="Arial" w:hAnsi="Arial"/>
                <w:sz w:val="17"/>
                <w:szCs w:val="17"/>
                <w:color w:val="auto"/>
              </w:rPr>
              <w:t>Loss on debt extinguishment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13,239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(Gains) losses on dispositions, and other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7"/>
        </w:trPr>
        <w:tc>
          <w:tcPr>
            <w:tcW w:w="8180" w:type="dxa"/>
            <w:vAlign w:val="bottom"/>
          </w:tcPr>
          <w:p>
            <w:pPr>
              <w:ind w:left="640"/>
              <w:spacing w:after="0"/>
              <w:rPr>
                <w:sz w:val="20"/>
                <w:szCs w:val="20"/>
                <w:color w:val="auto"/>
              </w:rPr>
            </w:pPr>
            <w:r>
              <w:rPr>
                <w:rFonts w:ascii="Arial" w:cs="Arial" w:eastAsia="Arial" w:hAnsi="Arial"/>
                <w:sz w:val="17"/>
                <w:szCs w:val="17"/>
                <w:color w:val="auto"/>
              </w:rPr>
              <w:t>Gain on consolidation of equity method investment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(5,666)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assets and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640"/>
              <w:spacing w:after="0"/>
              <w:rPr>
                <w:sz w:val="20"/>
                <w:szCs w:val="20"/>
                <w:color w:val="auto"/>
              </w:rPr>
            </w:pPr>
            <w:r>
              <w:rPr>
                <w:rFonts w:ascii="Arial" w:cs="Arial" w:eastAsia="Arial" w:hAnsi="Arial"/>
                <w:sz w:val="17"/>
                <w:szCs w:val="17"/>
                <w:color w:val="auto"/>
              </w:rPr>
              <w:t>Accounts receivable,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(43,125)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(8,606)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Deferred income taxes and income taxes receivable / payable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51,846</w:t>
            </w:r>
          </w:p>
        </w:tc>
        <w:tc>
          <w:tcPr>
            <w:tcW w:w="0" w:type="dxa"/>
            <w:vAlign w:val="bottom"/>
          </w:tcPr>
          <w:p>
            <w:pPr>
              <w:spacing w:after="0"/>
              <w:rPr>
                <w:sz w:val="1"/>
                <w:szCs w:val="1"/>
                <w:color w:val="auto"/>
              </w:rPr>
            </w:pPr>
          </w:p>
        </w:tc>
      </w:tr>
      <w:tr>
        <w:trPr>
          <w:trHeight w:val="217"/>
        </w:trPr>
        <w:tc>
          <w:tcPr>
            <w:tcW w:w="8180" w:type="dxa"/>
            <w:vAlign w:val="bottom"/>
          </w:tcPr>
          <w:p>
            <w:pPr>
              <w:ind w:left="640"/>
              <w:spacing w:after="0"/>
              <w:rPr>
                <w:sz w:val="20"/>
                <w:szCs w:val="20"/>
                <w:color w:val="auto"/>
              </w:rPr>
            </w:pPr>
            <w:r>
              <w:rPr>
                <w:rFonts w:ascii="Arial" w:cs="Arial" w:eastAsia="Arial" w:hAnsi="Arial"/>
                <w:sz w:val="17"/>
                <w:szCs w:val="17"/>
                <w:color w:val="auto"/>
              </w:rPr>
              <w:t>Prepaid expenses and other current and long-term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(27,747)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(13,943)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Accrued compensation and benefits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22,788</w:t>
            </w:r>
          </w:p>
        </w:tc>
        <w:tc>
          <w:tcPr>
            <w:tcW w:w="0" w:type="dxa"/>
            <w:vAlign w:val="bottom"/>
          </w:tcPr>
          <w:p>
            <w:pPr>
              <w:spacing w:after="0"/>
              <w:rPr>
                <w:sz w:val="1"/>
                <w:szCs w:val="1"/>
                <w:color w:val="auto"/>
              </w:rPr>
            </w:pPr>
          </w:p>
        </w:tc>
      </w:tr>
      <w:tr>
        <w:trPr>
          <w:trHeight w:val="217"/>
        </w:trPr>
        <w:tc>
          <w:tcPr>
            <w:tcW w:w="8180" w:type="dxa"/>
            <w:vAlign w:val="bottom"/>
          </w:tcPr>
          <w:p>
            <w:pPr>
              <w:ind w:left="640"/>
              <w:spacing w:after="0"/>
              <w:rPr>
                <w:sz w:val="20"/>
                <w:szCs w:val="20"/>
                <w:color w:val="auto"/>
              </w:rPr>
            </w:pPr>
            <w:r>
              <w:rPr>
                <w:rFonts w:ascii="Arial" w:cs="Arial" w:eastAsia="Arial" w:hAnsi="Arial"/>
                <w:sz w:val="17"/>
                <w:szCs w:val="17"/>
                <w:color w:val="auto"/>
              </w:rPr>
              <w:t>Accounts payable and other accrued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149,586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154,140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 current and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(15,321)</w:t>
            </w:r>
          </w:p>
        </w:tc>
        <w:tc>
          <w:tcPr>
            <w:tcW w:w="0" w:type="dxa"/>
            <w:vAlign w:val="bottom"/>
          </w:tcPr>
          <w:p>
            <w:pPr>
              <w:spacing w:after="0"/>
              <w:rPr>
                <w:sz w:val="1"/>
                <w:szCs w:val="1"/>
                <w:color w:val="auto"/>
              </w:rPr>
            </w:pPr>
          </w:p>
        </w:tc>
      </w:tr>
      <w:tr>
        <w:trPr>
          <w:trHeight w:val="210"/>
        </w:trPr>
        <w:tc>
          <w:tcPr>
            <w:tcW w:w="8180" w:type="dxa"/>
            <w:vAlign w:val="bottom"/>
          </w:tcPr>
          <w:p>
            <w:pPr>
              <w:ind w:left="106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459,746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566,024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640"/>
              <w:spacing w:after="0"/>
              <w:rPr>
                <w:sz w:val="20"/>
                <w:szCs w:val="20"/>
                <w:color w:val="auto"/>
              </w:rPr>
            </w:pPr>
            <w:r>
              <w:rPr>
                <w:rFonts w:ascii="Arial" w:cs="Arial" w:eastAsia="Arial" w:hAnsi="Arial"/>
                <w:sz w:val="17"/>
                <w:szCs w:val="17"/>
                <w:color w:val="auto"/>
              </w:rPr>
              <w:t>Purchases of property, equipment, and software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(29,675)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(38,084)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Cash paid for acquisitions, net of cash acquired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(779,581)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Cash paid for cost method investment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1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(811,256)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(38,084)</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Proceeds from issuance of common stock</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9,092</w:t>
            </w:r>
          </w:p>
        </w:tc>
        <w:tc>
          <w:tcPr>
            <w:tcW w:w="0" w:type="dxa"/>
            <w:vAlign w:val="bottom"/>
          </w:tcPr>
          <w:p>
            <w:pPr>
              <w:spacing w:after="0"/>
              <w:rPr>
                <w:sz w:val="1"/>
                <w:szCs w:val="1"/>
                <w:color w:val="auto"/>
              </w:rPr>
            </w:pPr>
          </w:p>
        </w:tc>
      </w:tr>
      <w:tr>
        <w:trPr>
          <w:trHeight w:val="217"/>
        </w:trPr>
        <w:tc>
          <w:tcPr>
            <w:tcW w:w="8180" w:type="dxa"/>
            <w:vAlign w:val="bottom"/>
          </w:tcPr>
          <w:p>
            <w:pPr>
              <w:ind w:left="640"/>
              <w:spacing w:after="0"/>
              <w:rPr>
                <w:sz w:val="20"/>
                <w:szCs w:val="20"/>
                <w:color w:val="auto"/>
              </w:rPr>
            </w:pPr>
            <w:r>
              <w:rPr>
                <w:rFonts w:ascii="Arial" w:cs="Arial" w:eastAsia="Arial" w:hAnsi="Arial"/>
                <w:sz w:val="17"/>
                <w:szCs w:val="17"/>
                <w:color w:val="auto"/>
              </w:rPr>
              <w:t>Stock option exercises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6,492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Repurchases of common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(116,291)</w:t>
            </w:r>
          </w:p>
        </w:tc>
        <w:tc>
          <w:tcPr>
            <w:tcW w:w="0" w:type="dxa"/>
            <w:vAlign w:val="bottom"/>
          </w:tcPr>
          <w:p>
            <w:pPr>
              <w:spacing w:after="0"/>
              <w:rPr>
                <w:sz w:val="1"/>
                <w:szCs w:val="1"/>
                <w:color w:val="auto"/>
              </w:rPr>
            </w:pPr>
          </w:p>
        </w:tc>
      </w:tr>
      <w:tr>
        <w:trPr>
          <w:trHeight w:val="217"/>
        </w:trPr>
        <w:tc>
          <w:tcPr>
            <w:tcW w:w="8180" w:type="dxa"/>
            <w:vAlign w:val="bottom"/>
          </w:tcPr>
          <w:p>
            <w:pPr>
              <w:ind w:left="640"/>
              <w:spacing w:after="0"/>
              <w:rPr>
                <w:sz w:val="20"/>
                <w:szCs w:val="20"/>
                <w:color w:val="auto"/>
              </w:rPr>
            </w:pPr>
            <w:r>
              <w:rPr>
                <w:rFonts w:ascii="Arial" w:cs="Arial" w:eastAsia="Arial" w:hAnsi="Arial"/>
                <w:sz w:val="17"/>
                <w:szCs w:val="17"/>
                <w:color w:val="auto"/>
              </w:rPr>
              <w:t>Cash dividends paid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(101,869)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(86,836)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Debt extinguishment costs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(8,971)</w:t>
            </w:r>
          </w:p>
        </w:tc>
        <w:tc>
          <w:tcPr>
            <w:tcW w:w="0" w:type="dxa"/>
            <w:vAlign w:val="bottom"/>
          </w:tcPr>
          <w:p>
            <w:pPr>
              <w:spacing w:after="0"/>
              <w:rPr>
                <w:sz w:val="1"/>
                <w:szCs w:val="1"/>
                <w:color w:val="auto"/>
              </w:rPr>
            </w:pPr>
          </w:p>
        </w:tc>
      </w:tr>
      <w:tr>
        <w:trPr>
          <w:trHeight w:val="217"/>
        </w:trPr>
        <w:tc>
          <w:tcPr>
            <w:tcW w:w="8180" w:type="dxa"/>
            <w:vAlign w:val="bottom"/>
          </w:tcPr>
          <w:p>
            <w:pPr>
              <w:ind w:left="640"/>
              <w:spacing w:after="0"/>
              <w:rPr>
                <w:sz w:val="20"/>
                <w:szCs w:val="20"/>
                <w:color w:val="auto"/>
              </w:rPr>
            </w:pPr>
            <w:r>
              <w:rPr>
                <w:rFonts w:ascii="Arial" w:cs="Arial" w:eastAsia="Arial" w:hAnsi="Arial"/>
                <w:sz w:val="17"/>
                <w:szCs w:val="17"/>
                <w:color w:val="auto"/>
              </w:rPr>
              <w:t>Repayments on revolving credit facility and term loan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(78,067)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(488,933)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proceeds from debt issuance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487,027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691,496</w:t>
            </w:r>
          </w:p>
        </w:tc>
        <w:tc>
          <w:tcPr>
            <w:tcW w:w="0" w:type="dxa"/>
            <w:vAlign w:val="bottom"/>
          </w:tcPr>
          <w:p>
            <w:pPr>
              <w:spacing w:after="0"/>
              <w:rPr>
                <w:sz w:val="1"/>
                <w:szCs w:val="1"/>
                <w:color w:val="auto"/>
              </w:rPr>
            </w:pPr>
          </w:p>
        </w:tc>
      </w:tr>
      <w:tr>
        <w:trPr>
          <w:trHeight w:val="217"/>
        </w:trPr>
        <w:tc>
          <w:tcPr>
            <w:tcW w:w="8180" w:type="dxa"/>
            <w:vAlign w:val="bottom"/>
          </w:tcPr>
          <w:p>
            <w:pPr>
              <w:ind w:left="640"/>
              <w:spacing w:after="0"/>
              <w:rPr>
                <w:sz w:val="20"/>
                <w:szCs w:val="20"/>
                <w:color w:val="auto"/>
              </w:rPr>
            </w:pPr>
            <w:r>
              <w:rPr>
                <w:rFonts w:ascii="Arial" w:cs="Arial" w:eastAsia="Arial" w:hAnsi="Arial"/>
                <w:sz w:val="17"/>
                <w:szCs w:val="17"/>
                <w:color w:val="auto"/>
              </w:rPr>
              <w:t>Proceeds from revolving credit facility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 financing activities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210"/>
        </w:trPr>
        <w:tc>
          <w:tcPr>
            <w:tcW w:w="8180" w:type="dxa"/>
            <w:vAlign w:val="bottom"/>
          </w:tcPr>
          <w:p>
            <w:pPr>
              <w:ind w:left="106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149,252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5,349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533,289</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equivalents––beginning of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990,955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741,901</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equivalents––end of period</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788,697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1,275,190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1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paid during the period for: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320"/>
              <w:spacing w:after="0"/>
              <w:rPr>
                <w:sz w:val="20"/>
                <w:szCs w:val="20"/>
                <w:color w:val="auto"/>
              </w:rPr>
            </w:pPr>
            <w:r>
              <w:rPr>
                <w:rFonts w:ascii="Arial" w:cs="Arial" w:eastAsia="Arial" w:hAnsi="Arial"/>
                <w:sz w:val="17"/>
                <w:szCs w:val="17"/>
                <w:color w:val="auto"/>
              </w:rPr>
              <w:t>Interest</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27,658</w:t>
            </w:r>
          </w:p>
        </w:tc>
        <w:tc>
          <w:tcPr>
            <w:tcW w:w="1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32,282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taxes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24,451</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4300" w:type="dxa"/>
            <w:vAlign w:val="bottom"/>
          </w:tcPr>
          <w:p>
            <w:pPr>
              <w:spacing w:after="0"/>
              <w:rPr>
                <w:sz w:val="13"/>
                <w:szCs w:val="13"/>
                <w:color w:val="auto"/>
              </w:rPr>
            </w:pPr>
          </w:p>
        </w:tc>
        <w:tc>
          <w:tcPr>
            <w:tcW w:w="940" w:type="dxa"/>
            <w:vAlign w:val="bottom"/>
            <w:gridSpan w:val="2"/>
          </w:tcPr>
          <w:p>
            <w:pPr>
              <w:ind w:left="560"/>
              <w:spacing w:after="0"/>
              <w:rPr>
                <w:sz w:val="20"/>
                <w:szCs w:val="20"/>
                <w:color w:val="auto"/>
              </w:rPr>
            </w:pPr>
            <w:r>
              <w:rPr>
                <w:rFonts w:ascii="Arial" w:cs="Arial" w:eastAsia="Arial" w:hAnsi="Arial"/>
                <w:sz w:val="12"/>
                <w:szCs w:val="12"/>
                <w:b w:val="1"/>
                <w:bCs w:val="1"/>
                <w:color w:val="auto"/>
                <w:w w:val="81"/>
              </w:rPr>
              <w:t>Class A</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0"/>
              </w:rPr>
              <w:t>Treasury</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1"/>
              </w:rPr>
              <w:t>Additional</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Accumulated</w:t>
            </w: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5"/>
        </w:trPr>
        <w:tc>
          <w:tcPr>
            <w:tcW w:w="4300" w:type="dxa"/>
            <w:vAlign w:val="bottom"/>
          </w:tcPr>
          <w:p>
            <w:pPr>
              <w:spacing w:after="0"/>
              <w:rPr>
                <w:sz w:val="10"/>
                <w:szCs w:val="10"/>
                <w:color w:val="auto"/>
              </w:rPr>
            </w:pPr>
          </w:p>
        </w:tc>
        <w:tc>
          <w:tcPr>
            <w:tcW w:w="1580" w:type="dxa"/>
            <w:vAlign w:val="bottom"/>
            <w:gridSpan w:val="4"/>
          </w:tcPr>
          <w:p>
            <w:pPr>
              <w:ind w:left="360"/>
              <w:spacing w:after="0" w:line="115" w:lineRule="exact"/>
              <w:rPr>
                <w:sz w:val="20"/>
                <w:szCs w:val="20"/>
                <w:color w:val="auto"/>
              </w:rPr>
            </w:pPr>
            <w:r>
              <w:rPr>
                <w:rFonts w:ascii="Arial" w:cs="Arial" w:eastAsia="Arial" w:hAnsi="Arial"/>
                <w:sz w:val="12"/>
                <w:szCs w:val="12"/>
                <w:b w:val="1"/>
                <w:bCs w:val="1"/>
                <w:color w:val="auto"/>
              </w:rPr>
              <w:t>Common Stock</w:t>
            </w:r>
          </w:p>
        </w:tc>
        <w:tc>
          <w:tcPr>
            <w:tcW w:w="1900" w:type="dxa"/>
            <w:vAlign w:val="bottom"/>
            <w:gridSpan w:val="4"/>
          </w:tcPr>
          <w:p>
            <w:pPr>
              <w:jc w:val="center"/>
              <w:ind w:right="80"/>
              <w:spacing w:after="0" w:line="115" w:lineRule="exact"/>
              <w:rPr>
                <w:sz w:val="20"/>
                <w:szCs w:val="20"/>
                <w:color w:val="auto"/>
              </w:rPr>
            </w:pPr>
            <w:r>
              <w:rPr>
                <w:rFonts w:ascii="Arial" w:cs="Arial" w:eastAsia="Arial" w:hAnsi="Arial"/>
                <w:sz w:val="12"/>
                <w:szCs w:val="12"/>
                <w:b w:val="1"/>
                <w:bCs w:val="1"/>
                <w:color w:val="auto"/>
                <w:w w:val="91"/>
              </w:rPr>
              <w:t>Stock</w:t>
            </w:r>
          </w:p>
        </w:tc>
        <w:tc>
          <w:tcPr>
            <w:tcW w:w="7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280"/>
              <w:spacing w:after="0" w:line="115" w:lineRule="exact"/>
              <w:rPr>
                <w:sz w:val="20"/>
                <w:szCs w:val="20"/>
                <w:color w:val="auto"/>
              </w:rPr>
            </w:pPr>
            <w:r>
              <w:rPr>
                <w:rFonts w:ascii="Arial" w:cs="Arial" w:eastAsia="Arial" w:hAnsi="Arial"/>
                <w:sz w:val="12"/>
                <w:szCs w:val="12"/>
                <w:b w:val="1"/>
                <w:bCs w:val="1"/>
                <w:color w:val="auto"/>
                <w:w w:val="99"/>
              </w:rPr>
              <w:t>Other</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4300" w:type="dxa"/>
            <w:vAlign w:val="bottom"/>
          </w:tcPr>
          <w:p>
            <w:pPr>
              <w:ind w:left="20"/>
              <w:spacing w:after="0" w:line="52" w:lineRule="exact"/>
              <w:rPr>
                <w:sz w:val="20"/>
                <w:szCs w:val="20"/>
                <w:color w:val="auto"/>
              </w:rPr>
            </w:pPr>
            <w:r>
              <w:rPr>
                <w:rFonts w:ascii="Arial" w:cs="Arial" w:eastAsia="Arial" w:hAnsi="Arial"/>
                <w:sz w:val="5"/>
                <w:szCs w:val="5"/>
                <w:b w:val="1"/>
                <w:bCs w:val="1"/>
                <w:color w:val="auto"/>
              </w:rPr>
              <w:t>(Amounts in thousands, except</w:t>
            </w: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tcPr>
          <w:p>
            <w:pPr>
              <w:jc w:val="center"/>
              <w:ind w:right="80"/>
              <w:spacing w:after="0" w:line="52" w:lineRule="exact"/>
              <w:rPr>
                <w:sz w:val="20"/>
                <w:szCs w:val="20"/>
                <w:color w:val="auto"/>
              </w:rPr>
            </w:pPr>
            <w:r>
              <w:rPr>
                <w:rFonts w:ascii="Arial" w:cs="Arial" w:eastAsia="Arial" w:hAnsi="Arial"/>
                <w:sz w:val="5"/>
                <w:szCs w:val="5"/>
                <w:b w:val="1"/>
                <w:bCs w:val="1"/>
                <w:color w:val="auto"/>
              </w:rPr>
              <w:t>Paid-In</w:t>
            </w:r>
          </w:p>
        </w:tc>
        <w:tc>
          <w:tcPr>
            <w:tcW w:w="900" w:type="dxa"/>
            <w:vAlign w:val="bottom"/>
            <w:gridSpan w:val="2"/>
          </w:tcPr>
          <w:p>
            <w:pPr>
              <w:ind w:left="180"/>
              <w:spacing w:after="0" w:line="52" w:lineRule="exact"/>
              <w:rPr>
                <w:sz w:val="20"/>
                <w:szCs w:val="20"/>
                <w:color w:val="auto"/>
              </w:rPr>
            </w:pPr>
            <w:r>
              <w:rPr>
                <w:rFonts w:ascii="Arial" w:cs="Arial" w:eastAsia="Arial" w:hAnsi="Arial"/>
                <w:sz w:val="5"/>
                <w:szCs w:val="5"/>
                <w:b w:val="1"/>
                <w:bCs w:val="1"/>
                <w:color w:val="auto"/>
              </w:rPr>
              <w:t>Retained</w:t>
            </w:r>
          </w:p>
        </w:tc>
        <w:tc>
          <w:tcPr>
            <w:tcW w:w="940" w:type="dxa"/>
            <w:vAlign w:val="bottom"/>
            <w:gridSpan w:val="3"/>
          </w:tcPr>
          <w:p>
            <w:pPr>
              <w:ind w:left="20"/>
              <w:spacing w:after="0" w:line="52" w:lineRule="exact"/>
              <w:rPr>
                <w:sz w:val="20"/>
                <w:szCs w:val="20"/>
                <w:color w:val="auto"/>
              </w:rPr>
            </w:pPr>
            <w:r>
              <w:rPr>
                <w:rFonts w:ascii="Arial" w:cs="Arial" w:eastAsia="Arial" w:hAnsi="Arial"/>
                <w:sz w:val="5"/>
                <w:szCs w:val="5"/>
                <w:b w:val="1"/>
                <w:bCs w:val="1"/>
                <w:color w:val="auto"/>
              </w:rPr>
              <w:t>Comprehensive</w:t>
            </w:r>
          </w:p>
        </w:tc>
        <w:tc>
          <w:tcPr>
            <w:tcW w:w="820" w:type="dxa"/>
            <w:vAlign w:val="bottom"/>
          </w:tcPr>
          <w:p>
            <w:pPr>
              <w:jc w:val="center"/>
              <w:spacing w:after="0" w:line="52" w:lineRule="exact"/>
              <w:rPr>
                <w:sz w:val="20"/>
                <w:szCs w:val="20"/>
                <w:color w:val="auto"/>
              </w:rPr>
            </w:pPr>
            <w:r>
              <w:rPr>
                <w:rFonts w:ascii="Arial" w:cs="Arial" w:eastAsia="Arial" w:hAnsi="Arial"/>
                <w:sz w:val="5"/>
                <w:szCs w:val="5"/>
                <w:b w:val="1"/>
                <w:bCs w:val="1"/>
                <w:color w:val="auto"/>
              </w:rPr>
              <w:t>Stockholders’</w:t>
            </w:r>
          </w:p>
        </w:tc>
        <w:tc>
          <w:tcPr>
            <w:tcW w:w="0" w:type="dxa"/>
            <w:vAlign w:val="bottom"/>
          </w:tcPr>
          <w:p>
            <w:pPr>
              <w:spacing w:after="0"/>
              <w:rPr>
                <w:sz w:val="1"/>
                <w:szCs w:val="1"/>
                <w:color w:val="auto"/>
              </w:rPr>
            </w:pPr>
          </w:p>
        </w:tc>
      </w:tr>
      <w:tr>
        <w:trPr>
          <w:trHeight w:val="166"/>
        </w:trPr>
        <w:tc>
          <w:tcPr>
            <w:tcW w:w="4300" w:type="dxa"/>
            <w:vAlign w:val="bottom"/>
          </w:tcPr>
          <w:p>
            <w:pPr>
              <w:ind w:left="20"/>
              <w:spacing w:after="0"/>
              <w:rPr>
                <w:sz w:val="20"/>
                <w:szCs w:val="20"/>
                <w:color w:val="auto"/>
              </w:rPr>
            </w:pPr>
            <w:r>
              <w:rPr>
                <w:rFonts w:ascii="Arial" w:cs="Arial" w:eastAsia="Arial" w:hAnsi="Arial"/>
                <w:sz w:val="12"/>
                <w:szCs w:val="12"/>
                <w:b w:val="1"/>
                <w:bCs w:val="1"/>
                <w:color w:val="auto"/>
              </w:rPr>
              <w:t>share data)</w:t>
            </w:r>
          </w:p>
        </w:tc>
        <w:tc>
          <w:tcPr>
            <w:tcW w:w="940" w:type="dxa"/>
            <w:vAlign w:val="bottom"/>
            <w:gridSpan w:val="2"/>
          </w:tcPr>
          <w:p>
            <w:pPr>
              <w:ind w:left="26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Capital</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Earnings</w:t>
            </w:r>
          </w:p>
        </w:tc>
        <w:tc>
          <w:tcPr>
            <w:tcW w:w="9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8"/>
              </w:rPr>
              <w:t>Income (Loss)</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204"/>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June 30,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163,464,754</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$ 1,635</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(28,035,397)</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94"/>
              </w:rPr>
              <w:t>$</w:t>
            </w:r>
            <w:r>
              <w:rPr>
                <w:rFonts w:ascii="Arial" w:cs="Arial" w:eastAsia="Arial" w:hAnsi="Arial"/>
                <w:sz w:val="15"/>
                <w:szCs w:val="15"/>
                <w:color w:val="auto"/>
                <w:w w:val="94"/>
              </w:rPr>
              <w:t>(1,327,601)</w:t>
            </w: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$ 577,228</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0"/>
              </w:rPr>
              <w:t>$ 1,799,029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(26,758)</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90"/>
              </w:rPr>
              <w:t>$ 1,023,533</w:t>
            </w: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Arial" w:cs="Arial" w:eastAsia="Arial" w:hAnsi="Arial"/>
                <w:sz w:val="15"/>
                <w:szCs w:val="15"/>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5"/>
                <w:szCs w:val="15"/>
                <w:color w:val="auto"/>
              </w:rPr>
              <w:t>99,738</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5,643</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5,643</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 options 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63,159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1,223</w:t>
            </w: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Repurchase of common stock</w:t>
            </w:r>
          </w:p>
        </w:tc>
        <w:tc>
          <w:tcPr>
            <w:tcW w:w="9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(1,267,144)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(105,535)</w:t>
            </w:r>
          </w:p>
        </w:tc>
        <w:tc>
          <w:tcPr>
            <w:tcW w:w="60" w:type="dxa"/>
            <w:vAlign w:val="bottom"/>
          </w:tcPr>
          <w:p>
            <w:pPr>
              <w:spacing w:after="0"/>
              <w:rPr>
                <w:sz w:val="17"/>
                <w:szCs w:val="17"/>
                <w:color w:val="auto"/>
              </w:rPr>
            </w:pPr>
          </w:p>
        </w:tc>
        <w:tc>
          <w:tcPr>
            <w:tcW w:w="7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(105,535)</w:t>
            </w:r>
          </w:p>
        </w:tc>
        <w:tc>
          <w:tcPr>
            <w:tcW w:w="0" w:type="dxa"/>
            <w:vAlign w:val="bottom"/>
          </w:tcPr>
          <w:p>
            <w:pPr>
              <w:spacing w:after="0"/>
              <w:rPr>
                <w:sz w:val="1"/>
                <w:szCs w:val="1"/>
                <w:color w:val="auto"/>
              </w:rPr>
            </w:pPr>
          </w:p>
        </w:tc>
      </w:tr>
      <w:tr>
        <w:trPr>
          <w:trHeight w:val="161"/>
        </w:trPr>
        <w:tc>
          <w:tcPr>
            <w:tcW w:w="4300" w:type="dxa"/>
            <w:vAlign w:val="bottom"/>
            <w:shd w:val="clear" w:color="auto" w:fill="CCEEFF"/>
          </w:tcPr>
          <w:p>
            <w:pPr>
              <w:ind w:left="140"/>
              <w:spacing w:after="0" w:line="161" w:lineRule="exact"/>
              <w:rPr>
                <w:sz w:val="20"/>
                <w:szCs w:val="20"/>
                <w:color w:val="auto"/>
              </w:rPr>
            </w:pPr>
            <w:r>
              <w:rPr>
                <w:rFonts w:ascii="Arial" w:cs="Arial" w:eastAsia="Arial" w:hAnsi="Arial"/>
                <w:sz w:val="15"/>
                <w:szCs w:val="15"/>
                <w:color w:val="auto"/>
              </w:rPr>
              <w:t>Recognition of liability related to future restricted stock units</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853</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853</w:t>
            </w:r>
          </w:p>
        </w:tc>
        <w:tc>
          <w:tcPr>
            <w:tcW w:w="0" w:type="dxa"/>
            <w:vAlign w:val="bottom"/>
          </w:tcPr>
          <w:p>
            <w:pPr>
              <w:spacing w:after="0"/>
              <w:rPr>
                <w:sz w:val="1"/>
                <w:szCs w:val="1"/>
                <w:color w:val="auto"/>
              </w:rPr>
            </w:pPr>
          </w:p>
        </w:tc>
      </w:tr>
      <w:tr>
        <w:trPr>
          <w:trHeight w:val="200"/>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vesting</w:t>
            </w:r>
          </w:p>
        </w:tc>
        <w:tc>
          <w:tcPr>
            <w:tcW w:w="94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9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154,834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154,834</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comprehensive income, net of tax</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2,759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2,759</w:t>
            </w: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Dividends declared of $0.37 per share of common stock</w:t>
            </w:r>
          </w:p>
        </w:tc>
        <w:tc>
          <w:tcPr>
            <w:tcW w:w="9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78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(51,196)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(51,196)</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 compensation expense</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15,984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15,984</w:t>
            </w:r>
          </w:p>
        </w:tc>
        <w:tc>
          <w:tcPr>
            <w:tcW w:w="0" w:type="dxa"/>
            <w:vAlign w:val="bottom"/>
          </w:tcPr>
          <w:p>
            <w:pPr>
              <w:spacing w:after="0"/>
              <w:rPr>
                <w:sz w:val="1"/>
                <w:szCs w:val="1"/>
                <w:color w:val="auto"/>
              </w:rPr>
            </w:pPr>
          </w:p>
        </w:tc>
      </w:tr>
      <w:tr>
        <w:trPr>
          <w:trHeight w:val="193"/>
        </w:trPr>
        <w:tc>
          <w:tcPr>
            <w:tcW w:w="4300" w:type="dxa"/>
            <w:vAlign w:val="bottom"/>
          </w:tcPr>
          <w:p>
            <w:pPr>
              <w:ind w:left="20"/>
              <w:spacing w:after="0"/>
              <w:rPr>
                <w:sz w:val="20"/>
                <w:szCs w:val="20"/>
                <w:color w:val="auto"/>
              </w:rPr>
            </w:pPr>
            <w:r>
              <w:rPr>
                <w:rFonts w:ascii="Arial" w:cs="Arial" w:eastAsia="Arial" w:hAnsi="Arial"/>
                <w:sz w:val="15"/>
                <w:szCs w:val="15"/>
                <w:b w:val="1"/>
                <w:bCs w:val="1"/>
                <w:color w:val="auto"/>
              </w:rPr>
              <w:t>Balance at September 30,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8"/>
              </w:rPr>
              <w:t>163,627,651</w:t>
            </w:r>
          </w:p>
        </w:tc>
        <w:tc>
          <w:tcPr>
            <w:tcW w:w="80" w:type="dxa"/>
            <w:vAlign w:val="bottom"/>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$ 1,636</w:t>
            </w:r>
          </w:p>
        </w:tc>
        <w:tc>
          <w:tcPr>
            <w:tcW w:w="8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(29,302,541)</w:t>
            </w:r>
          </w:p>
        </w:tc>
        <w:tc>
          <w:tcPr>
            <w:tcW w:w="8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4"/>
              </w:rPr>
              <w:t>$(1,433,136)</w:t>
            </w:r>
          </w:p>
        </w:tc>
        <w:tc>
          <w:tcPr>
            <w:tcW w:w="6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2"/>
              </w:rPr>
              <w:t>$ 600,930</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90"/>
              </w:rPr>
              <w:t>$ 1,902,667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(23,999)</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0"/>
              </w:rPr>
              <w:t>$ 1,048,098</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162,950,606</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$ 1,629</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(26,704,577)</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94"/>
              </w:rPr>
              <w:t>$</w:t>
            </w:r>
            <w:r>
              <w:rPr>
                <w:rFonts w:ascii="Arial" w:cs="Arial" w:eastAsia="Arial" w:hAnsi="Arial"/>
                <w:sz w:val="15"/>
                <w:szCs w:val="15"/>
                <w:color w:val="auto"/>
                <w:w w:val="94"/>
              </w:rPr>
              <w:t>(1,216,163)</w:t>
            </w:r>
          </w:p>
        </w:tc>
        <w:tc>
          <w:tcPr>
            <w:tcW w:w="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$ 557,957</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0"/>
              </w:rPr>
              <w:t>$ 1,757,524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(29,771)</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90"/>
              </w:rPr>
              <w:t>$ 1,071,176</w:t>
            </w: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Arial" w:cs="Arial" w:eastAsia="Arial" w:hAnsi="Arial"/>
                <w:sz w:val="15"/>
                <w:szCs w:val="15"/>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5"/>
                <w:szCs w:val="15"/>
                <w:color w:val="auto"/>
              </w:rPr>
              <w:t>558,681</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10,317</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10,323</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 options 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118,364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3,016</w:t>
            </w: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Repurchase of common stock (1)</w:t>
            </w:r>
          </w:p>
        </w:tc>
        <w:tc>
          <w:tcPr>
            <w:tcW w:w="9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(2,597,964)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(216,973)</w:t>
            </w:r>
          </w:p>
        </w:tc>
        <w:tc>
          <w:tcPr>
            <w:tcW w:w="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(216,973)</w:t>
            </w:r>
          </w:p>
        </w:tc>
        <w:tc>
          <w:tcPr>
            <w:tcW w:w="0" w:type="dxa"/>
            <w:vAlign w:val="bottom"/>
          </w:tcPr>
          <w:p>
            <w:pPr>
              <w:spacing w:after="0"/>
              <w:rPr>
                <w:sz w:val="1"/>
                <w:szCs w:val="1"/>
                <w:color w:val="auto"/>
              </w:rPr>
            </w:pPr>
          </w:p>
        </w:tc>
      </w:tr>
      <w:tr>
        <w:trPr>
          <w:trHeight w:val="161"/>
        </w:trPr>
        <w:tc>
          <w:tcPr>
            <w:tcW w:w="4300" w:type="dxa"/>
            <w:vAlign w:val="bottom"/>
            <w:shd w:val="clear" w:color="auto" w:fill="CCEEFF"/>
          </w:tcPr>
          <w:p>
            <w:pPr>
              <w:ind w:left="140"/>
              <w:spacing w:after="0" w:line="161" w:lineRule="exact"/>
              <w:rPr>
                <w:sz w:val="20"/>
                <w:szCs w:val="20"/>
                <w:color w:val="auto"/>
              </w:rPr>
            </w:pPr>
            <w:r>
              <w:rPr>
                <w:rFonts w:ascii="Arial" w:cs="Arial" w:eastAsia="Arial" w:hAnsi="Arial"/>
                <w:sz w:val="15"/>
                <w:szCs w:val="15"/>
                <w:color w:val="auto"/>
              </w:rPr>
              <w:t>Recognition of liability related to future restricted stock units</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1,213</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1,213</w:t>
            </w:r>
          </w:p>
        </w:tc>
        <w:tc>
          <w:tcPr>
            <w:tcW w:w="0" w:type="dxa"/>
            <w:vAlign w:val="bottom"/>
          </w:tcPr>
          <w:p>
            <w:pPr>
              <w:spacing w:after="0"/>
              <w:rPr>
                <w:sz w:val="1"/>
                <w:szCs w:val="1"/>
                <w:color w:val="auto"/>
              </w:rPr>
            </w:pPr>
          </w:p>
        </w:tc>
      </w:tr>
      <w:tr>
        <w:trPr>
          <w:trHeight w:val="200"/>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vesting</w:t>
            </w:r>
          </w:p>
        </w:tc>
        <w:tc>
          <w:tcPr>
            <w:tcW w:w="94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9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246,936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246,936</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comprehensive income, net of tax</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5,772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5,772</w:t>
            </w: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Dividends declared of $0.74 per share of common stock</w:t>
            </w:r>
          </w:p>
        </w:tc>
        <w:tc>
          <w:tcPr>
            <w:tcW w:w="9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(101,793)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(101,793)</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 compensation expense</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28,428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28,428</w:t>
            </w:r>
          </w:p>
        </w:tc>
        <w:tc>
          <w:tcPr>
            <w:tcW w:w="0" w:type="dxa"/>
            <w:vAlign w:val="bottom"/>
          </w:tcPr>
          <w:p>
            <w:pPr>
              <w:spacing w:after="0"/>
              <w:rPr>
                <w:sz w:val="1"/>
                <w:szCs w:val="1"/>
                <w:color w:val="auto"/>
              </w:rPr>
            </w:pPr>
          </w:p>
        </w:tc>
      </w:tr>
      <w:tr>
        <w:trPr>
          <w:trHeight w:val="195"/>
        </w:trPr>
        <w:tc>
          <w:tcPr>
            <w:tcW w:w="4300" w:type="dxa"/>
            <w:vAlign w:val="bottom"/>
          </w:tcPr>
          <w:p>
            <w:pPr>
              <w:ind w:left="20"/>
              <w:spacing w:after="0"/>
              <w:rPr>
                <w:sz w:val="20"/>
                <w:szCs w:val="20"/>
                <w:color w:val="auto"/>
              </w:rPr>
            </w:pPr>
            <w:r>
              <w:rPr>
                <w:rFonts w:ascii="Arial" w:cs="Arial" w:eastAsia="Arial" w:hAnsi="Arial"/>
                <w:sz w:val="15"/>
                <w:szCs w:val="15"/>
                <w:b w:val="1"/>
                <w:bCs w:val="1"/>
                <w:color w:val="auto"/>
              </w:rPr>
              <w:t>Balance at September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8"/>
              </w:rPr>
              <w:t>163,627,651</w:t>
            </w:r>
          </w:p>
        </w:tc>
        <w:tc>
          <w:tcPr>
            <w:tcW w:w="8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$ 1,636</w:t>
            </w: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(29,302,541)</w:t>
            </w:r>
          </w:p>
        </w:tc>
        <w:tc>
          <w:tcPr>
            <w:tcW w:w="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94"/>
              </w:rPr>
              <w:t>$</w:t>
            </w:r>
            <w:r>
              <w:rPr>
                <w:rFonts w:ascii="Arial" w:cs="Arial" w:eastAsia="Arial" w:hAnsi="Arial"/>
                <w:sz w:val="15"/>
                <w:szCs w:val="15"/>
                <w:color w:val="auto"/>
                <w:w w:val="94"/>
              </w:rPr>
              <w:t>(1,433,136)</w:t>
            </w:r>
          </w:p>
        </w:tc>
        <w:tc>
          <w:tcPr>
            <w:tcW w:w="6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2"/>
              </w:rPr>
              <w:t>$ 600,930</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90"/>
              </w:rPr>
              <w:t>$ 1,902,667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(23,999)</w:t>
            </w: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0"/>
              </w:rPr>
              <w:t>$ 1,048,098</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240" w:hanging="237"/>
        <w:spacing w:after="0"/>
        <w:tabs>
          <w:tab w:leader="none" w:pos="240" w:val="left"/>
        </w:tabs>
        <w:numPr>
          <w:ilvl w:val="0"/>
          <w:numId w:val="2"/>
        </w:numPr>
        <w:rPr>
          <w:rFonts w:ascii="Arial" w:cs="Arial" w:eastAsia="Arial" w:hAnsi="Arial"/>
          <w:sz w:val="15"/>
          <w:szCs w:val="15"/>
          <w:color w:val="auto"/>
        </w:rPr>
      </w:pPr>
      <w:r>
        <w:rPr>
          <w:rFonts w:ascii="Arial" w:cs="Arial" w:eastAsia="Arial" w:hAnsi="Arial"/>
          <w:sz w:val="15"/>
          <w:szCs w:val="15"/>
          <w:color w:val="auto"/>
        </w:rPr>
        <w:t>During the six months ended September 30, 2021, the Company purchased 2.4 million shares of the Company’s Class A Common Stock in a series of open</w:t>
      </w:r>
    </w:p>
    <w:p>
      <w:pPr>
        <w:spacing w:after="0" w:line="43" w:lineRule="exact"/>
        <w:rPr>
          <w:rFonts w:ascii="Arial" w:cs="Arial" w:eastAsia="Arial" w:hAnsi="Arial"/>
          <w:sz w:val="15"/>
          <w:szCs w:val="15"/>
          <w:color w:val="auto"/>
        </w:rPr>
      </w:pPr>
    </w:p>
    <w:p>
      <w:pPr>
        <w:ind w:right="140"/>
        <w:spacing w:after="0" w:line="263" w:lineRule="auto"/>
        <w:rPr>
          <w:rFonts w:ascii="Arial" w:cs="Arial" w:eastAsia="Arial" w:hAnsi="Arial"/>
          <w:sz w:val="15"/>
          <w:szCs w:val="15"/>
          <w:color w:val="auto"/>
        </w:rPr>
      </w:pPr>
      <w:r>
        <w:rPr>
          <w:rFonts w:ascii="Arial" w:cs="Arial" w:eastAsia="Arial" w:hAnsi="Arial"/>
          <w:sz w:val="17"/>
          <w:szCs w:val="17"/>
          <w:color w:val="auto"/>
        </w:rPr>
        <w:t>market transactions for $203.7 million. Additionally, the Company repurchased shares for $13.3 million during the six months ended September 30, 2021 to cover the minimum statutory withholding taxes on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 (UNAUDITED) [CONTINUED]</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4300" w:type="dxa"/>
            <w:vAlign w:val="bottom"/>
          </w:tcPr>
          <w:p>
            <w:pPr>
              <w:spacing w:after="0"/>
              <w:rPr>
                <w:sz w:val="12"/>
                <w:szCs w:val="12"/>
                <w:color w:val="auto"/>
              </w:rPr>
            </w:pPr>
          </w:p>
        </w:tc>
        <w:tc>
          <w:tcPr>
            <w:tcW w:w="940" w:type="dxa"/>
            <w:vAlign w:val="bottom"/>
            <w:gridSpan w:val="2"/>
          </w:tcPr>
          <w:p>
            <w:pPr>
              <w:ind w:left="560"/>
              <w:spacing w:after="0"/>
              <w:rPr>
                <w:sz w:val="20"/>
                <w:szCs w:val="20"/>
                <w:color w:val="auto"/>
              </w:rPr>
            </w:pPr>
            <w:r>
              <w:rPr>
                <w:rFonts w:ascii="Arial" w:cs="Arial" w:eastAsia="Arial" w:hAnsi="Arial"/>
                <w:sz w:val="12"/>
                <w:szCs w:val="12"/>
                <w:b w:val="1"/>
                <w:bCs w:val="1"/>
                <w:color w:val="auto"/>
                <w:w w:val="81"/>
              </w:rPr>
              <w:t>Class A</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5"/>
          </w:tcPr>
          <w:p>
            <w:pPr>
              <w:ind w:left="680"/>
              <w:spacing w:after="0"/>
              <w:rPr>
                <w:sz w:val="20"/>
                <w:szCs w:val="20"/>
                <w:color w:val="auto"/>
              </w:rPr>
            </w:pPr>
            <w:r>
              <w:rPr>
                <w:rFonts w:ascii="Arial" w:cs="Arial" w:eastAsia="Arial" w:hAnsi="Arial"/>
                <w:sz w:val="12"/>
                <w:szCs w:val="12"/>
                <w:b w:val="1"/>
                <w:bCs w:val="1"/>
                <w:color w:val="auto"/>
              </w:rPr>
              <w:t>Treasury</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1"/>
              </w:rPr>
              <w:t>Additional</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700" w:type="dxa"/>
            <w:vAlign w:val="bottom"/>
            <w:vMerge w:val="restart"/>
          </w:tcPr>
          <w:p>
            <w:pPr>
              <w:jc w:val="center"/>
              <w:ind w:right="85"/>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5"/>
        </w:trPr>
        <w:tc>
          <w:tcPr>
            <w:tcW w:w="4300" w:type="dxa"/>
            <w:vAlign w:val="bottom"/>
          </w:tcPr>
          <w:p>
            <w:pPr>
              <w:spacing w:after="0"/>
              <w:rPr>
                <w:sz w:val="10"/>
                <w:szCs w:val="10"/>
                <w:color w:val="auto"/>
              </w:rPr>
            </w:pPr>
          </w:p>
        </w:tc>
        <w:tc>
          <w:tcPr>
            <w:tcW w:w="1580" w:type="dxa"/>
            <w:vAlign w:val="bottom"/>
            <w:gridSpan w:val="4"/>
          </w:tcPr>
          <w:p>
            <w:pPr>
              <w:ind w:left="360"/>
              <w:spacing w:after="0" w:line="115" w:lineRule="exact"/>
              <w:rPr>
                <w:sz w:val="20"/>
                <w:szCs w:val="20"/>
                <w:color w:val="auto"/>
              </w:rPr>
            </w:pPr>
            <w:r>
              <w:rPr>
                <w:rFonts w:ascii="Arial" w:cs="Arial" w:eastAsia="Arial" w:hAnsi="Arial"/>
                <w:sz w:val="12"/>
                <w:szCs w:val="12"/>
                <w:b w:val="1"/>
                <w:bCs w:val="1"/>
                <w:color w:val="auto"/>
              </w:rPr>
              <w:t>Common Stock</w:t>
            </w:r>
          </w:p>
        </w:tc>
        <w:tc>
          <w:tcPr>
            <w:tcW w:w="1080" w:type="dxa"/>
            <w:vAlign w:val="bottom"/>
            <w:gridSpan w:val="3"/>
          </w:tcPr>
          <w:p>
            <w:pPr>
              <w:jc w:val="right"/>
              <w:spacing w:after="0" w:line="115" w:lineRule="exact"/>
              <w:rPr>
                <w:sz w:val="20"/>
                <w:szCs w:val="20"/>
                <w:color w:val="auto"/>
              </w:rPr>
            </w:pPr>
            <w:r>
              <w:rPr>
                <w:rFonts w:ascii="Arial" w:cs="Arial" w:eastAsia="Arial" w:hAnsi="Arial"/>
                <w:sz w:val="12"/>
                <w:szCs w:val="12"/>
                <w:b w:val="1"/>
                <w:bCs w:val="1"/>
                <w:color w:val="auto"/>
              </w:rPr>
              <w:t>Stock</w:t>
            </w: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center"/>
              <w:ind w:right="280"/>
              <w:spacing w:after="0" w:line="115"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4300" w:type="dxa"/>
            <w:vAlign w:val="bottom"/>
          </w:tcPr>
          <w:p>
            <w:pPr>
              <w:ind w:left="20"/>
              <w:spacing w:after="0" w:line="52" w:lineRule="exact"/>
              <w:rPr>
                <w:sz w:val="20"/>
                <w:szCs w:val="20"/>
                <w:color w:val="auto"/>
              </w:rPr>
            </w:pPr>
            <w:r>
              <w:rPr>
                <w:rFonts w:ascii="Arial" w:cs="Arial" w:eastAsia="Arial" w:hAnsi="Arial"/>
                <w:sz w:val="5"/>
                <w:szCs w:val="5"/>
                <w:b w:val="1"/>
                <w:bCs w:val="1"/>
                <w:color w:val="auto"/>
              </w:rPr>
              <w:t>(Amounts in thousands, except</w:t>
            </w: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tcPr>
          <w:p>
            <w:pPr>
              <w:jc w:val="center"/>
              <w:ind w:right="80"/>
              <w:spacing w:after="0" w:line="52" w:lineRule="exact"/>
              <w:rPr>
                <w:sz w:val="20"/>
                <w:szCs w:val="20"/>
                <w:color w:val="auto"/>
              </w:rPr>
            </w:pPr>
            <w:r>
              <w:rPr>
                <w:rFonts w:ascii="Arial" w:cs="Arial" w:eastAsia="Arial" w:hAnsi="Arial"/>
                <w:sz w:val="5"/>
                <w:szCs w:val="5"/>
                <w:b w:val="1"/>
                <w:bCs w:val="1"/>
                <w:color w:val="auto"/>
              </w:rPr>
              <w:t>Paid-In</w:t>
            </w:r>
          </w:p>
        </w:tc>
        <w:tc>
          <w:tcPr>
            <w:tcW w:w="900" w:type="dxa"/>
            <w:vAlign w:val="bottom"/>
            <w:gridSpan w:val="2"/>
          </w:tcPr>
          <w:p>
            <w:pPr>
              <w:ind w:left="180"/>
              <w:spacing w:after="0" w:line="52" w:lineRule="exact"/>
              <w:rPr>
                <w:sz w:val="20"/>
                <w:szCs w:val="20"/>
                <w:color w:val="auto"/>
              </w:rPr>
            </w:pPr>
            <w:r>
              <w:rPr>
                <w:rFonts w:ascii="Arial" w:cs="Arial" w:eastAsia="Arial" w:hAnsi="Arial"/>
                <w:sz w:val="5"/>
                <w:szCs w:val="5"/>
                <w:b w:val="1"/>
                <w:bCs w:val="1"/>
                <w:color w:val="auto"/>
              </w:rPr>
              <w:t>Retained</w:t>
            </w:r>
          </w:p>
        </w:tc>
        <w:tc>
          <w:tcPr>
            <w:tcW w:w="940" w:type="dxa"/>
            <w:vAlign w:val="bottom"/>
            <w:gridSpan w:val="3"/>
          </w:tcPr>
          <w:p>
            <w:pPr>
              <w:ind w:left="20"/>
              <w:spacing w:after="0" w:line="52" w:lineRule="exact"/>
              <w:rPr>
                <w:sz w:val="20"/>
                <w:szCs w:val="20"/>
                <w:color w:val="auto"/>
              </w:rPr>
            </w:pPr>
            <w:r>
              <w:rPr>
                <w:rFonts w:ascii="Arial" w:cs="Arial" w:eastAsia="Arial" w:hAnsi="Arial"/>
                <w:sz w:val="5"/>
                <w:szCs w:val="5"/>
                <w:b w:val="1"/>
                <w:bCs w:val="1"/>
                <w:color w:val="auto"/>
              </w:rPr>
              <w:t>Comprehensive</w:t>
            </w:r>
          </w:p>
        </w:tc>
        <w:tc>
          <w:tcPr>
            <w:tcW w:w="820" w:type="dxa"/>
            <w:vAlign w:val="bottom"/>
            <w:gridSpan w:val="2"/>
          </w:tcPr>
          <w:p>
            <w:pPr>
              <w:jc w:val="center"/>
              <w:spacing w:after="0" w:line="52" w:lineRule="exact"/>
              <w:rPr>
                <w:sz w:val="20"/>
                <w:szCs w:val="20"/>
                <w:color w:val="auto"/>
              </w:rPr>
            </w:pPr>
            <w:r>
              <w:rPr>
                <w:rFonts w:ascii="Arial" w:cs="Arial" w:eastAsia="Arial" w:hAnsi="Arial"/>
                <w:sz w:val="5"/>
                <w:szCs w:val="5"/>
                <w:b w:val="1"/>
                <w:bCs w:val="1"/>
                <w:color w:val="auto"/>
              </w:rPr>
              <w:t>Stockholders’</w:t>
            </w:r>
          </w:p>
        </w:tc>
        <w:tc>
          <w:tcPr>
            <w:tcW w:w="0" w:type="dxa"/>
            <w:vAlign w:val="bottom"/>
          </w:tcPr>
          <w:p>
            <w:pPr>
              <w:spacing w:after="0"/>
              <w:rPr>
                <w:sz w:val="1"/>
                <w:szCs w:val="1"/>
                <w:color w:val="auto"/>
              </w:rPr>
            </w:pPr>
          </w:p>
        </w:tc>
      </w:tr>
      <w:tr>
        <w:trPr>
          <w:trHeight w:val="179"/>
        </w:trPr>
        <w:tc>
          <w:tcPr>
            <w:tcW w:w="4300" w:type="dxa"/>
            <w:vAlign w:val="bottom"/>
          </w:tcPr>
          <w:p>
            <w:pPr>
              <w:ind w:left="20"/>
              <w:spacing w:after="0"/>
              <w:rPr>
                <w:sz w:val="20"/>
                <w:szCs w:val="20"/>
                <w:color w:val="auto"/>
              </w:rPr>
            </w:pPr>
            <w:r>
              <w:rPr>
                <w:rFonts w:ascii="Arial" w:cs="Arial" w:eastAsia="Arial" w:hAnsi="Arial"/>
                <w:sz w:val="12"/>
                <w:szCs w:val="12"/>
                <w:b w:val="1"/>
                <w:bCs w:val="1"/>
                <w:color w:val="auto"/>
              </w:rPr>
              <w:t>share data)</w:t>
            </w:r>
          </w:p>
        </w:tc>
        <w:tc>
          <w:tcPr>
            <w:tcW w:w="940" w:type="dxa"/>
            <w:vAlign w:val="bottom"/>
            <w:gridSpan w:val="2"/>
          </w:tcPr>
          <w:p>
            <w:pPr>
              <w:ind w:left="26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Capital</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Earnings</w:t>
            </w:r>
          </w:p>
        </w:tc>
        <w:tc>
          <w:tcPr>
            <w:tcW w:w="9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8"/>
              </w:rPr>
              <w:t>Income (Loss)</w:t>
            </w:r>
          </w:p>
        </w:tc>
        <w:tc>
          <w:tcPr>
            <w:tcW w:w="120" w:type="dxa"/>
            <w:vAlign w:val="bottom"/>
          </w:tcPr>
          <w:p>
            <w:pPr>
              <w:spacing w:after="0"/>
              <w:rPr>
                <w:sz w:val="15"/>
                <w:szCs w:val="15"/>
                <w:color w:val="auto"/>
              </w:rPr>
            </w:pPr>
          </w:p>
        </w:tc>
        <w:tc>
          <w:tcPr>
            <w:tcW w:w="700" w:type="dxa"/>
            <w:vAlign w:val="bottom"/>
          </w:tcPr>
          <w:p>
            <w:pPr>
              <w:jc w:val="center"/>
              <w:ind w:right="85"/>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204"/>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June 30,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161,856,727</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$ 1,618</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(23,659,991)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(973,601)</w:t>
            </w: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$ 486,739</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0"/>
              </w:rPr>
              <w:t>$ 1,415,129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(47,418)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882,467</w:t>
            </w: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5"/>
                <w:szCs w:val="15"/>
                <w:color w:val="auto"/>
              </w:rPr>
              <w:t>81,482</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4,667</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4,669</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 options 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141,125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3,367</w:t>
            </w: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Repurchase of common stock</w:t>
            </w:r>
          </w:p>
        </w:tc>
        <w:tc>
          <w:tcPr>
            <w:tcW w:w="9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(394,742)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(30,049)</w:t>
            </w:r>
          </w:p>
        </w:tc>
        <w:tc>
          <w:tcPr>
            <w:tcW w:w="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(30,049)</w:t>
            </w:r>
          </w:p>
        </w:tc>
        <w:tc>
          <w:tcPr>
            <w:tcW w:w="0" w:type="dxa"/>
            <w:vAlign w:val="bottom"/>
          </w:tcPr>
          <w:p>
            <w:pPr>
              <w:spacing w:after="0"/>
              <w:rPr>
                <w:sz w:val="1"/>
                <w:szCs w:val="1"/>
                <w:color w:val="auto"/>
              </w:rPr>
            </w:pPr>
          </w:p>
        </w:tc>
      </w:tr>
      <w:tr>
        <w:trPr>
          <w:trHeight w:val="161"/>
        </w:trPr>
        <w:tc>
          <w:tcPr>
            <w:tcW w:w="4300" w:type="dxa"/>
            <w:vAlign w:val="bottom"/>
            <w:shd w:val="clear" w:color="auto" w:fill="CCEEFF"/>
          </w:tcPr>
          <w:p>
            <w:pPr>
              <w:ind w:left="140"/>
              <w:spacing w:after="0" w:line="161" w:lineRule="exact"/>
              <w:rPr>
                <w:sz w:val="20"/>
                <w:szCs w:val="20"/>
                <w:color w:val="auto"/>
              </w:rPr>
            </w:pPr>
            <w:r>
              <w:rPr>
                <w:rFonts w:ascii="Arial" w:cs="Arial" w:eastAsia="Arial" w:hAnsi="Arial"/>
                <w:sz w:val="15"/>
                <w:szCs w:val="15"/>
                <w:color w:val="auto"/>
              </w:rPr>
              <w:t>Recognition of liability related to future restricted stock units</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0"/>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vesting</w:t>
            </w:r>
          </w:p>
        </w:tc>
        <w:tc>
          <w:tcPr>
            <w:tcW w:w="940" w:type="dxa"/>
            <w:vAlign w:val="bottom"/>
            <w:gridSpan w:val="2"/>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9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136,081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136,081</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comprehensive income, net of tax</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3,686</w:t>
            </w: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Dividends paid of $0.31 per share of common stock</w:t>
            </w:r>
          </w:p>
        </w:tc>
        <w:tc>
          <w:tcPr>
            <w:tcW w:w="9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(43,004)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(43,004)</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Stock-based compensation expense</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14,799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14,799</w:t>
            </w:r>
          </w:p>
        </w:tc>
        <w:tc>
          <w:tcPr>
            <w:tcW w:w="0" w:type="dxa"/>
            <w:vAlign w:val="bottom"/>
          </w:tcPr>
          <w:p>
            <w:pPr>
              <w:spacing w:after="0"/>
              <w:rPr>
                <w:sz w:val="1"/>
                <w:szCs w:val="1"/>
                <w:color w:val="auto"/>
              </w:rPr>
            </w:pPr>
          </w:p>
        </w:tc>
      </w:tr>
      <w:tr>
        <w:trPr>
          <w:trHeight w:val="193"/>
        </w:trPr>
        <w:tc>
          <w:tcPr>
            <w:tcW w:w="4300" w:type="dxa"/>
            <w:vAlign w:val="bottom"/>
          </w:tcPr>
          <w:p>
            <w:pPr>
              <w:ind w:left="20"/>
              <w:spacing w:after="0"/>
              <w:rPr>
                <w:sz w:val="20"/>
                <w:szCs w:val="20"/>
                <w:color w:val="auto"/>
              </w:rPr>
            </w:pPr>
            <w:r>
              <w:rPr>
                <w:rFonts w:ascii="Arial" w:cs="Arial" w:eastAsia="Arial" w:hAnsi="Arial"/>
                <w:sz w:val="15"/>
                <w:szCs w:val="15"/>
                <w:b w:val="1"/>
                <w:bCs w:val="1"/>
                <w:color w:val="auto"/>
              </w:rPr>
              <w:t>Balance at September 30, 2020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8"/>
              </w:rPr>
              <w:t>162,079,334</w:t>
            </w:r>
          </w:p>
        </w:tc>
        <w:tc>
          <w:tcPr>
            <w:tcW w:w="80" w:type="dxa"/>
            <w:vAlign w:val="bottom"/>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$ 1,621</w:t>
            </w:r>
          </w:p>
        </w:tc>
        <w:tc>
          <w:tcPr>
            <w:tcW w:w="8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(24,054,733)</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1"/>
              </w:rPr>
              <w:t>(1,003,650)</w:t>
            </w:r>
          </w:p>
        </w:tc>
        <w:tc>
          <w:tcPr>
            <w:tcW w:w="6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2"/>
              </w:rPr>
              <w:t>$ 509,512</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90"/>
              </w:rPr>
              <w:t>$ 1,508,206</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(43,732)</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971,957</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161,333,973</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$ 1,613</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(22,614,052)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(898,095)</w:t>
            </w:r>
          </w:p>
        </w:tc>
        <w:tc>
          <w:tcPr>
            <w:tcW w:w="6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$ 468,027</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0"/>
              </w:rPr>
              <w:t>$ 1,330,812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(46,001)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856,356</w:t>
            </w:r>
          </w:p>
        </w:tc>
        <w:tc>
          <w:tcPr>
            <w:tcW w:w="0" w:type="dxa"/>
            <w:vAlign w:val="bottom"/>
          </w:tcPr>
          <w:p>
            <w:pPr>
              <w:spacing w:after="0"/>
              <w:rPr>
                <w:sz w:val="1"/>
                <w:szCs w:val="1"/>
                <w:color w:val="auto"/>
              </w:rPr>
            </w:pPr>
          </w:p>
        </w:tc>
      </w:tr>
      <w:tr>
        <w:trPr>
          <w:trHeight w:val="195"/>
        </w:trPr>
        <w:tc>
          <w:tcPr>
            <w:tcW w:w="4300" w:type="dxa"/>
            <w:vAlign w:val="bottom"/>
          </w:tcPr>
          <w:p>
            <w:pPr>
              <w:ind w:left="140"/>
              <w:spacing w:after="0"/>
              <w:rPr>
                <w:sz w:val="20"/>
                <w:szCs w:val="20"/>
                <w:color w:val="auto"/>
              </w:rPr>
            </w:pPr>
            <w:r>
              <w:rPr>
                <w:rFonts w:ascii="Arial" w:cs="Arial" w:eastAsia="Arial" w:hAnsi="Arial"/>
                <w:sz w:val="15"/>
                <w:szCs w:val="15"/>
                <w:color w:val="auto"/>
              </w:rPr>
              <w:t>Topic 326 adoption impact</w:t>
            </w: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(1,180)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(1,180)</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443,338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9,092</w:t>
            </w: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Stock options exercised</w:t>
            </w:r>
          </w:p>
        </w:tc>
        <w:tc>
          <w:tcPr>
            <w:tcW w:w="860" w:type="dxa"/>
            <w:vAlign w:val="bottom"/>
          </w:tcPr>
          <w:p>
            <w:pPr>
              <w:jc w:val="right"/>
              <w:spacing w:after="0"/>
              <w:rPr>
                <w:sz w:val="20"/>
                <w:szCs w:val="20"/>
                <w:color w:val="auto"/>
              </w:rPr>
            </w:pPr>
            <w:r>
              <w:rPr>
                <w:rFonts w:ascii="Arial" w:cs="Arial" w:eastAsia="Arial" w:hAnsi="Arial"/>
                <w:sz w:val="15"/>
                <w:szCs w:val="15"/>
                <w:color w:val="auto"/>
              </w:rPr>
              <w:t>302,023</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6,489</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6,492</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 of common stock (2)</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(1,440,681)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(105,555)</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(105,555)</w:t>
            </w:r>
          </w:p>
        </w:tc>
        <w:tc>
          <w:tcPr>
            <w:tcW w:w="0" w:type="dxa"/>
            <w:vAlign w:val="bottom"/>
          </w:tcPr>
          <w:p>
            <w:pPr>
              <w:spacing w:after="0"/>
              <w:rPr>
                <w:sz w:val="1"/>
                <w:szCs w:val="1"/>
                <w:color w:val="auto"/>
              </w:rPr>
            </w:pPr>
          </w:p>
        </w:tc>
      </w:tr>
      <w:tr>
        <w:trPr>
          <w:trHeight w:val="159"/>
        </w:trPr>
        <w:tc>
          <w:tcPr>
            <w:tcW w:w="4300" w:type="dxa"/>
            <w:vAlign w:val="bottom"/>
          </w:tcPr>
          <w:p>
            <w:pPr>
              <w:ind w:left="140"/>
              <w:spacing w:after="0" w:line="159" w:lineRule="exact"/>
              <w:rPr>
                <w:sz w:val="20"/>
                <w:szCs w:val="20"/>
                <w:color w:val="auto"/>
              </w:rPr>
            </w:pPr>
            <w:r>
              <w:rPr>
                <w:rFonts w:ascii="Arial" w:cs="Arial" w:eastAsia="Arial" w:hAnsi="Arial"/>
                <w:sz w:val="15"/>
                <w:szCs w:val="15"/>
                <w:color w:val="auto"/>
              </w:rPr>
              <w:t>Recognition of liability related to future restricted stock units</w:t>
            </w: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280</w:t>
            </w:r>
          </w:p>
        </w:tc>
        <w:tc>
          <w:tcPr>
            <w:tcW w:w="8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98"/>
        </w:trPr>
        <w:tc>
          <w:tcPr>
            <w:tcW w:w="4300" w:type="dxa"/>
            <w:vAlign w:val="bottom"/>
          </w:tcPr>
          <w:p>
            <w:pPr>
              <w:ind w:left="140"/>
              <w:spacing w:after="0"/>
              <w:rPr>
                <w:sz w:val="20"/>
                <w:szCs w:val="20"/>
                <w:color w:val="auto"/>
              </w:rPr>
            </w:pPr>
            <w:r>
              <w:rPr>
                <w:rFonts w:ascii="Arial" w:cs="Arial" w:eastAsia="Arial" w:hAnsi="Arial"/>
                <w:sz w:val="15"/>
                <w:szCs w:val="15"/>
                <w:color w:val="auto"/>
              </w:rPr>
              <w:t>vesting</w:t>
            </w:r>
          </w:p>
        </w:tc>
        <w:tc>
          <w:tcPr>
            <w:tcW w:w="94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265,410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265,410</w:t>
            </w: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Other comprehensive income, net of tax</w:t>
            </w:r>
          </w:p>
        </w:tc>
        <w:tc>
          <w:tcPr>
            <w:tcW w:w="9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2,269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2,269</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Dividends paid of $0.62 per share of common stock</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(86,836)</w:t>
            </w:r>
          </w:p>
        </w:tc>
        <w:tc>
          <w:tcPr>
            <w:tcW w:w="0" w:type="dxa"/>
            <w:vAlign w:val="bottom"/>
          </w:tcPr>
          <w:p>
            <w:pPr>
              <w:spacing w:after="0"/>
              <w:rPr>
                <w:sz w:val="1"/>
                <w:szCs w:val="1"/>
                <w:color w:val="auto"/>
              </w:rPr>
            </w:pPr>
          </w:p>
        </w:tc>
      </w:tr>
      <w:tr>
        <w:trPr>
          <w:trHeight w:val="202"/>
        </w:trPr>
        <w:tc>
          <w:tcPr>
            <w:tcW w:w="4300" w:type="dxa"/>
            <w:vAlign w:val="bottom"/>
          </w:tcPr>
          <w:p>
            <w:pPr>
              <w:ind w:left="140"/>
              <w:spacing w:after="0"/>
              <w:rPr>
                <w:sz w:val="20"/>
                <w:szCs w:val="20"/>
                <w:color w:val="auto"/>
              </w:rPr>
            </w:pPr>
            <w:r>
              <w:rPr>
                <w:rFonts w:ascii="Arial" w:cs="Arial" w:eastAsia="Arial" w:hAnsi="Arial"/>
                <w:sz w:val="15"/>
                <w:szCs w:val="15"/>
                <w:color w:val="auto"/>
              </w:rPr>
              <w:t>Stock-based compensation expense</w:t>
            </w:r>
          </w:p>
        </w:tc>
        <w:tc>
          <w:tcPr>
            <w:tcW w:w="940" w:type="dxa"/>
            <w:vAlign w:val="bottom"/>
            <w:gridSpan w:val="2"/>
          </w:tcPr>
          <w:p>
            <w:pPr>
              <w:ind w:left="6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25,629</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25,629</w:t>
            </w:r>
          </w:p>
        </w:tc>
        <w:tc>
          <w:tcPr>
            <w:tcW w:w="0" w:type="dxa"/>
            <w:vAlign w:val="bottom"/>
          </w:tcPr>
          <w:p>
            <w:pPr>
              <w:spacing w:after="0"/>
              <w:rPr>
                <w:sz w:val="1"/>
                <w:szCs w:val="1"/>
                <w:color w:val="auto"/>
              </w:rPr>
            </w:pPr>
          </w:p>
        </w:tc>
      </w:tr>
      <w:tr>
        <w:trPr>
          <w:trHeight w:val="198"/>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September 30,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162,079,334</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$ 1,621</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(24,054,733)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(1,003,650)</w:t>
            </w: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$ 509,512</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90"/>
              </w:rPr>
              <w:t>$ 1,508,206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(43,732)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971,957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60" w:firstLine="3"/>
        <w:spacing w:after="0" w:line="264" w:lineRule="auto"/>
        <w:tabs>
          <w:tab w:leader="none" w:pos="242"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six months ended September 30, 2020, the Company purchased 1.3 million shares of the Company’s Class A Common Stock in a series of open market transactions for $96.4 million. Additionally, the Company repurchased shares for $9.2 million during the six months ended September 30, 2020 to cover the minimum statutory withholding taxes on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OVERVIEW</w:t>
      </w:r>
    </w:p>
    <w:p>
      <w:pPr>
        <w:spacing w:after="0" w:line="116" w:lineRule="exact"/>
        <w:rPr>
          <w:sz w:val="20"/>
          <w:szCs w:val="20"/>
          <w:color w:val="auto"/>
        </w:rPr>
      </w:pPr>
    </w:p>
    <w:p>
      <w:pPr>
        <w:jc w:val="both"/>
        <w:ind w:right="140" w:firstLine="385"/>
        <w:spacing w:after="0" w:line="281" w:lineRule="auto"/>
        <w:rPr>
          <w:sz w:val="20"/>
          <w:szCs w:val="20"/>
          <w:color w:val="auto"/>
        </w:rPr>
      </w:pPr>
      <w:r>
        <w:rPr>
          <w:rFonts w:ascii="Arial" w:cs="Arial" w:eastAsia="Arial" w:hAnsi="Arial"/>
          <w:sz w:val="16"/>
          <w:szCs w:val="16"/>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29,200 employees as of September 30, 2021.</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w:t>
      </w:r>
    </w:p>
    <w:p>
      <w:pPr>
        <w:spacing w:after="0" w:line="116" w:lineRule="exact"/>
        <w:rPr>
          <w:sz w:val="20"/>
          <w:szCs w:val="20"/>
          <w:color w:val="auto"/>
        </w:rPr>
      </w:pPr>
    </w:p>
    <w:p>
      <w:pPr>
        <w:ind w:firstLine="385"/>
        <w:spacing w:after="0" w:line="25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2021.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six months ended September 30, 2021 are not necessarily indicative of results to be expected for the full fiscal year.</w:t>
      </w:r>
    </w:p>
    <w:p>
      <w:pPr>
        <w:spacing w:after="0" w:line="82" w:lineRule="exact"/>
        <w:rPr>
          <w:sz w:val="20"/>
          <w:szCs w:val="20"/>
          <w:color w:val="auto"/>
        </w:rPr>
      </w:pPr>
    </w:p>
    <w:p>
      <w:pPr>
        <w:jc w:val="both"/>
        <w:ind w:right="240" w:firstLine="385"/>
        <w:spacing w:after="0" w:line="264" w:lineRule="auto"/>
        <w:rPr>
          <w:sz w:val="20"/>
          <w:szCs w:val="20"/>
          <w:color w:val="auto"/>
        </w:rPr>
      </w:pPr>
      <w:r>
        <w:rPr>
          <w:rFonts w:ascii="Arial" w:cs="Arial" w:eastAsia="Arial" w:hAnsi="Arial"/>
          <w:sz w:val="17"/>
          <w:szCs w:val="17"/>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3" w:lineRule="exact"/>
        <w:rPr>
          <w:sz w:val="20"/>
          <w:szCs w:val="20"/>
          <w:color w:val="auto"/>
        </w:rPr>
      </w:pPr>
    </w:p>
    <w:p>
      <w:pPr>
        <w:ind w:right="460" w:firstLine="385"/>
        <w:spacing w:after="0" w:line="277" w:lineRule="auto"/>
        <w:rPr>
          <w:sz w:val="20"/>
          <w:szCs w:val="20"/>
          <w:color w:val="auto"/>
        </w:rPr>
      </w:pPr>
      <w:r>
        <w:rPr>
          <w:rFonts w:ascii="Arial" w:cs="Arial" w:eastAsia="Arial" w:hAnsi="Arial"/>
          <w:sz w:val="17"/>
          <w:szCs w:val="17"/>
          <w:color w:val="auto"/>
        </w:rPr>
        <w:t>Certain amounts reported in the Company's prior year condensed consolidated financial statements have been reclassified to conform to the current year presentation.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Accounting Estimates</w:t>
      </w:r>
    </w:p>
    <w:p>
      <w:pPr>
        <w:spacing w:after="0" w:line="112" w:lineRule="exact"/>
        <w:rPr>
          <w:sz w:val="20"/>
          <w:szCs w:val="20"/>
          <w:color w:val="auto"/>
        </w:rPr>
      </w:pPr>
    </w:p>
    <w:p>
      <w:pPr>
        <w:ind w:firstLine="385"/>
        <w:spacing w:after="0" w:line="25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12" w:lineRule="exact"/>
        <w:rPr>
          <w:sz w:val="20"/>
          <w:szCs w:val="20"/>
          <w:color w:val="auto"/>
        </w:rPr>
      </w:pPr>
    </w:p>
    <w:p>
      <w:pPr>
        <w:ind w:right="240" w:firstLine="385"/>
        <w:spacing w:after="0" w:line="264" w:lineRule="auto"/>
        <w:rPr>
          <w:sz w:val="20"/>
          <w:szCs w:val="20"/>
          <w:color w:val="auto"/>
        </w:rPr>
      </w:pPr>
      <w:r>
        <w:rPr>
          <w:rFonts w:ascii="Arial" w:cs="Arial" w:eastAsia="Arial" w:hAnsi="Arial"/>
          <w:sz w:val="17"/>
          <w:szCs w:val="17"/>
          <w:color w:val="auto"/>
        </w:rPr>
        <w:t xml:space="preserve">In November 2020, the SEC issued Release No. 33-10890, </w:t>
      </w:r>
      <w:r>
        <w:rPr>
          <w:rFonts w:ascii="Arial" w:cs="Arial" w:eastAsia="Arial" w:hAnsi="Arial"/>
          <w:sz w:val="17"/>
          <w:szCs w:val="17"/>
          <w:i w:val="1"/>
          <w:iCs w:val="1"/>
          <w:color w:val="auto"/>
        </w:rPr>
        <w:t>Amendments to Management's Discussion and Analysis, Selected Financial Data,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Financial Information</w:t>
      </w:r>
      <w:r>
        <w:rPr>
          <w:rFonts w:ascii="Arial" w:cs="Arial" w:eastAsia="Arial" w:hAnsi="Arial"/>
          <w:sz w:val="17"/>
          <w:szCs w:val="17"/>
          <w:color w:val="auto"/>
        </w:rPr>
        <w:t>, to simplify, modernize and enhance certain financial disclosure requirements in Regulation S-K. This amendment became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on February 10, 2021. The Company’s adoption is expected to impact fiscal 2022 Form 10-K disclosures.</w:t>
      </w:r>
    </w:p>
    <w:p>
      <w:pPr>
        <w:spacing w:after="0" w:line="73" w:lineRule="exact"/>
        <w:rPr>
          <w:sz w:val="20"/>
          <w:szCs w:val="20"/>
          <w:color w:val="auto"/>
        </w:rPr>
      </w:pPr>
    </w:p>
    <w:p>
      <w:pPr>
        <w:ind w:right="380" w:firstLine="385"/>
        <w:spacing w:after="0" w:line="277" w:lineRule="auto"/>
        <w:rPr>
          <w:sz w:val="20"/>
          <w:szCs w:val="20"/>
          <w:color w:val="auto"/>
        </w:rPr>
      </w:pPr>
      <w:r>
        <w:rPr>
          <w:rFonts w:ascii="Arial" w:cs="Arial" w:eastAsia="Arial" w:hAnsi="Arial"/>
          <w:sz w:val="17"/>
          <w:szCs w:val="17"/>
          <w:color w:val="auto"/>
        </w:rPr>
        <w:t>Other accounting and reporting pronouncements effective after September 30, 2021 and issued through the filing date are not expected to have a material impact on the Company's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w:t>
      </w:r>
    </w:p>
    <w:p>
      <w:pPr>
        <w:spacing w:after="0" w:line="116" w:lineRule="exact"/>
        <w:rPr>
          <w:sz w:val="20"/>
          <w:szCs w:val="20"/>
          <w:color w:val="auto"/>
        </w:rPr>
      </w:pPr>
    </w:p>
    <w:p>
      <w:pPr>
        <w:ind w:right="160" w:firstLine="385"/>
        <w:spacing w:after="0" w:line="260" w:lineRule="auto"/>
        <w:rPr>
          <w:sz w:val="20"/>
          <w:szCs w:val="20"/>
          <w:color w:val="auto"/>
        </w:rPr>
      </w:pPr>
      <w:r>
        <w:rPr>
          <w:rFonts w:ascii="Arial" w:cs="Arial" w:eastAsia="Arial" w:hAnsi="Arial"/>
          <w:sz w:val="17"/>
          <w:szCs w:val="17"/>
          <w:color w:val="auto"/>
        </w:rPr>
        <w:t>The Company's revenues from contracts with customers (clients) are derived from offerings that include consulting, analytics, digital solutions, engineering, mission,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 contracts, time-and-materials contracts, and fixed-price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Contract Estimates</w:t>
      </w:r>
    </w:p>
    <w:p>
      <w:pPr>
        <w:spacing w:after="0" w:line="112" w:lineRule="exact"/>
        <w:rPr>
          <w:sz w:val="20"/>
          <w:szCs w:val="20"/>
          <w:color w:val="auto"/>
        </w:rPr>
      </w:pPr>
    </w:p>
    <w:p>
      <w:pPr>
        <w:ind w:right="100" w:firstLine="385"/>
        <w:spacing w:after="0" w:line="272" w:lineRule="auto"/>
        <w:rPr>
          <w:sz w:val="20"/>
          <w:szCs w:val="20"/>
          <w:color w:val="auto"/>
        </w:rPr>
      </w:pPr>
      <w:r>
        <w:rPr>
          <w:rFonts w:ascii="Arial" w:cs="Arial" w:eastAsia="Arial" w:hAnsi="Arial"/>
          <w:sz w:val="16"/>
          <w:szCs w:val="16"/>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the completion of our performance obligations is subjective and requires management to make assumptions about future activity and cost drivers under the contract. Changes in these estimates can occur for a variety of reasons and, if significant, may impact the revenue and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and six months ended September 30, 2021 and 2020, the aggregate impact of adjustments in contract estimates was not material.</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Disaggregation of Revenue</w:t>
      </w:r>
    </w:p>
    <w:p>
      <w:pPr>
        <w:spacing w:after="0" w:line="112" w:lineRule="exact"/>
        <w:rPr>
          <w:sz w:val="20"/>
          <w:szCs w:val="20"/>
          <w:color w:val="auto"/>
        </w:rPr>
      </w:pPr>
    </w:p>
    <w:p>
      <w:pPr>
        <w:ind w:right="260" w:firstLine="385"/>
        <w:spacing w:after="0" w:line="264" w:lineRule="auto"/>
        <w:rPr>
          <w:sz w:val="20"/>
          <w:szCs w:val="20"/>
          <w:color w:val="auto"/>
        </w:rPr>
      </w:pPr>
      <w:r>
        <w:rPr>
          <w:rFonts w:ascii="Arial" w:cs="Arial" w:eastAsia="Arial" w:hAnsi="Arial"/>
          <w:sz w:val="17"/>
          <w:szCs w:val="17"/>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Revenue by Contract Type:</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generate revenue under the following three basic types of contracts:</w:t>
      </w:r>
    </w:p>
    <w:p>
      <w:pPr>
        <w:spacing w:after="0" w:line="112" w:lineRule="exact"/>
        <w:rPr>
          <w:sz w:val="20"/>
          <w:szCs w:val="20"/>
          <w:color w:val="auto"/>
        </w:rPr>
      </w:pPr>
    </w:p>
    <w:p>
      <w:pPr>
        <w:ind w:left="1840" w:right="200" w:hanging="607"/>
        <w:spacing w:after="0" w:line="277" w:lineRule="auto"/>
        <w:tabs>
          <w:tab w:leader="none" w:pos="1836"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61" w:lineRule="exact"/>
        <w:rPr>
          <w:rFonts w:ascii="Arial" w:cs="Arial" w:eastAsia="Arial" w:hAnsi="Arial"/>
          <w:sz w:val="17"/>
          <w:szCs w:val="17"/>
          <w:color w:val="auto"/>
        </w:rPr>
      </w:pPr>
    </w:p>
    <w:p>
      <w:pPr>
        <w:ind w:left="1840" w:right="100" w:hanging="607"/>
        <w:spacing w:after="0" w:line="288" w:lineRule="auto"/>
        <w:tabs>
          <w:tab w:leader="none" w:pos="1836" w:val="left"/>
        </w:tabs>
        <w:numPr>
          <w:ilvl w:val="0"/>
          <w:numId w:val="4"/>
        </w:numPr>
        <w:rPr>
          <w:rFonts w:ascii="Arial" w:cs="Arial" w:eastAsia="Arial" w:hAnsi="Arial"/>
          <w:sz w:val="16"/>
          <w:szCs w:val="16"/>
          <w:color w:val="auto"/>
        </w:rPr>
      </w:pPr>
      <w:r>
        <w:rPr>
          <w:rFonts w:ascii="Arial" w:cs="Arial" w:eastAsia="Arial" w:hAnsi="Arial"/>
          <w:sz w:val="16"/>
          <w:szCs w:val="16"/>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55" w:lineRule="exact"/>
        <w:rPr>
          <w:rFonts w:ascii="Arial" w:cs="Arial" w:eastAsia="Arial" w:hAnsi="Arial"/>
          <w:sz w:val="16"/>
          <w:szCs w:val="16"/>
          <w:color w:val="auto"/>
        </w:rPr>
      </w:pPr>
    </w:p>
    <w:p>
      <w:pPr>
        <w:ind w:left="1840" w:right="100" w:hanging="607"/>
        <w:spacing w:after="0" w:line="264" w:lineRule="auto"/>
        <w:tabs>
          <w:tab w:leader="none" w:pos="1836" w:val="left"/>
        </w:tabs>
        <w:numPr>
          <w:ilvl w:val="0"/>
          <w:numId w:val="4"/>
        </w:numPr>
        <w:rPr>
          <w:rFonts w:ascii="Arial" w:cs="Arial" w:eastAsia="Arial" w:hAnsi="Arial"/>
          <w:sz w:val="17"/>
          <w:szCs w:val="17"/>
          <w:color w:val="auto"/>
        </w:rPr>
      </w:pPr>
      <w:r>
        <w:rPr>
          <w:rFonts w:ascii="Arial" w:cs="Arial" w:eastAsia="Arial" w:hAnsi="Arial"/>
          <w:sz w:val="17"/>
          <w:szCs w:val="17"/>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total revenue for each type of contract: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gridSpan w:val="4"/>
          </w:tcPr>
          <w:p>
            <w:pPr>
              <w:jc w:val="right"/>
              <w:ind w:right="865"/>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60" w:type="dxa"/>
            <w:vAlign w:val="bottom"/>
            <w:gridSpan w:val="4"/>
          </w:tcPr>
          <w:p>
            <w:pPr>
              <w:jc w:val="right"/>
              <w:ind w:right="945"/>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4"/>
                <w:szCs w:val="14"/>
                <w:color w:val="auto"/>
              </w:rPr>
            </w:pPr>
          </w:p>
        </w:tc>
      </w:tr>
      <w:tr>
        <w:trPr>
          <w:trHeight w:val="178"/>
        </w:trPr>
        <w:tc>
          <w:tcPr>
            <w:tcW w:w="2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72"/>
        </w:trPr>
        <w:tc>
          <w:tcPr>
            <w:tcW w:w="20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r>
      <w:tr>
        <w:trPr>
          <w:trHeight w:val="200"/>
        </w:trPr>
        <w:tc>
          <w:tcPr>
            <w:tcW w:w="2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Cost-reimbursable</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1,127,189</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53 %</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95"/>
              </w:rPr>
              <w:t>1,138,501</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56 %</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2,242,614</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55 %</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98"/>
              </w:rPr>
              <w:t>2,230,549</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56 %</w:t>
            </w:r>
          </w:p>
        </w:tc>
      </w:tr>
      <w:tr>
        <w:trPr>
          <w:trHeight w:val="202"/>
        </w:trPr>
        <w:tc>
          <w:tcPr>
            <w:tcW w:w="2020" w:type="dxa"/>
            <w:vAlign w:val="bottom"/>
          </w:tcPr>
          <w:p>
            <w:pPr>
              <w:ind w:left="20"/>
              <w:spacing w:after="0"/>
              <w:rPr>
                <w:sz w:val="20"/>
                <w:szCs w:val="20"/>
                <w:color w:val="auto"/>
              </w:rPr>
            </w:pPr>
            <w:r>
              <w:rPr>
                <w:rFonts w:ascii="Arial" w:cs="Arial" w:eastAsia="Arial" w:hAnsi="Arial"/>
                <w:sz w:val="15"/>
                <w:szCs w:val="15"/>
                <w:color w:val="auto"/>
              </w:rPr>
              <w:t>Time-and-materials</w:t>
            </w:r>
          </w:p>
        </w:tc>
        <w:tc>
          <w:tcPr>
            <w:tcW w:w="280" w:type="dxa"/>
            <w:vAlign w:val="bottom"/>
          </w:tcPr>
          <w:p>
            <w:pPr>
              <w:spacing w:after="0"/>
              <w:rPr>
                <w:sz w:val="17"/>
                <w:szCs w:val="17"/>
                <w:color w:val="auto"/>
              </w:rPr>
            </w:pPr>
          </w:p>
        </w:tc>
        <w:tc>
          <w:tcPr>
            <w:tcW w:w="1160" w:type="dxa"/>
            <w:vAlign w:val="bottom"/>
          </w:tcPr>
          <w:p>
            <w:pPr>
              <w:jc w:val="right"/>
              <w:ind w:right="285"/>
              <w:spacing w:after="0"/>
              <w:rPr>
                <w:sz w:val="20"/>
                <w:szCs w:val="20"/>
                <w:color w:val="auto"/>
              </w:rPr>
            </w:pPr>
            <w:r>
              <w:rPr>
                <w:rFonts w:ascii="Arial" w:cs="Arial" w:eastAsia="Arial" w:hAnsi="Arial"/>
                <w:sz w:val="15"/>
                <w:szCs w:val="15"/>
                <w:color w:val="auto"/>
              </w:rPr>
              <w:t>500,263</w:t>
            </w:r>
          </w:p>
        </w:tc>
        <w:tc>
          <w:tcPr>
            <w:tcW w:w="740" w:type="dxa"/>
            <w:vAlign w:val="bottom"/>
          </w:tcPr>
          <w:p>
            <w:pPr>
              <w:jc w:val="right"/>
              <w:spacing w:after="0"/>
              <w:rPr>
                <w:sz w:val="20"/>
                <w:szCs w:val="20"/>
                <w:color w:val="auto"/>
              </w:rPr>
            </w:pPr>
            <w:r>
              <w:rPr>
                <w:rFonts w:ascii="Arial" w:cs="Arial" w:eastAsia="Arial" w:hAnsi="Arial"/>
                <w:sz w:val="15"/>
                <w:szCs w:val="15"/>
                <w:color w:val="auto"/>
              </w:rPr>
              <w:t>24 %</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ind w:right="345"/>
              <w:spacing w:after="0"/>
              <w:rPr>
                <w:sz w:val="20"/>
                <w:szCs w:val="20"/>
                <w:color w:val="auto"/>
              </w:rPr>
            </w:pPr>
            <w:r>
              <w:rPr>
                <w:rFonts w:ascii="Arial" w:cs="Arial" w:eastAsia="Arial" w:hAnsi="Arial"/>
                <w:sz w:val="15"/>
                <w:szCs w:val="15"/>
                <w:color w:val="auto"/>
              </w:rPr>
              <w:t>504,663</w:t>
            </w:r>
          </w:p>
        </w:tc>
        <w:tc>
          <w:tcPr>
            <w:tcW w:w="700" w:type="dxa"/>
            <w:vAlign w:val="bottom"/>
          </w:tcPr>
          <w:p>
            <w:pPr>
              <w:jc w:val="right"/>
              <w:spacing w:after="0"/>
              <w:rPr>
                <w:sz w:val="20"/>
                <w:szCs w:val="20"/>
                <w:color w:val="auto"/>
              </w:rPr>
            </w:pPr>
            <w:r>
              <w:rPr>
                <w:rFonts w:ascii="Arial" w:cs="Arial" w:eastAsia="Arial" w:hAnsi="Arial"/>
                <w:sz w:val="15"/>
                <w:szCs w:val="15"/>
                <w:color w:val="auto"/>
              </w:rPr>
              <w:t>25 %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365"/>
              <w:spacing w:after="0"/>
              <w:rPr>
                <w:sz w:val="20"/>
                <w:szCs w:val="20"/>
                <w:color w:val="auto"/>
              </w:rPr>
            </w:pPr>
            <w:r>
              <w:rPr>
                <w:rFonts w:ascii="Arial" w:cs="Arial" w:eastAsia="Arial" w:hAnsi="Arial"/>
                <w:sz w:val="15"/>
                <w:szCs w:val="15"/>
                <w:color w:val="auto"/>
              </w:rPr>
              <w:t>997,713</w:t>
            </w:r>
          </w:p>
        </w:tc>
        <w:tc>
          <w:tcPr>
            <w:tcW w:w="700" w:type="dxa"/>
            <w:vAlign w:val="bottom"/>
          </w:tcPr>
          <w:p>
            <w:pPr>
              <w:jc w:val="right"/>
              <w:spacing w:after="0"/>
              <w:rPr>
                <w:sz w:val="20"/>
                <w:szCs w:val="20"/>
                <w:color w:val="auto"/>
              </w:rPr>
            </w:pPr>
            <w:r>
              <w:rPr>
                <w:rFonts w:ascii="Arial" w:cs="Arial" w:eastAsia="Arial" w:hAnsi="Arial"/>
                <w:sz w:val="15"/>
                <w:szCs w:val="15"/>
                <w:color w:val="auto"/>
              </w:rPr>
              <w:t>24 %</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ind w:right="345"/>
              <w:spacing w:after="0"/>
              <w:rPr>
                <w:sz w:val="20"/>
                <w:szCs w:val="20"/>
                <w:color w:val="auto"/>
              </w:rPr>
            </w:pPr>
            <w:r>
              <w:rPr>
                <w:rFonts w:ascii="Arial" w:cs="Arial" w:eastAsia="Arial" w:hAnsi="Arial"/>
                <w:sz w:val="15"/>
                <w:szCs w:val="15"/>
                <w:color w:val="auto"/>
                <w:w w:val="98"/>
              </w:rPr>
              <w:t>1,007,209</w:t>
            </w:r>
          </w:p>
        </w:tc>
        <w:tc>
          <w:tcPr>
            <w:tcW w:w="700" w:type="dxa"/>
            <w:vAlign w:val="bottom"/>
          </w:tcPr>
          <w:p>
            <w:pPr>
              <w:jc w:val="right"/>
              <w:spacing w:after="0"/>
              <w:rPr>
                <w:sz w:val="20"/>
                <w:szCs w:val="20"/>
                <w:color w:val="auto"/>
              </w:rPr>
            </w:pPr>
            <w:r>
              <w:rPr>
                <w:rFonts w:ascii="Arial" w:cs="Arial" w:eastAsia="Arial" w:hAnsi="Arial"/>
                <w:sz w:val="15"/>
                <w:szCs w:val="15"/>
                <w:color w:val="auto"/>
              </w:rPr>
              <w:t>25 %</w:t>
            </w:r>
          </w:p>
        </w:tc>
      </w:tr>
      <w:tr>
        <w:trPr>
          <w:trHeight w:val="208"/>
        </w:trPr>
        <w:tc>
          <w:tcPr>
            <w:tcW w:w="2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Fixed-price</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rPr>
              <w:t>478,586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rPr>
              <w:t>376,021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rPr>
              <w:t>854,777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rPr>
              <w:t>737,880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19 %</w:t>
            </w:r>
          </w:p>
        </w:tc>
      </w:tr>
      <w:tr>
        <w:trPr>
          <w:trHeight w:val="195"/>
        </w:trPr>
        <w:tc>
          <w:tcPr>
            <w:tcW w:w="2020" w:type="dxa"/>
            <w:vAlign w:val="bottom"/>
          </w:tcPr>
          <w:p>
            <w:pPr>
              <w:ind w:left="20"/>
              <w:spacing w:after="0"/>
              <w:rPr>
                <w:sz w:val="20"/>
                <w:szCs w:val="20"/>
                <w:color w:val="auto"/>
              </w:rPr>
            </w:pPr>
            <w:r>
              <w:rPr>
                <w:rFonts w:ascii="Arial" w:cs="Arial" w:eastAsia="Arial" w:hAnsi="Arial"/>
                <w:sz w:val="15"/>
                <w:szCs w:val="15"/>
                <w:color w:val="auto"/>
              </w:rPr>
              <w:t>Total Revenue</w:t>
            </w: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2,106,038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95"/>
              </w:rPr>
              <w:t>2,019,185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160" w:type="dxa"/>
            <w:vAlign w:val="bottom"/>
          </w:tcPr>
          <w:p>
            <w:pPr>
              <w:spacing w:after="0"/>
              <w:rPr>
                <w:sz w:val="16"/>
                <w:szCs w:val="16"/>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rPr>
              <w:t>4,095,104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98"/>
              </w:rPr>
              <w:t>3,975,638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r>
      <w:tr>
        <w:trPr>
          <w:trHeight w:val="21"/>
        </w:trPr>
        <w:tc>
          <w:tcPr>
            <w:tcW w:w="2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Revenue by Customer Type: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0" w:type="dxa"/>
            <w:vAlign w:val="bottom"/>
            <w:gridSpan w:val="4"/>
          </w:tcPr>
          <w:p>
            <w:pPr>
              <w:jc w:val="right"/>
              <w:ind w:right="744"/>
              <w:spacing w:after="0"/>
              <w:rPr>
                <w:sz w:val="20"/>
                <w:szCs w:val="20"/>
                <w:color w:val="auto"/>
              </w:rPr>
            </w:pPr>
            <w:r>
              <w:rPr>
                <w:rFonts w:ascii="Arial" w:cs="Arial" w:eastAsia="Arial" w:hAnsi="Arial"/>
                <w:sz w:val="14"/>
                <w:szCs w:val="14"/>
                <w:b w:val="1"/>
                <w:bCs w:val="1"/>
                <w:color w:val="auto"/>
                <w:w w:val="98"/>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8"/>
        </w:trPr>
        <w:tc>
          <w:tcPr>
            <w:tcW w:w="2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72"/>
        </w:trPr>
        <w:tc>
          <w:tcPr>
            <w:tcW w:w="23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r>
      <w:tr>
        <w:trPr>
          <w:trHeight w:val="187"/>
        </w:trPr>
        <w:tc>
          <w:tcPr>
            <w:tcW w:w="2340" w:type="dxa"/>
            <w:vAlign w:val="bottom"/>
            <w:shd w:val="clear" w:color="auto" w:fill="CCEEFF"/>
          </w:tcPr>
          <w:p>
            <w:pPr>
              <w:ind w:left="20"/>
              <w:spacing w:after="0" w:line="187" w:lineRule="exact"/>
              <w:rPr>
                <w:sz w:val="20"/>
                <w:szCs w:val="20"/>
                <w:color w:val="auto"/>
              </w:rPr>
            </w:pPr>
            <w:r>
              <w:rPr>
                <w:rFonts w:ascii="Arial" w:cs="Arial" w:eastAsia="Arial" w:hAnsi="Arial"/>
                <w:sz w:val="15"/>
                <w:szCs w:val="15"/>
                <w:color w:val="auto"/>
              </w:rPr>
              <w:t>U.S. government</w:t>
            </w:r>
            <w:r>
              <w:rPr>
                <w:rFonts w:ascii="Arial" w:cs="Arial" w:eastAsia="Arial" w:hAnsi="Arial"/>
                <w:sz w:val="19"/>
                <w:szCs w:val="19"/>
                <w:color w:val="auto"/>
                <w:vertAlign w:val="superscript"/>
              </w:rPr>
              <w:t>(1)</w:t>
            </w: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02"/>
        </w:trPr>
        <w:tc>
          <w:tcPr>
            <w:tcW w:w="2340" w:type="dxa"/>
            <w:vAlign w:val="bottom"/>
          </w:tcPr>
          <w:p>
            <w:pPr>
              <w:ind w:left="140"/>
              <w:spacing w:after="0"/>
              <w:rPr>
                <w:sz w:val="20"/>
                <w:szCs w:val="20"/>
                <w:color w:val="auto"/>
              </w:rPr>
            </w:pPr>
            <w:r>
              <w:rPr>
                <w:rFonts w:ascii="Arial" w:cs="Arial" w:eastAsia="Arial" w:hAnsi="Arial"/>
                <w:sz w:val="15"/>
                <w:szCs w:val="15"/>
                <w:color w:val="auto"/>
              </w:rPr>
              <w:t>Defense Clients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24"/>
              <w:spacing w:after="0"/>
              <w:rPr>
                <w:sz w:val="20"/>
                <w:szCs w:val="20"/>
                <w:color w:val="auto"/>
              </w:rPr>
            </w:pPr>
            <w:r>
              <w:rPr>
                <w:rFonts w:ascii="Arial" w:cs="Arial" w:eastAsia="Arial" w:hAnsi="Arial"/>
                <w:sz w:val="15"/>
                <w:szCs w:val="15"/>
                <w:color w:val="auto"/>
              </w:rPr>
              <w:t>999,174</w:t>
            </w:r>
          </w:p>
        </w:tc>
        <w:tc>
          <w:tcPr>
            <w:tcW w:w="720" w:type="dxa"/>
            <w:vAlign w:val="bottom"/>
          </w:tcPr>
          <w:p>
            <w:pPr>
              <w:jc w:val="right"/>
              <w:spacing w:after="0"/>
              <w:rPr>
                <w:sz w:val="20"/>
                <w:szCs w:val="20"/>
                <w:color w:val="auto"/>
              </w:rPr>
            </w:pPr>
            <w:r>
              <w:rPr>
                <w:rFonts w:ascii="Arial" w:cs="Arial" w:eastAsia="Arial" w:hAnsi="Arial"/>
                <w:sz w:val="15"/>
                <w:szCs w:val="15"/>
                <w:color w:val="auto"/>
              </w:rPr>
              <w:t>48 %</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04"/>
              <w:spacing w:after="0"/>
              <w:rPr>
                <w:sz w:val="20"/>
                <w:szCs w:val="20"/>
                <w:color w:val="auto"/>
              </w:rPr>
            </w:pPr>
            <w:r>
              <w:rPr>
                <w:rFonts w:ascii="Arial" w:cs="Arial" w:eastAsia="Arial" w:hAnsi="Arial"/>
                <w:sz w:val="15"/>
                <w:szCs w:val="15"/>
                <w:color w:val="auto"/>
                <w:w w:val="89"/>
              </w:rPr>
              <w:t>1,005,555</w:t>
            </w:r>
          </w:p>
        </w:tc>
        <w:tc>
          <w:tcPr>
            <w:tcW w:w="640" w:type="dxa"/>
            <w:vAlign w:val="bottom"/>
          </w:tcPr>
          <w:p>
            <w:pPr>
              <w:jc w:val="right"/>
              <w:spacing w:after="0"/>
              <w:rPr>
                <w:sz w:val="20"/>
                <w:szCs w:val="20"/>
                <w:color w:val="auto"/>
              </w:rPr>
            </w:pPr>
            <w:r>
              <w:rPr>
                <w:rFonts w:ascii="Arial" w:cs="Arial" w:eastAsia="Arial" w:hAnsi="Arial"/>
                <w:sz w:val="15"/>
                <w:szCs w:val="15"/>
                <w:color w:val="auto"/>
              </w:rPr>
              <w:t>50 %</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324"/>
              <w:spacing w:after="0"/>
              <w:rPr>
                <w:sz w:val="20"/>
                <w:szCs w:val="20"/>
                <w:color w:val="auto"/>
              </w:rPr>
            </w:pPr>
            <w:r>
              <w:rPr>
                <w:rFonts w:ascii="Arial" w:cs="Arial" w:eastAsia="Arial" w:hAnsi="Arial"/>
                <w:sz w:val="15"/>
                <w:szCs w:val="15"/>
                <w:color w:val="auto"/>
              </w:rPr>
              <w:t>1,975,101</w:t>
            </w:r>
          </w:p>
        </w:tc>
        <w:tc>
          <w:tcPr>
            <w:tcW w:w="740" w:type="dxa"/>
            <w:vAlign w:val="bottom"/>
          </w:tcPr>
          <w:p>
            <w:pPr>
              <w:jc w:val="right"/>
              <w:spacing w:after="0"/>
              <w:rPr>
                <w:sz w:val="20"/>
                <w:szCs w:val="20"/>
                <w:color w:val="auto"/>
              </w:rPr>
            </w:pPr>
            <w:r>
              <w:rPr>
                <w:rFonts w:ascii="Arial" w:cs="Arial" w:eastAsia="Arial" w:hAnsi="Arial"/>
                <w:sz w:val="15"/>
                <w:szCs w:val="15"/>
                <w:color w:val="auto"/>
              </w:rPr>
              <w:t>48 %</w:t>
            </w:r>
          </w:p>
        </w:tc>
        <w:tc>
          <w:tcPr>
            <w:tcW w:w="100" w:type="dxa"/>
            <w:vAlign w:val="bottom"/>
          </w:tcPr>
          <w:p>
            <w:pPr>
              <w:spacing w:after="0"/>
              <w:rPr>
                <w:sz w:val="17"/>
                <w:szCs w:val="17"/>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344"/>
              <w:spacing w:after="0"/>
              <w:rPr>
                <w:sz w:val="20"/>
                <w:szCs w:val="20"/>
                <w:color w:val="auto"/>
              </w:rPr>
            </w:pPr>
            <w:r>
              <w:rPr>
                <w:rFonts w:ascii="Arial" w:cs="Arial" w:eastAsia="Arial" w:hAnsi="Arial"/>
                <w:sz w:val="15"/>
                <w:szCs w:val="15"/>
                <w:color w:val="auto"/>
                <w:w w:val="92"/>
              </w:rPr>
              <w:t>1,940,170</w:t>
            </w:r>
          </w:p>
        </w:tc>
        <w:tc>
          <w:tcPr>
            <w:tcW w:w="700" w:type="dxa"/>
            <w:vAlign w:val="bottom"/>
          </w:tcPr>
          <w:p>
            <w:pPr>
              <w:jc w:val="right"/>
              <w:spacing w:after="0"/>
              <w:rPr>
                <w:sz w:val="20"/>
                <w:szCs w:val="20"/>
                <w:color w:val="auto"/>
              </w:rPr>
            </w:pPr>
            <w:r>
              <w:rPr>
                <w:rFonts w:ascii="Arial" w:cs="Arial" w:eastAsia="Arial" w:hAnsi="Arial"/>
                <w:sz w:val="15"/>
                <w:szCs w:val="15"/>
                <w:color w:val="auto"/>
              </w:rPr>
              <w:t>49 %</w:t>
            </w:r>
          </w:p>
        </w:tc>
      </w:tr>
      <w:tr>
        <w:trPr>
          <w:trHeight w:val="208"/>
        </w:trPr>
        <w:tc>
          <w:tcPr>
            <w:tcW w:w="23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Intelligence Clients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393,569</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390,383</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770,325</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rPr>
              <w:t>793,052</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20 %</w:t>
            </w:r>
          </w:p>
        </w:tc>
      </w:tr>
      <w:tr>
        <w:trPr>
          <w:trHeight w:val="202"/>
        </w:trPr>
        <w:tc>
          <w:tcPr>
            <w:tcW w:w="23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Civil Clients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662,261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31 %</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rPr>
              <w:t>569,125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28 %</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1,255,156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31 %</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92"/>
              </w:rPr>
              <w:t>1,128,327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28 %</w:t>
            </w:r>
          </w:p>
        </w:tc>
      </w:tr>
      <w:tr>
        <w:trPr>
          <w:trHeight w:val="201"/>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U.S. government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2,055,004</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89"/>
              </w:rPr>
              <w:t>1,965,063</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4,000,582</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98 %</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92"/>
              </w:rPr>
              <w:t>3,861,549</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97 %</w:t>
            </w:r>
          </w:p>
        </w:tc>
      </w:tr>
      <w:tr>
        <w:trPr>
          <w:trHeight w:val="202"/>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Global Commercial Clients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51,034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2 %</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rPr>
              <w:t>54,122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3 %</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94,522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2 %</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114,089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3 %</w:t>
            </w:r>
          </w:p>
        </w:tc>
      </w:tr>
      <w:tr>
        <w:trPr>
          <w:trHeight w:val="226"/>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rPr>
              <w:t>2,106,038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89"/>
              </w:rPr>
              <w:t>2,019,185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rPr>
              <w:t>4,095,104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92"/>
              </w:rPr>
              <w:t>3,975,638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160" w:firstLine="227"/>
        <w:spacing w:after="0" w:line="282" w:lineRule="auto"/>
        <w:tabs>
          <w:tab w:leader="none" w:pos="548"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Certain contracts were reassigned between the various verticals of our U.S. government business shown in the table above to better align our operations to the customers we serve within each market. Prior year revenue by customer type has been recast to reflect the changes.</w:t>
      </w:r>
    </w:p>
    <w:p>
      <w:pPr>
        <w:spacing w:after="0" w:line="36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Revenue by Whether the Company Acts as a Prime Contractor or a Subcontractor:</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w w:val="99"/>
              </w:rPr>
              <w:t>Three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8"/>
        </w:trPr>
        <w:tc>
          <w:tcPr>
            <w:tcW w:w="2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72"/>
        </w:trPr>
        <w:tc>
          <w:tcPr>
            <w:tcW w:w="23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r>
      <w:tr>
        <w:trPr>
          <w:trHeight w:val="200"/>
        </w:trPr>
        <w:tc>
          <w:tcPr>
            <w:tcW w:w="2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Prime Contractor</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rPr>
              <w:t>1,978,216</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89"/>
              </w:rPr>
              <w:t>1,880,778</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rPr>
              <w:t>3,839,939</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94 %</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92"/>
              </w:rPr>
              <w:t>3,684,382</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93 %</w:t>
            </w:r>
          </w:p>
        </w:tc>
      </w:tr>
      <w:tr>
        <w:trPr>
          <w:trHeight w:val="202"/>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Subcontractor</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127,822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6 %</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rPr>
              <w:t>138,407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7 %</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rPr>
              <w:t>255,165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6 %</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rPr>
              <w:t>291,256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7 %</w:t>
            </w:r>
          </w:p>
        </w:tc>
      </w:tr>
      <w:tr>
        <w:trPr>
          <w:trHeight w:val="223"/>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rPr>
              <w:t>2,106,038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89"/>
              </w:rPr>
              <w:t>2,019,185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rPr>
              <w:t>4,095,104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92"/>
              </w:rPr>
              <w:t>3,975,638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Performance Obligations</w:t>
      </w:r>
    </w:p>
    <w:p>
      <w:pPr>
        <w:spacing w:after="0" w:line="112" w:lineRule="exact"/>
        <w:rPr>
          <w:sz w:val="20"/>
          <w:szCs w:val="20"/>
          <w:color w:val="auto"/>
        </w:rPr>
      </w:pPr>
    </w:p>
    <w:p>
      <w:pPr>
        <w:jc w:val="both"/>
        <w:ind w:right="80" w:firstLine="385"/>
        <w:spacing w:after="0" w:line="315" w:lineRule="auto"/>
        <w:rPr>
          <w:sz w:val="20"/>
          <w:szCs w:val="20"/>
          <w:color w:val="auto"/>
        </w:rPr>
      </w:pPr>
      <w:r>
        <w:rPr>
          <w:rFonts w:ascii="Arial" w:cs="Arial" w:eastAsia="Arial" w:hAnsi="Arial"/>
          <w:sz w:val="15"/>
          <w:szCs w:val="15"/>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39" w:lineRule="exact"/>
        <w:rPr>
          <w:sz w:val="20"/>
          <w:szCs w:val="20"/>
          <w:color w:val="auto"/>
        </w:rPr>
      </w:pPr>
    </w:p>
    <w:p>
      <w:pPr>
        <w:jc w:val="both"/>
        <w:ind w:right="20" w:firstLine="385"/>
        <w:spacing w:after="0" w:line="264" w:lineRule="auto"/>
        <w:rPr>
          <w:sz w:val="20"/>
          <w:szCs w:val="20"/>
          <w:color w:val="auto"/>
        </w:rPr>
      </w:pPr>
      <w:r>
        <w:rPr>
          <w:rFonts w:ascii="Arial" w:cs="Arial" w:eastAsia="Arial" w:hAnsi="Arial"/>
          <w:sz w:val="17"/>
          <w:szCs w:val="17"/>
          <w:color w:val="auto"/>
        </w:rPr>
        <w:t>As of September 30, 2021 and March 31, 2021, the Company had $8.1 billion and $6.7 billion of remaining performance obligations, respectively. We expect to recognize approximately 70% of the remaining performance obligations at September 30, 2021 as revenue over the next 12 months, and approximately 85% over the next 24 months. The remainder is expected to be recognized thereafter.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112" w:lineRule="exact"/>
        <w:rPr>
          <w:sz w:val="20"/>
          <w:szCs w:val="20"/>
          <w:color w:val="auto"/>
        </w:rPr>
      </w:pPr>
    </w:p>
    <w:p>
      <w:pPr>
        <w:ind w:right="260" w:firstLine="385"/>
        <w:spacing w:after="0" w:line="305" w:lineRule="auto"/>
        <w:rPr>
          <w:sz w:val="20"/>
          <w:szCs w:val="20"/>
          <w:color w:val="auto"/>
        </w:rPr>
      </w:pPr>
      <w:r>
        <w:rPr>
          <w:rFonts w:ascii="Arial" w:cs="Arial" w:eastAsia="Arial" w:hAnsi="Arial"/>
          <w:sz w:val="15"/>
          <w:szCs w:val="15"/>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6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4" w:lineRule="exact"/>
        <w:rPr>
          <w:sz w:val="20"/>
          <w:szCs w:val="20"/>
          <w:color w:val="auto"/>
        </w:rPr>
      </w:pPr>
    </w:p>
    <w:p>
      <w:pPr>
        <w:ind w:right="80" w:firstLine="385"/>
        <w:spacing w:after="0" w:line="294" w:lineRule="auto"/>
        <w:rPr>
          <w:sz w:val="20"/>
          <w:szCs w:val="20"/>
          <w:color w:val="auto"/>
        </w:rPr>
      </w:pPr>
      <w:r>
        <w:rPr>
          <w:rFonts w:ascii="Arial" w:cs="Arial" w:eastAsia="Arial" w:hAnsi="Arial"/>
          <w:sz w:val="15"/>
          <w:szCs w:val="15"/>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been presented to customers at quarter-end or year-end.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 Provision for credit losses recognized was not material for the three and six months ended September 30, 2021 and 2020.</w:t>
      </w:r>
    </w:p>
    <w:p>
      <w:pPr>
        <w:spacing w:after="0" w:line="53" w:lineRule="exact"/>
        <w:rPr>
          <w:sz w:val="20"/>
          <w:szCs w:val="20"/>
          <w:color w:val="auto"/>
        </w:rPr>
      </w:pPr>
    </w:p>
    <w:p>
      <w:pPr>
        <w:ind w:right="600" w:firstLine="385"/>
        <w:spacing w:after="0" w:line="277" w:lineRule="auto"/>
        <w:rPr>
          <w:sz w:val="20"/>
          <w:szCs w:val="20"/>
          <w:color w:val="auto"/>
        </w:rPr>
      </w:pPr>
      <w:r>
        <w:rPr>
          <w:rFonts w:ascii="Arial" w:cs="Arial" w:eastAsia="Arial" w:hAnsi="Arial"/>
          <w:sz w:val="17"/>
          <w:szCs w:val="17"/>
          <w:color w:val="auto"/>
        </w:rPr>
        <w:t>The following table summarizes the contract assets and liabilities, and accounts receivable, net of allowance recognized on the Company’s condensed consolidated balance sheets: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 Balances</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5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2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3"/>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2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0" w:type="dxa"/>
            <w:vAlign w:val="bottom"/>
          </w:tcPr>
          <w:p>
            <w:pPr>
              <w:ind w:left="320"/>
              <w:spacing w:after="0"/>
              <w:rPr>
                <w:sz w:val="20"/>
                <w:szCs w:val="20"/>
                <w:color w:val="auto"/>
              </w:rPr>
            </w:pPr>
            <w:r>
              <w:rPr>
                <w:rFonts w:ascii="Arial" w:cs="Arial" w:eastAsia="Arial" w:hAnsi="Arial"/>
                <w:sz w:val="17"/>
                <w:szCs w:val="17"/>
                <w:color w:val="auto"/>
              </w:rPr>
              <w:t>Accounts receivable–billed</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426,571</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375,383</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receivable–unbilled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1,037,968</w:t>
            </w:r>
          </w:p>
        </w:tc>
        <w:tc>
          <w:tcPr>
            <w:tcW w:w="0" w:type="dxa"/>
            <w:vAlign w:val="bottom"/>
          </w:tcPr>
          <w:p>
            <w:pPr>
              <w:spacing w:after="0"/>
              <w:rPr>
                <w:sz w:val="1"/>
                <w:szCs w:val="1"/>
                <w:color w:val="auto"/>
              </w:rPr>
            </w:pPr>
          </w:p>
        </w:tc>
      </w:tr>
      <w:tr>
        <w:trPr>
          <w:trHeight w:val="217"/>
        </w:trPr>
        <w:tc>
          <w:tcPr>
            <w:tcW w:w="4400" w:type="dxa"/>
            <w:vAlign w:val="bottom"/>
          </w:tcPr>
          <w:p>
            <w:pPr>
              <w:ind w:left="320"/>
              <w:spacing w:after="0"/>
              <w:rPr>
                <w:sz w:val="20"/>
                <w:szCs w:val="20"/>
                <w:color w:val="auto"/>
              </w:rPr>
            </w:pPr>
            <w:r>
              <w:rPr>
                <w:rFonts w:ascii="Arial" w:cs="Arial" w:eastAsia="Arial" w:hAnsi="Arial"/>
                <w:sz w:val="17"/>
                <w:szCs w:val="17"/>
                <w:color w:val="auto"/>
              </w:rPr>
              <w:t>Allowance for credit losses</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(1,457)</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Accounts receivable, net</w:t>
            </w:r>
          </w:p>
        </w:tc>
        <w:tc>
          <w:tcPr>
            <w:tcW w:w="2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1,511,579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1,411,894</w:t>
            </w:r>
          </w:p>
        </w:tc>
        <w:tc>
          <w:tcPr>
            <w:tcW w:w="0" w:type="dxa"/>
            <w:vAlign w:val="bottom"/>
          </w:tcPr>
          <w:p>
            <w:pPr>
              <w:spacing w:after="0"/>
              <w:rPr>
                <w:sz w:val="1"/>
                <w:szCs w:val="1"/>
                <w:color w:val="auto"/>
              </w:rPr>
            </w:pPr>
          </w:p>
        </w:tc>
      </w:tr>
      <w:tr>
        <w:trPr>
          <w:trHeight w:val="217"/>
        </w:trPr>
        <w:tc>
          <w:tcPr>
            <w:tcW w:w="4400" w:type="dxa"/>
            <w:vAlign w:val="bottom"/>
          </w:tcPr>
          <w:p>
            <w:pPr>
              <w:ind w:left="20"/>
              <w:spacing w:after="0"/>
              <w:rPr>
                <w:sz w:val="20"/>
                <w:szCs w:val="20"/>
                <w:color w:val="auto"/>
              </w:rPr>
            </w:pPr>
            <w:r>
              <w:rPr>
                <w:rFonts w:ascii="Arial" w:cs="Arial" w:eastAsia="Arial" w:hAnsi="Arial"/>
                <w:sz w:val="17"/>
                <w:szCs w:val="17"/>
                <w:color w:val="auto"/>
              </w:rPr>
              <w:t>Other long-term assets</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receivable–unbilled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63,869</w:t>
            </w:r>
          </w:p>
        </w:tc>
        <w:tc>
          <w:tcPr>
            <w:tcW w:w="0" w:type="dxa"/>
            <w:vAlign w:val="bottom"/>
          </w:tcPr>
          <w:p>
            <w:pPr>
              <w:spacing w:after="0"/>
              <w:rPr>
                <w:sz w:val="1"/>
                <w:szCs w:val="1"/>
                <w:color w:val="auto"/>
              </w:rPr>
            </w:pPr>
          </w:p>
        </w:tc>
      </w:tr>
      <w:tr>
        <w:trPr>
          <w:trHeight w:val="210"/>
        </w:trPr>
        <w:tc>
          <w:tcPr>
            <w:tcW w:w="4400" w:type="dxa"/>
            <w:vAlign w:val="bottom"/>
          </w:tcPr>
          <w:p>
            <w:pPr>
              <w:ind w:left="640"/>
              <w:spacing w:after="0"/>
              <w:rPr>
                <w:sz w:val="20"/>
                <w:szCs w:val="20"/>
                <w:color w:val="auto"/>
              </w:rPr>
            </w:pPr>
            <w:r>
              <w:rPr>
                <w:rFonts w:ascii="Arial" w:cs="Arial" w:eastAsia="Arial" w:hAnsi="Arial"/>
                <w:sz w:val="17"/>
                <w:szCs w:val="17"/>
                <w:color w:val="auto"/>
              </w:rPr>
              <w:t>Total accounts receivable, net</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1,575,663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1,475,763</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0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Other current liabilities</w:t>
            </w:r>
          </w:p>
        </w:tc>
        <w:tc>
          <w:tcPr>
            <w:tcW w:w="2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400" w:type="dxa"/>
            <w:vAlign w:val="bottom"/>
          </w:tcPr>
          <w:p>
            <w:pPr>
              <w:ind w:left="320"/>
              <w:spacing w:after="0" w:line="167" w:lineRule="exact"/>
              <w:rPr>
                <w:sz w:val="20"/>
                <w:szCs w:val="20"/>
                <w:color w:val="auto"/>
              </w:rPr>
            </w:pPr>
            <w:r>
              <w:rPr>
                <w:rFonts w:ascii="Arial" w:cs="Arial" w:eastAsia="Arial" w:hAnsi="Arial"/>
                <w:sz w:val="17"/>
                <w:szCs w:val="17"/>
                <w:color w:val="auto"/>
                <w:w w:val="91"/>
              </w:rPr>
              <w:t>Advance payments, billings in excess of costs incurred and</w:t>
            </w:r>
          </w:p>
        </w:tc>
        <w:tc>
          <w:tcPr>
            <w:tcW w:w="2960" w:type="dxa"/>
            <w:vAlign w:val="bottom"/>
            <w:gridSpan w:val="2"/>
            <w:vMerge w:val="restart"/>
          </w:tcPr>
          <w:p>
            <w:pPr>
              <w:ind w:left="20"/>
              <w:spacing w:after="0"/>
              <w:rPr>
                <w:sz w:val="20"/>
                <w:szCs w:val="20"/>
                <w:color w:val="auto"/>
              </w:rPr>
            </w:pPr>
            <w:r>
              <w:rPr>
                <w:rFonts w:ascii="Arial" w:cs="Arial" w:eastAsia="Arial" w:hAnsi="Arial"/>
                <w:sz w:val="17"/>
                <w:szCs w:val="17"/>
                <w:color w:val="auto"/>
              </w:rPr>
              <w:t>Contract liabilities</w:t>
            </w: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14,878</w:t>
            </w:r>
          </w:p>
        </w:tc>
        <w:tc>
          <w:tcPr>
            <w:tcW w:w="100" w:type="dxa"/>
            <w:vAlign w:val="bottom"/>
          </w:tcPr>
          <w:p>
            <w:pPr>
              <w:spacing w:after="0"/>
              <w:rPr>
                <w:sz w:val="14"/>
                <w:szCs w:val="14"/>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7"/>
                <w:szCs w:val="17"/>
                <w:color w:val="auto"/>
                <w:w w:val="84"/>
              </w:rPr>
              <w:t>$</w:t>
            </w: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15,906</w:t>
            </w:r>
          </w:p>
        </w:tc>
        <w:tc>
          <w:tcPr>
            <w:tcW w:w="0" w:type="dxa"/>
            <w:vAlign w:val="bottom"/>
          </w:tcPr>
          <w:p>
            <w:pPr>
              <w:spacing w:after="0"/>
              <w:rPr>
                <w:sz w:val="1"/>
                <w:szCs w:val="1"/>
                <w:color w:val="auto"/>
              </w:rPr>
            </w:pPr>
          </w:p>
        </w:tc>
      </w:tr>
      <w:tr>
        <w:trPr>
          <w:trHeight w:val="216"/>
        </w:trPr>
        <w:tc>
          <w:tcPr>
            <w:tcW w:w="440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29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ind w:right="40" w:firstLine="385"/>
        <w:spacing w:after="0" w:line="256" w:lineRule="auto"/>
        <w:rPr>
          <w:sz w:val="20"/>
          <w:szCs w:val="20"/>
          <w:color w:val="auto"/>
        </w:rPr>
      </w:pPr>
      <w:r>
        <w:rPr>
          <w:rFonts w:ascii="Arial" w:cs="Arial" w:eastAsia="Arial" w:hAnsi="Arial"/>
          <w:sz w:val="17"/>
          <w:szCs w:val="17"/>
          <w:color w:val="auto"/>
        </w:rPr>
        <w:t>Changes in contract assets and contract liabilities are primarily due to the timing difference between the Company’s performance of services and billings to customers. For the three months ended September 30, 2021 and 2020, we recognized revenue of $2.3 million and $2.5 million, respectively, and for the six months ended September 30, 2021 and 2020, we recognized revenue of $14.2 million and $22.0 million, respectively, related to our contract liabilities on April 1, 2021 and 2020,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EARNINGS PER SHARE</w:t>
      </w:r>
    </w:p>
    <w:p>
      <w:pPr>
        <w:spacing w:after="0" w:line="116" w:lineRule="exact"/>
        <w:rPr>
          <w:sz w:val="20"/>
          <w:szCs w:val="20"/>
          <w:color w:val="auto"/>
        </w:rPr>
      </w:pPr>
    </w:p>
    <w:p>
      <w:pPr>
        <w:ind w:firstLine="385"/>
        <w:spacing w:after="0" w:line="264"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73" w:lineRule="exact"/>
        <w:rPr>
          <w:sz w:val="20"/>
          <w:szCs w:val="20"/>
          <w:color w:val="auto"/>
        </w:rPr>
      </w:pPr>
    </w:p>
    <w:p>
      <w:pPr>
        <w:ind w:firstLine="385"/>
        <w:spacing w:after="0" w:line="258" w:lineRule="auto"/>
        <w:rPr>
          <w:sz w:val="20"/>
          <w:szCs w:val="20"/>
          <w:color w:val="auto"/>
        </w:rPr>
      </w:pPr>
      <w:r>
        <w:rPr>
          <w:rFonts w:ascii="Arial" w:cs="Arial" w:eastAsia="Arial" w:hAnsi="Arial"/>
          <w:sz w:val="17"/>
          <w:szCs w:val="17"/>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and second quarters of fiscal 2022 and 2021.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360" w:type="dxa"/>
            <w:vAlign w:val="bottom"/>
            <w:gridSpan w:val="4"/>
          </w:tcPr>
          <w:p>
            <w:pPr>
              <w:jc w:val="right"/>
              <w:ind w:right="65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6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for basic computations (1)</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245,418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263,951</w:t>
            </w:r>
          </w:p>
        </w:tc>
        <w:tc>
          <w:tcPr>
            <w:tcW w:w="0" w:type="dxa"/>
            <w:vAlign w:val="bottom"/>
          </w:tcPr>
          <w:p>
            <w:pPr>
              <w:spacing w:after="0"/>
              <w:rPr>
                <w:sz w:val="1"/>
                <w:szCs w:val="1"/>
                <w:color w:val="auto"/>
              </w:rPr>
            </w:pPr>
          </w:p>
        </w:tc>
      </w:tr>
      <w:tr>
        <w:trPr>
          <w:trHeight w:val="217"/>
        </w:trPr>
        <w:tc>
          <w:tcPr>
            <w:tcW w:w="60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Weighted-average common shares outstanding for basic computations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134,759,240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137,882,906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135,158,270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138,017,120</w:t>
            </w:r>
          </w:p>
        </w:tc>
        <w:tc>
          <w:tcPr>
            <w:tcW w:w="0" w:type="dxa"/>
            <w:vAlign w:val="bottom"/>
          </w:tcPr>
          <w:p>
            <w:pPr>
              <w:spacing w:after="0"/>
              <w:rPr>
                <w:sz w:val="1"/>
                <w:szCs w:val="1"/>
                <w:color w:val="auto"/>
              </w:rPr>
            </w:pPr>
          </w:p>
        </w:tc>
      </w:tr>
      <w:tr>
        <w:trPr>
          <w:trHeight w:val="211"/>
        </w:trPr>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for diluted computations (1)</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263,958</w:t>
            </w:r>
          </w:p>
        </w:tc>
        <w:tc>
          <w:tcPr>
            <w:tcW w:w="0" w:type="dxa"/>
            <w:vAlign w:val="bottom"/>
          </w:tcPr>
          <w:p>
            <w:pPr>
              <w:spacing w:after="0"/>
              <w:rPr>
                <w:sz w:val="1"/>
                <w:szCs w:val="1"/>
                <w:color w:val="auto"/>
              </w:rPr>
            </w:pPr>
          </w:p>
        </w:tc>
      </w:tr>
      <w:tr>
        <w:trPr>
          <w:trHeight w:val="217"/>
        </w:trPr>
        <w:tc>
          <w:tcPr>
            <w:tcW w:w="60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Dilutive stock options and restricted stock</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557,189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864,734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689,278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987,262</w:t>
            </w:r>
          </w:p>
        </w:tc>
        <w:tc>
          <w:tcPr>
            <w:tcW w:w="0" w:type="dxa"/>
            <w:vAlign w:val="bottom"/>
          </w:tcPr>
          <w:p>
            <w:pPr>
              <w:spacing w:after="0"/>
              <w:rPr>
                <w:sz w:val="1"/>
                <w:szCs w:val="1"/>
                <w:color w:val="auto"/>
              </w:rPr>
            </w:pPr>
          </w:p>
        </w:tc>
      </w:tr>
      <w:tr>
        <w:trPr>
          <w:trHeight w:val="211"/>
        </w:trPr>
        <w:tc>
          <w:tcPr>
            <w:tcW w:w="6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Weighted-average common shares outstanding for diluted computations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135,316,429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138,747,640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135,847,548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139,004,382</w:t>
            </w:r>
          </w:p>
        </w:tc>
        <w:tc>
          <w:tcPr>
            <w:tcW w:w="0" w:type="dxa"/>
            <w:vAlign w:val="bottom"/>
          </w:tcPr>
          <w:p>
            <w:pPr>
              <w:spacing w:after="0"/>
              <w:rPr>
                <w:sz w:val="1"/>
                <w:szCs w:val="1"/>
                <w:color w:val="auto"/>
              </w:rPr>
            </w:pPr>
          </w:p>
        </w:tc>
      </w:tr>
      <w:tr>
        <w:trPr>
          <w:trHeight w:val="197"/>
        </w:trPr>
        <w:tc>
          <w:tcPr>
            <w:tcW w:w="6000" w:type="dxa"/>
            <w:vAlign w:val="bottom"/>
          </w:tcPr>
          <w:p>
            <w:pPr>
              <w:ind w:left="20"/>
              <w:spacing w:after="0"/>
              <w:rPr>
                <w:sz w:val="20"/>
                <w:szCs w:val="20"/>
                <w:color w:val="auto"/>
              </w:rPr>
            </w:pPr>
            <w:r>
              <w:rPr>
                <w:rFonts w:ascii="Arial" w:cs="Arial" w:eastAsia="Arial" w:hAnsi="Arial"/>
                <w:sz w:val="17"/>
                <w:szCs w:val="17"/>
                <w:color w:val="auto"/>
              </w:rPr>
              <w:t>Earnings per common share</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7"/>
                <w:szCs w:val="17"/>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0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0.98</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1.81</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195"/>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380" w:firstLine="7"/>
        <w:spacing w:after="0" w:line="255" w:lineRule="auto"/>
        <w:tabs>
          <w:tab w:leader="none" w:pos="622" w:val="left"/>
        </w:tabs>
        <w:numPr>
          <w:ilvl w:val="0"/>
          <w:numId w:val="6"/>
        </w:numPr>
        <w:rPr>
          <w:rFonts w:ascii="Arial" w:cs="Arial" w:eastAsia="Arial" w:hAnsi="Arial"/>
          <w:sz w:val="17"/>
          <w:szCs w:val="17"/>
          <w:color w:val="auto"/>
        </w:rPr>
      </w:pPr>
      <w:r>
        <w:rPr>
          <w:rFonts w:ascii="Arial" w:cs="Arial" w:eastAsia="Arial" w:hAnsi="Arial"/>
          <w:sz w:val="17"/>
          <w:szCs w:val="17"/>
          <w:color w:val="auto"/>
        </w:rPr>
        <w:t>During the three months ended September 30, 2021 and 2020, approximately 1.0 million and 0.8 million participating securities were paid dividends totaling $0.4 million and $0.3 million, respectively. During the six months ended September 30, 2021 and 2020, approximately 0.8 million and 0.8 million participating securities were paid dividends totaling $0.6 million and $0.5 million, respectively. For the three months ended September 30, 2021 and 2020, there were undistributed earnings of $0.7 million and $0.5 million, respectively, allocated to the participating class of securities in both basic and diluted EPS. For the six months ended September 30, 2021 and 2020, there were undistributed earnings of $0.9 million and $1.0 million,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and six months ended September 30, 2021 and 2020.</w:t>
      </w:r>
    </w:p>
    <w:p>
      <w:pPr>
        <w:spacing w:after="0" w:line="185" w:lineRule="exact"/>
        <w:rPr>
          <w:sz w:val="20"/>
          <w:szCs w:val="20"/>
          <w:color w:val="auto"/>
        </w:rPr>
      </w:pPr>
    </w:p>
    <w:p>
      <w:pPr>
        <w:jc w:val="both"/>
        <w:ind w:right="240" w:firstLine="385"/>
        <w:spacing w:after="0" w:line="264" w:lineRule="auto"/>
        <w:rPr>
          <w:sz w:val="20"/>
          <w:szCs w:val="20"/>
          <w:color w:val="auto"/>
        </w:rPr>
      </w:pPr>
      <w:r>
        <w:rPr>
          <w:rFonts w:ascii="Arial" w:cs="Arial" w:eastAsia="Arial" w:hAnsi="Arial"/>
          <w:sz w:val="17"/>
          <w:szCs w:val="17"/>
          <w:color w:val="auto"/>
        </w:rPr>
        <w:t>The EPS calculation for the three months ended September 30, 2021 and 2020 excludes 0.1 million and 0.3 million options, respectively, as their impact was anti-dilutive. The EPS calculation for the six months ended September 30, 2021 and 2020 excludes 0.1 million and 0.2 million options, respectively, as their impact was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ACQUISITION, GOODWILL AND INTANGIBLE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Tracepoint Holdings, LLC</w:t>
      </w:r>
    </w:p>
    <w:p>
      <w:pPr>
        <w:spacing w:after="0" w:line="228" w:lineRule="exact"/>
        <w:rPr>
          <w:sz w:val="20"/>
          <w:szCs w:val="20"/>
          <w:color w:val="auto"/>
        </w:rPr>
      </w:pPr>
    </w:p>
    <w:p>
      <w:pPr>
        <w:ind w:right="160" w:firstLine="385"/>
        <w:spacing w:after="0" w:line="248" w:lineRule="auto"/>
        <w:rPr>
          <w:sz w:val="20"/>
          <w:szCs w:val="20"/>
          <w:color w:val="auto"/>
        </w:rPr>
      </w:pPr>
      <w:r>
        <w:rPr>
          <w:rFonts w:ascii="Arial" w:cs="Arial" w:eastAsia="Arial" w:hAnsi="Arial"/>
          <w:sz w:val="16"/>
          <w:szCs w:val="16"/>
          <w:color w:val="auto"/>
        </w:rPr>
        <w:t>On September 10, 2021, the Company acquired the remaining 60% equity interest in Tracepoint Holdings, LLC ("Tracepoint"), an industry-leading digital forensics and incident response company serving public and private sector clients, for cash consideration of approximately $120.0 million, net of adjustments (the "Tracepoint Transaction"). As a result of the transaction, Tracepoint and Tracepoint, LLC became wholly owned subsidiaries of Booz Allen Hamilton Inc. The acquisition complements the Company’s existing cybersecurity portfolio and expands its position in the private sector cyber market.</w:t>
      </w:r>
    </w:p>
    <w:p>
      <w:pPr>
        <w:spacing w:after="0" w:line="188" w:lineRule="exact"/>
        <w:rPr>
          <w:sz w:val="20"/>
          <w:szCs w:val="20"/>
          <w:color w:val="auto"/>
        </w:rPr>
      </w:pPr>
    </w:p>
    <w:p>
      <w:pPr>
        <w:ind w:right="60" w:firstLine="385"/>
        <w:spacing w:after="0" w:line="223" w:lineRule="auto"/>
        <w:rPr>
          <w:sz w:val="20"/>
          <w:szCs w:val="20"/>
          <w:color w:val="auto"/>
        </w:rPr>
      </w:pPr>
      <w:r>
        <w:rPr>
          <w:rFonts w:ascii="Arial" w:cs="Arial" w:eastAsia="Arial" w:hAnsi="Arial"/>
          <w:sz w:val="17"/>
          <w:szCs w:val="17"/>
          <w:color w:val="auto"/>
        </w:rPr>
        <w:t>Prior to the closing of the Tracepoint Transaction, the Company held a 40% interest in Tracepoint, which was accounted for as an equity method investment. The equity method investment associated with Tracepoint was remeasured at fair value on the closing date of the Tracepoint Transaction, resulting in a gain of $5.7 million. This gain is presented as a component of Other Income on the Condensed Consolidated Statement of Operations for the three and six months ended September 30, 2021. The fair value of the previously held equity method investment was determined based upon valuations of the Tracepoint business and future business outlook using projected future cash flows.</w:t>
      </w:r>
    </w:p>
    <w:p>
      <w:pPr>
        <w:spacing w:after="0" w:line="3" w:lineRule="exact"/>
        <w:rPr>
          <w:sz w:val="20"/>
          <w:szCs w:val="20"/>
          <w:color w:val="auto"/>
        </w:rPr>
      </w:pPr>
    </w:p>
    <w:p>
      <w:pPr>
        <w:jc w:val="both"/>
        <w:ind w:right="320"/>
        <w:spacing w:after="0" w:line="229" w:lineRule="auto"/>
        <w:rPr>
          <w:sz w:val="20"/>
          <w:szCs w:val="20"/>
          <w:color w:val="auto"/>
        </w:rPr>
      </w:pPr>
      <w:r>
        <w:rPr>
          <w:rFonts w:ascii="Arial" w:cs="Arial" w:eastAsia="Arial" w:hAnsi="Arial"/>
          <w:sz w:val="17"/>
          <w:szCs w:val="17"/>
          <w:color w:val="auto"/>
        </w:rPr>
        <w:t>Under the terms of the purchase agreement, the Company has 120 days after closing to provide proposed post-closing working capital adjustments to the sellers which are subject to dispute. The final purchase price allocations will be completed after the underlying information has been finalized and agreed upon by the sellers and the Company.</w:t>
      </w:r>
    </w:p>
    <w:p>
      <w:pPr>
        <w:spacing w:after="0" w:line="196"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The Company recognized $90.5 million of intangible assets which primarily consists of channel relationships. Channel relationships were valued using the excess earnings method discounted cash flow approach, incorporating Level 3 inputs as described under the fair value hierarchy of Accounting Standards Codification (ASC) No. 820, Fair Value Measurement (Topic 820). These unobservable inputs reflect the Company's own judgment about which assumptions market participants would use in pricing an asset on a non-recurring basis. The intangible asset is expected to be amortized over the estimated useful life of 10 years. The goodwill of $95.2 million is largely attributable to Tracepoint's specialized workforce.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Liberty IT Solutions, LLC</w:t>
      </w:r>
    </w:p>
    <w:p>
      <w:pPr>
        <w:spacing w:after="0" w:line="228" w:lineRule="exact"/>
        <w:rPr>
          <w:sz w:val="20"/>
          <w:szCs w:val="20"/>
          <w:color w:val="auto"/>
        </w:rPr>
      </w:pPr>
    </w:p>
    <w:p>
      <w:pPr>
        <w:ind w:right="120" w:firstLine="385"/>
        <w:spacing w:after="0" w:line="229" w:lineRule="auto"/>
        <w:rPr>
          <w:sz w:val="20"/>
          <w:szCs w:val="20"/>
          <w:color w:val="auto"/>
        </w:rPr>
      </w:pPr>
      <w:r>
        <w:rPr>
          <w:rFonts w:ascii="Arial" w:cs="Arial" w:eastAsia="Arial" w:hAnsi="Arial"/>
          <w:sz w:val="17"/>
          <w:szCs w:val="17"/>
          <w:color w:val="auto"/>
        </w:rPr>
        <w:t>On June 11, 2021, the Company acquired Liberty IT Solutions, LLC ("Liberty") for cash consideration of approximately $669.1 million, net of adjustments related to working capital, and transaction costs incurred as part of the acquisition, including compensation expenses paid by the Company that were associated with employee retention. As a result of the transaction, Liberty became a wholly owned subsidiary of Booz Allen Hamilton Inc. Liberty is a leading digital partner driving transformation across the federal IT ecosystem. The acquisition complements the Company’s digital transformation portfolio resulting in a deeper range of advanced technology solutions.</w:t>
      </w:r>
    </w:p>
    <w:p>
      <w:pPr>
        <w:spacing w:after="0" w:line="80" w:lineRule="exact"/>
        <w:rPr>
          <w:sz w:val="20"/>
          <w:szCs w:val="20"/>
          <w:color w:val="auto"/>
        </w:rPr>
      </w:pPr>
    </w:p>
    <w:p>
      <w:pPr>
        <w:ind w:right="160" w:firstLine="385"/>
        <w:spacing w:after="0" w:line="264" w:lineRule="auto"/>
        <w:rPr>
          <w:sz w:val="20"/>
          <w:szCs w:val="20"/>
          <w:color w:val="auto"/>
        </w:rPr>
      </w:pPr>
      <w:r>
        <w:rPr>
          <w:rFonts w:ascii="Arial" w:cs="Arial" w:eastAsia="Arial" w:hAnsi="Arial"/>
          <w:sz w:val="17"/>
          <w:szCs w:val="17"/>
          <w:color w:val="auto"/>
        </w:rPr>
        <w:t>Under the terms of the purchase agreement, the Company has 120 days after closing to provide proposed post-closing working capital adjustments to the sellers which are subject to dispute. The final purchase price allocations will be completed after the underlying information has been finalized and agreed upon by the sellers and the Company.</w:t>
      </w:r>
    </w:p>
    <w:p>
      <w:pPr>
        <w:spacing w:after="0" w:line="73" w:lineRule="exact"/>
        <w:rPr>
          <w:sz w:val="20"/>
          <w:szCs w:val="20"/>
          <w:color w:val="auto"/>
        </w:rPr>
      </w:pPr>
    </w:p>
    <w:p>
      <w:pPr>
        <w:ind w:firstLine="385"/>
        <w:spacing w:after="0" w:line="258" w:lineRule="auto"/>
        <w:rPr>
          <w:sz w:val="20"/>
          <w:szCs w:val="20"/>
          <w:color w:val="auto"/>
        </w:rPr>
      </w:pPr>
      <w:r>
        <w:rPr>
          <w:rFonts w:ascii="Arial" w:cs="Arial" w:eastAsia="Arial" w:hAnsi="Arial"/>
          <w:sz w:val="17"/>
          <w:szCs w:val="17"/>
          <w:color w:val="auto"/>
        </w:rPr>
        <w:t>The Company recognized $309.0 million of intangible assets which consist of programs and contracts assets, and were valued using the excess earnings method discounted cash flow approach, incorporating Level 3 inputs as described under the fair value hierarchy of Topic 820. These unobservable inputs reflect the Company's own judgment about which assumptions market participants would use in pricing an asset on a non-recurring basis. The intangible assets are expected to be amortized over the estimated useful life of 12 years. The goodwill of $346.5 million is primarily attributable to Liberty's specialized workforce and the expected synergies between the Company and Liberty.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Purchase Price Allocation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cumulative consideration paid and the preliminary allocation of the purchase price paid for Tracepoint and Liberty:</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218"/>
        </w:trPr>
        <w:tc>
          <w:tcPr>
            <w:tcW w:w="80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Cash consideration (gross of cash acquired and including net adjustments)</w:t>
            </w:r>
          </w:p>
        </w:tc>
        <w:tc>
          <w:tcPr>
            <w:tcW w:w="82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789,108</w:t>
            </w:r>
          </w:p>
        </w:tc>
      </w:tr>
      <w:tr>
        <w:trPr>
          <w:trHeight w:val="217"/>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Fair value of non-controlling interest</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79,997</w:t>
            </w:r>
          </w:p>
        </w:tc>
      </w:tr>
      <w:tr>
        <w:trPr>
          <w:trHeight w:val="211"/>
        </w:trPr>
        <w:tc>
          <w:tcPr>
            <w:tcW w:w="80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Total purchase consideration</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869,105</w:t>
            </w:r>
          </w:p>
        </w:tc>
      </w:tr>
      <w:tr>
        <w:trPr>
          <w:trHeight w:val="244"/>
        </w:trPr>
        <w:tc>
          <w:tcPr>
            <w:tcW w:w="8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8"/>
        </w:trPr>
        <w:tc>
          <w:tcPr>
            <w:tcW w:w="80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Purchase price allocation:</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7"/>
        </w:trPr>
        <w:tc>
          <w:tcPr>
            <w:tcW w:w="8000" w:type="dxa"/>
            <w:vAlign w:val="bottom"/>
          </w:tcPr>
          <w:p>
            <w:pPr>
              <w:ind w:left="560"/>
              <w:spacing w:after="0"/>
              <w:rPr>
                <w:sz w:val="20"/>
                <w:szCs w:val="20"/>
                <w:color w:val="auto"/>
              </w:rPr>
            </w:pPr>
            <w:r>
              <w:rPr>
                <w:rFonts w:ascii="Arial" w:cs="Arial" w:eastAsia="Arial" w:hAnsi="Arial"/>
                <w:sz w:val="17"/>
                <w:szCs w:val="17"/>
                <w:color w:val="auto"/>
              </w:rPr>
              <w:t>Cash</w:t>
            </w:r>
          </w:p>
        </w:tc>
        <w:tc>
          <w:tcPr>
            <w:tcW w:w="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9,096</w:t>
            </w:r>
          </w:p>
        </w:tc>
      </w:tr>
      <w:tr>
        <w:trPr>
          <w:trHeight w:val="219"/>
        </w:trPr>
        <w:tc>
          <w:tcPr>
            <w:tcW w:w="8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Current assets</w:t>
            </w: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57,562</w:t>
            </w:r>
          </w:p>
        </w:tc>
      </w:tr>
      <w:tr>
        <w:trPr>
          <w:trHeight w:val="217"/>
        </w:trPr>
        <w:tc>
          <w:tcPr>
            <w:tcW w:w="8000" w:type="dxa"/>
            <w:vAlign w:val="bottom"/>
          </w:tcPr>
          <w:p>
            <w:pPr>
              <w:ind w:left="560"/>
              <w:spacing w:after="0"/>
              <w:rPr>
                <w:sz w:val="20"/>
                <w:szCs w:val="20"/>
                <w:color w:val="auto"/>
              </w:rPr>
            </w:pPr>
            <w:r>
              <w:rPr>
                <w:rFonts w:ascii="Arial" w:cs="Arial" w:eastAsia="Arial" w:hAnsi="Arial"/>
                <w:sz w:val="17"/>
                <w:szCs w:val="17"/>
                <w:color w:val="auto"/>
              </w:rPr>
              <w:t>Operating lease right-of-use asset</w:t>
            </w:r>
          </w:p>
        </w:tc>
        <w:tc>
          <w:tcPr>
            <w:tcW w:w="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2,532</w:t>
            </w:r>
          </w:p>
        </w:tc>
      </w:tr>
      <w:tr>
        <w:trPr>
          <w:trHeight w:val="219"/>
        </w:trPr>
        <w:tc>
          <w:tcPr>
            <w:tcW w:w="8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Other long-term assets</w:t>
            </w: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2,495</w:t>
            </w:r>
          </w:p>
        </w:tc>
      </w:tr>
      <w:tr>
        <w:trPr>
          <w:trHeight w:val="217"/>
        </w:trPr>
        <w:tc>
          <w:tcPr>
            <w:tcW w:w="8000" w:type="dxa"/>
            <w:vAlign w:val="bottom"/>
          </w:tcPr>
          <w:p>
            <w:pPr>
              <w:ind w:left="560"/>
              <w:spacing w:after="0"/>
              <w:rPr>
                <w:sz w:val="20"/>
                <w:szCs w:val="20"/>
                <w:color w:val="auto"/>
              </w:rPr>
            </w:pPr>
            <w:r>
              <w:rPr>
                <w:rFonts w:ascii="Arial" w:cs="Arial" w:eastAsia="Arial" w:hAnsi="Arial"/>
                <w:sz w:val="17"/>
                <w:szCs w:val="17"/>
                <w:color w:val="auto"/>
              </w:rPr>
              <w:t>Intangible assets</w:t>
            </w:r>
          </w:p>
        </w:tc>
        <w:tc>
          <w:tcPr>
            <w:tcW w:w="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399,500</w:t>
            </w:r>
          </w:p>
        </w:tc>
      </w:tr>
      <w:tr>
        <w:trPr>
          <w:trHeight w:val="219"/>
        </w:trPr>
        <w:tc>
          <w:tcPr>
            <w:tcW w:w="8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Current liabilities</w:t>
            </w: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(41,216)</w:t>
            </w:r>
          </w:p>
        </w:tc>
      </w:tr>
      <w:tr>
        <w:trPr>
          <w:trHeight w:val="217"/>
        </w:trPr>
        <w:tc>
          <w:tcPr>
            <w:tcW w:w="8000" w:type="dxa"/>
            <w:vAlign w:val="bottom"/>
          </w:tcPr>
          <w:p>
            <w:pPr>
              <w:ind w:left="560"/>
              <w:spacing w:after="0"/>
              <w:rPr>
                <w:sz w:val="20"/>
                <w:szCs w:val="20"/>
                <w:color w:val="auto"/>
              </w:rPr>
            </w:pPr>
            <w:r>
              <w:rPr>
                <w:rFonts w:ascii="Arial" w:cs="Arial" w:eastAsia="Arial" w:hAnsi="Arial"/>
                <w:sz w:val="17"/>
                <w:szCs w:val="17"/>
                <w:color w:val="auto"/>
              </w:rPr>
              <w:t>Operating lease liabilities-current</w:t>
            </w:r>
          </w:p>
        </w:tc>
        <w:tc>
          <w:tcPr>
            <w:tcW w:w="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(1,017)</w:t>
            </w:r>
          </w:p>
        </w:tc>
      </w:tr>
      <w:tr>
        <w:trPr>
          <w:trHeight w:val="219"/>
        </w:trPr>
        <w:tc>
          <w:tcPr>
            <w:tcW w:w="80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Operating lease liabilities-long term</w:t>
            </w:r>
          </w:p>
        </w:tc>
        <w:tc>
          <w:tcPr>
            <w:tcW w:w="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(1,516)</w:t>
            </w:r>
          </w:p>
        </w:tc>
      </w:tr>
      <w:tr>
        <w:trPr>
          <w:trHeight w:val="210"/>
        </w:trPr>
        <w:tc>
          <w:tcPr>
            <w:tcW w:w="8000" w:type="dxa"/>
            <w:vAlign w:val="bottom"/>
          </w:tcPr>
          <w:p>
            <w:pPr>
              <w:ind w:left="560"/>
              <w:spacing w:after="0"/>
              <w:rPr>
                <w:sz w:val="20"/>
                <w:szCs w:val="20"/>
                <w:color w:val="auto"/>
              </w:rPr>
            </w:pPr>
            <w:r>
              <w:rPr>
                <w:rFonts w:ascii="Arial" w:cs="Arial" w:eastAsia="Arial" w:hAnsi="Arial"/>
                <w:sz w:val="17"/>
                <w:szCs w:val="17"/>
                <w:color w:val="auto"/>
              </w:rPr>
              <w:t>Total fair value of identifiable net assets acquired</w:t>
            </w:r>
          </w:p>
        </w:tc>
        <w:tc>
          <w:tcPr>
            <w:tcW w:w="82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427,436</w:t>
            </w:r>
          </w:p>
        </w:tc>
      </w:tr>
      <w:tr>
        <w:trPr>
          <w:trHeight w:val="244"/>
        </w:trPr>
        <w:tc>
          <w:tcPr>
            <w:tcW w:w="80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r>
      <w:tr>
        <w:trPr>
          <w:trHeight w:val="210"/>
        </w:trPr>
        <w:tc>
          <w:tcPr>
            <w:tcW w:w="8000" w:type="dxa"/>
            <w:vAlign w:val="bottom"/>
          </w:tcPr>
          <w:p>
            <w:pPr>
              <w:ind w:left="380"/>
              <w:spacing w:after="0"/>
              <w:rPr>
                <w:sz w:val="20"/>
                <w:szCs w:val="20"/>
                <w:color w:val="auto"/>
              </w:rPr>
            </w:pPr>
            <w:r>
              <w:rPr>
                <w:rFonts w:ascii="Arial" w:cs="Arial" w:eastAsia="Arial" w:hAnsi="Arial"/>
                <w:sz w:val="17"/>
                <w:szCs w:val="17"/>
                <w:color w:val="auto"/>
              </w:rPr>
              <w:t>Preliminary goodwill</w:t>
            </w: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441,669</w:t>
            </w:r>
          </w:p>
        </w:tc>
      </w:tr>
      <w:tr>
        <w:trPr>
          <w:trHeight w:val="20"/>
        </w:trPr>
        <w:tc>
          <w:tcPr>
            <w:tcW w:w="8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20" w:firstLine="385"/>
        <w:spacing w:after="0" w:line="259" w:lineRule="auto"/>
        <w:rPr>
          <w:sz w:val="20"/>
          <w:szCs w:val="20"/>
          <w:color w:val="auto"/>
        </w:rPr>
      </w:pPr>
      <w:r>
        <w:rPr>
          <w:rFonts w:ascii="Arial" w:cs="Arial" w:eastAsia="Arial" w:hAnsi="Arial"/>
          <w:sz w:val="15"/>
          <w:szCs w:val="15"/>
          <w:color w:val="auto"/>
        </w:rPr>
        <w:t>The acquisitions of Liberty and Tracepoint were accounted for under the acquisition method of accounting, which requires the total acquisition consideration to be allocated to the assets acquired and liabilities assumed based on an estimate of the acquisition date fair value, with the difference reflected in goodwill.</w:t>
      </w:r>
    </w:p>
    <w:p>
      <w:pPr>
        <w:spacing w:after="0" w:line="1" w:lineRule="exact"/>
        <w:rPr>
          <w:sz w:val="20"/>
          <w:szCs w:val="20"/>
          <w:color w:val="auto"/>
        </w:rPr>
      </w:pPr>
    </w:p>
    <w:p>
      <w:pPr>
        <w:ind w:firstLine="385"/>
        <w:spacing w:after="0" w:line="254" w:lineRule="auto"/>
        <w:rPr>
          <w:sz w:val="20"/>
          <w:szCs w:val="20"/>
          <w:color w:val="auto"/>
        </w:rPr>
      </w:pPr>
      <w:r>
        <w:rPr>
          <w:rFonts w:ascii="Arial" w:cs="Arial" w:eastAsia="Arial" w:hAnsi="Arial"/>
          <w:sz w:val="15"/>
          <w:szCs w:val="15"/>
          <w:color w:val="auto"/>
        </w:rPr>
        <w:t>The fair values of assets acquired and liabilities assumed are preliminary and based on valuation estimates and assumptions. The accounting for business combinations require estimates and judgments regarding expectations of future cash flows of the acquired business, and the allocations of those cash flows to identifiable tangible and intangible assets. The estimates and assumptions underlying the preliminary valuations are subject to collection of information necessary to complete the valuations (specifically related to projected financial information) within the measurement periods, which are up to one year from the respective acquisition dates. Although the Company does not currently expect material changes to the initial value of net assets acquired, the Company continues to evaluate assumptions related to the valuation of the assets acquired and liabilities assumed. Any adjustments to our estimates of purchase price allocation will be made in the periods in which the adjustments are determined, and the cumulative effect of such adjustments will be calculated as if the adjustments had been completed as of the acquisition dates. Adjustments recorded during the three and six months ended September 30, 2021 were not material to our results from operations. As of September 30, 2021, the Company has not finalized the determination of fair values allocated to various assets and liabilities, including, but not limited to, accounts receivable, intangible assets, property, plant, and equipment, other current and long-term assets, accounts payable and accrued liabilities, and goodwill.</w:t>
      </w:r>
    </w:p>
    <w:p>
      <w:pPr>
        <w:spacing w:after="0" w:line="186" w:lineRule="exact"/>
        <w:rPr>
          <w:sz w:val="20"/>
          <w:szCs w:val="20"/>
          <w:color w:val="auto"/>
        </w:rPr>
      </w:pPr>
    </w:p>
    <w:p>
      <w:pPr>
        <w:ind w:right="340"/>
        <w:spacing w:after="0" w:line="245" w:lineRule="auto"/>
        <w:rPr>
          <w:sz w:val="20"/>
          <w:szCs w:val="20"/>
          <w:color w:val="auto"/>
        </w:rPr>
      </w:pPr>
      <w:r>
        <w:rPr>
          <w:rFonts w:ascii="Arial" w:cs="Arial" w:eastAsia="Arial" w:hAnsi="Arial"/>
          <w:sz w:val="17"/>
          <w:szCs w:val="17"/>
          <w:color w:val="auto"/>
        </w:rPr>
        <w:t>Pro forma results of operations for these acquisitions in the aggregate are not presented because these acquisitions are not material to the Company's condensed consolidated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2" w:lineRule="exact"/>
        <w:rPr>
          <w:sz w:val="20"/>
          <w:szCs w:val="20"/>
          <w:color w:val="auto"/>
        </w:rPr>
      </w:pPr>
    </w:p>
    <w:p>
      <w:pPr>
        <w:ind w:right="360" w:firstLine="385"/>
        <w:spacing w:after="0" w:line="346" w:lineRule="auto"/>
        <w:rPr>
          <w:sz w:val="20"/>
          <w:szCs w:val="20"/>
          <w:color w:val="auto"/>
        </w:rPr>
      </w:pPr>
      <w:r>
        <w:rPr>
          <w:rFonts w:ascii="Arial" w:cs="Arial" w:eastAsia="Arial" w:hAnsi="Arial"/>
          <w:sz w:val="15"/>
          <w:szCs w:val="15"/>
          <w:color w:val="auto"/>
        </w:rPr>
        <w:t>As of September 30, 2021 and March 31, 2021, goodwill was $2,022.8 million and $1,581.2 million, respectively. The increase in the carrying amount of goodwill was attributable to the Company's acquisitions of Liberty and Tracepoint, and the majority of goodwill is expected to be deductible for tax purposes.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3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Intangible assets consisted of the following:</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3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w w:val="95"/>
              </w:rPr>
              <w:t>March 31, 2021</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63"/>
              <w:spacing w:after="0" w:line="150" w:lineRule="exact"/>
              <w:rPr>
                <w:sz w:val="20"/>
                <w:szCs w:val="20"/>
                <w:color w:val="auto"/>
              </w:rPr>
            </w:pPr>
            <w:r>
              <w:rPr>
                <w:rFonts w:ascii="Arial" w:cs="Arial" w:eastAsia="Arial" w:hAnsi="Arial"/>
                <w:sz w:val="15"/>
                <w:szCs w:val="15"/>
                <w:b w:val="1"/>
                <w:bCs w:val="1"/>
                <w:color w:val="auto"/>
                <w:w w:val="97"/>
              </w:rPr>
              <w:t>Gross Carrying</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Accumulated</w:t>
            </w:r>
          </w:p>
        </w:tc>
        <w:tc>
          <w:tcPr>
            <w:tcW w:w="120" w:type="dxa"/>
            <w:vAlign w:val="bottom"/>
          </w:tcPr>
          <w:p>
            <w:pPr>
              <w:spacing w:after="0"/>
              <w:rPr>
                <w:sz w:val="13"/>
                <w:szCs w:val="13"/>
                <w:color w:val="auto"/>
              </w:rPr>
            </w:pPr>
          </w:p>
        </w:tc>
        <w:tc>
          <w:tcPr>
            <w:tcW w:w="1180" w:type="dxa"/>
            <w:vAlign w:val="bottom"/>
            <w:gridSpan w:val="2"/>
          </w:tcPr>
          <w:p>
            <w:pPr>
              <w:jc w:val="center"/>
              <w:ind w:right="300"/>
              <w:spacing w:after="0" w:line="150" w:lineRule="exact"/>
              <w:rPr>
                <w:sz w:val="20"/>
                <w:szCs w:val="20"/>
                <w:color w:val="auto"/>
              </w:rPr>
            </w:pPr>
            <w:r>
              <w:rPr>
                <w:rFonts w:ascii="Arial" w:cs="Arial" w:eastAsia="Arial" w:hAnsi="Arial"/>
                <w:sz w:val="15"/>
                <w:szCs w:val="15"/>
                <w:b w:val="1"/>
                <w:bCs w:val="1"/>
                <w:color w:val="auto"/>
                <w:w w:val="97"/>
              </w:rPr>
              <w:t>Net Carrying</w:t>
            </w: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0" w:lineRule="exact"/>
              <w:rPr>
                <w:sz w:val="20"/>
                <w:szCs w:val="20"/>
                <w:color w:val="auto"/>
              </w:rPr>
            </w:pPr>
            <w:r>
              <w:rPr>
                <w:rFonts w:ascii="Arial" w:cs="Arial" w:eastAsia="Arial" w:hAnsi="Arial"/>
                <w:sz w:val="15"/>
                <w:szCs w:val="15"/>
                <w:b w:val="1"/>
                <w:bCs w:val="1"/>
                <w:color w:val="auto"/>
                <w:w w:val="93"/>
              </w:rPr>
              <w:t>Gross Carrying</w:t>
            </w:r>
          </w:p>
        </w:tc>
        <w:tc>
          <w:tcPr>
            <w:tcW w:w="100" w:type="dxa"/>
            <w:vAlign w:val="bottom"/>
          </w:tcPr>
          <w:p>
            <w:pPr>
              <w:spacing w:after="0"/>
              <w:rPr>
                <w:sz w:val="13"/>
                <w:szCs w:val="13"/>
                <w:color w:val="auto"/>
              </w:rPr>
            </w:pPr>
          </w:p>
        </w:tc>
        <w:tc>
          <w:tcPr>
            <w:tcW w:w="1260" w:type="dxa"/>
            <w:vAlign w:val="bottom"/>
            <w:gridSpan w:val="2"/>
          </w:tcPr>
          <w:p>
            <w:pPr>
              <w:jc w:val="center"/>
              <w:ind w:right="200"/>
              <w:spacing w:after="0" w:line="150" w:lineRule="exact"/>
              <w:rPr>
                <w:sz w:val="20"/>
                <w:szCs w:val="20"/>
                <w:color w:val="auto"/>
              </w:rPr>
            </w:pPr>
            <w:r>
              <w:rPr>
                <w:rFonts w:ascii="Arial" w:cs="Arial" w:eastAsia="Arial" w:hAnsi="Arial"/>
                <w:sz w:val="15"/>
                <w:szCs w:val="15"/>
                <w:b w:val="1"/>
                <w:bCs w:val="1"/>
                <w:color w:val="auto"/>
                <w:w w:val="91"/>
              </w:rPr>
              <w:t>Accumulated</w:t>
            </w:r>
          </w:p>
        </w:tc>
        <w:tc>
          <w:tcPr>
            <w:tcW w:w="140" w:type="dxa"/>
            <w:vAlign w:val="bottom"/>
          </w:tcPr>
          <w:p>
            <w:pPr>
              <w:spacing w:after="0"/>
              <w:rPr>
                <w:sz w:val="13"/>
                <w:szCs w:val="13"/>
                <w:color w:val="auto"/>
              </w:rPr>
            </w:pPr>
          </w:p>
        </w:tc>
        <w:tc>
          <w:tcPr>
            <w:tcW w:w="1080" w:type="dxa"/>
            <w:vAlign w:val="bottom"/>
          </w:tcPr>
          <w:p>
            <w:pPr>
              <w:jc w:val="right"/>
              <w:ind w:right="83"/>
              <w:spacing w:after="0" w:line="150" w:lineRule="exact"/>
              <w:rPr>
                <w:sz w:val="20"/>
                <w:szCs w:val="20"/>
                <w:color w:val="auto"/>
              </w:rPr>
            </w:pPr>
            <w:r>
              <w:rPr>
                <w:rFonts w:ascii="Arial" w:cs="Arial" w:eastAsia="Arial" w:hAnsi="Arial"/>
                <w:sz w:val="15"/>
                <w:szCs w:val="15"/>
                <w:b w:val="1"/>
                <w:bCs w:val="1"/>
                <w:color w:val="auto"/>
                <w:w w:val="99"/>
              </w:rPr>
              <w:t>Net Carrying</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03"/>
              <w:spacing w:after="0"/>
              <w:rPr>
                <w:sz w:val="20"/>
                <w:szCs w:val="20"/>
                <w:color w:val="auto"/>
              </w:rPr>
            </w:pPr>
            <w:r>
              <w:rPr>
                <w:rFonts w:ascii="Arial" w:cs="Arial" w:eastAsia="Arial" w:hAnsi="Arial"/>
                <w:sz w:val="15"/>
                <w:szCs w:val="15"/>
                <w:b w:val="1"/>
                <w:bCs w:val="1"/>
                <w:color w:val="auto"/>
              </w:rPr>
              <w:t>Value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Value</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Value</w:t>
            </w:r>
          </w:p>
        </w:tc>
        <w:tc>
          <w:tcPr>
            <w:tcW w:w="1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5"/>
              </w:rPr>
              <w:t>Amortization</w:t>
            </w:r>
          </w:p>
        </w:tc>
        <w:tc>
          <w:tcPr>
            <w:tcW w:w="140" w:type="dxa"/>
            <w:vAlign w:val="bottom"/>
          </w:tcPr>
          <w:p>
            <w:pPr>
              <w:spacing w:after="0"/>
              <w:rPr>
                <w:sz w:val="18"/>
                <w:szCs w:val="18"/>
                <w:color w:val="auto"/>
              </w:rPr>
            </w:pPr>
          </w:p>
        </w:tc>
        <w:tc>
          <w:tcPr>
            <w:tcW w:w="1080" w:type="dxa"/>
            <w:vAlign w:val="bottom"/>
          </w:tcPr>
          <w:p>
            <w:pPr>
              <w:jc w:val="right"/>
              <w:ind w:right="343"/>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187"/>
        </w:trPr>
        <w:tc>
          <w:tcPr>
            <w:tcW w:w="3080" w:type="dxa"/>
            <w:vAlign w:val="bottom"/>
          </w:tcPr>
          <w:p>
            <w:pPr>
              <w:spacing w:after="0"/>
              <w:rPr>
                <w:sz w:val="20"/>
                <w:szCs w:val="20"/>
                <w:color w:val="auto"/>
              </w:rPr>
            </w:pPr>
            <w:r>
              <w:rPr>
                <w:rFonts w:ascii="Arial" w:cs="Arial" w:eastAsia="Arial" w:hAnsi="Arial"/>
                <w:sz w:val="15"/>
                <w:szCs w:val="15"/>
                <w:color w:val="auto"/>
              </w:rPr>
              <w:t>Amortizable intangible assets:</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080" w:type="dxa"/>
            <w:vAlign w:val="bottom"/>
          </w:tcPr>
          <w:p>
            <w:pPr>
              <w:ind w:left="200"/>
              <w:spacing w:after="0" w:line="164" w:lineRule="exact"/>
              <w:rPr>
                <w:sz w:val="20"/>
                <w:szCs w:val="20"/>
                <w:color w:val="auto"/>
              </w:rPr>
            </w:pPr>
            <w:r>
              <w:rPr>
                <w:rFonts w:ascii="Arial" w:cs="Arial" w:eastAsia="Arial" w:hAnsi="Arial"/>
                <w:sz w:val="15"/>
                <w:szCs w:val="15"/>
                <w:color w:val="auto"/>
              </w:rPr>
              <w:t>Customer relationships and other</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481,900</w:t>
            </w:r>
          </w:p>
        </w:tc>
        <w:tc>
          <w:tcPr>
            <w:tcW w:w="300" w:type="dxa"/>
            <w:vAlign w:val="bottom"/>
            <w:gridSpan w:val="3"/>
            <w:vMerge w:val="restart"/>
          </w:tcPr>
          <w:p>
            <w:pPr>
              <w:jc w:val="right"/>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69,366</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412,534</w:t>
            </w:r>
          </w:p>
        </w:tc>
        <w:tc>
          <w:tcPr>
            <w:tcW w:w="1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tcPr>
          <w:p>
            <w:pPr>
              <w:jc w:val="right"/>
              <w:ind w:right="3"/>
              <w:spacing w:after="0"/>
              <w:rPr>
                <w:sz w:val="20"/>
                <w:szCs w:val="20"/>
                <w:color w:val="auto"/>
              </w:rPr>
            </w:pPr>
            <w:r>
              <w:rPr>
                <w:rFonts w:ascii="Arial" w:cs="Arial" w:eastAsia="Arial" w:hAnsi="Arial"/>
                <w:sz w:val="15"/>
                <w:szCs w:val="15"/>
                <w:color w:val="auto"/>
              </w:rPr>
              <w:t>82,400</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50,503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31,897</w:t>
            </w:r>
          </w:p>
        </w:tc>
        <w:tc>
          <w:tcPr>
            <w:tcW w:w="0" w:type="dxa"/>
            <w:vAlign w:val="bottom"/>
          </w:tcPr>
          <w:p>
            <w:pPr>
              <w:spacing w:after="0"/>
              <w:rPr>
                <w:sz w:val="1"/>
                <w:szCs w:val="1"/>
                <w:color w:val="auto"/>
              </w:rPr>
            </w:pPr>
          </w:p>
        </w:tc>
      </w:tr>
      <w:tr>
        <w:trPr>
          <w:trHeight w:val="205"/>
        </w:trPr>
        <w:tc>
          <w:tcPr>
            <w:tcW w:w="3080" w:type="dxa"/>
            <w:vAlign w:val="bottom"/>
          </w:tcPr>
          <w:p>
            <w:pPr>
              <w:ind w:left="200"/>
              <w:spacing w:after="0" w:line="205" w:lineRule="exact"/>
              <w:rPr>
                <w:sz w:val="20"/>
                <w:szCs w:val="20"/>
                <w:color w:val="auto"/>
              </w:rPr>
            </w:pPr>
            <w:r>
              <w:rPr>
                <w:rFonts w:ascii="Arial" w:cs="Arial" w:eastAsia="Arial" w:hAnsi="Arial"/>
                <w:sz w:val="15"/>
                <w:szCs w:val="15"/>
                <w:color w:val="auto"/>
              </w:rPr>
              <w:t>amortizable intangible assets</w:t>
            </w:r>
            <w:r>
              <w:rPr>
                <w:rFonts w:ascii="Arial" w:cs="Arial" w:eastAsia="Arial" w:hAnsi="Arial"/>
                <w:sz w:val="19"/>
                <w:szCs w:val="19"/>
                <w:color w:val="auto"/>
                <w:vertAlign w:val="superscript"/>
              </w:rPr>
              <w:t>(1)</w:t>
            </w:r>
          </w:p>
        </w:tc>
        <w:tc>
          <w:tcPr>
            <w:tcW w:w="1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0"/>
              <w:spacing w:after="0"/>
              <w:rPr>
                <w:sz w:val="20"/>
                <w:szCs w:val="20"/>
                <w:color w:val="auto"/>
              </w:rPr>
            </w:pPr>
            <w:r>
              <w:rPr>
                <w:rFonts w:ascii="Arial" w:cs="Arial" w:eastAsia="Arial" w:hAnsi="Arial"/>
                <w:sz w:val="15"/>
                <w:szCs w:val="15"/>
                <w:color w:val="auto"/>
              </w:rPr>
              <w:t>Software</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121,518</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41,972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79,546</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114,972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29,941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85,031</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20"/>
                <w:szCs w:val="20"/>
                <w:color w:val="auto"/>
              </w:rPr>
            </w:pPr>
            <w:r>
              <w:rPr>
                <w:rFonts w:ascii="Arial" w:cs="Arial" w:eastAsia="Arial" w:hAnsi="Arial"/>
                <w:sz w:val="15"/>
                <w:szCs w:val="15"/>
                <w:color w:val="auto"/>
              </w:rPr>
              <w:t>Total amortizable intangible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603,418</w:t>
            </w:r>
          </w:p>
        </w:tc>
        <w:tc>
          <w:tcPr>
            <w:tcW w:w="3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111,338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492,080</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197,372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80,444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116,928</w:t>
            </w:r>
          </w:p>
        </w:tc>
        <w:tc>
          <w:tcPr>
            <w:tcW w:w="0" w:type="dxa"/>
            <w:vAlign w:val="bottom"/>
          </w:tcPr>
          <w:p>
            <w:pPr>
              <w:spacing w:after="0"/>
              <w:rPr>
                <w:sz w:val="1"/>
                <w:szCs w:val="1"/>
                <w:color w:val="auto"/>
              </w:rPr>
            </w:pPr>
          </w:p>
        </w:tc>
      </w:tr>
      <w:tr>
        <w:trPr>
          <w:trHeight w:val="185"/>
        </w:trPr>
        <w:tc>
          <w:tcPr>
            <w:tcW w:w="3080" w:type="dxa"/>
            <w:vAlign w:val="bottom"/>
          </w:tcPr>
          <w:p>
            <w:pPr>
              <w:spacing w:after="0"/>
              <w:rPr>
                <w:sz w:val="20"/>
                <w:szCs w:val="20"/>
                <w:color w:val="auto"/>
              </w:rPr>
            </w:pPr>
            <w:r>
              <w:rPr>
                <w:rFonts w:ascii="Arial" w:cs="Arial" w:eastAsia="Arial" w:hAnsi="Arial"/>
                <w:sz w:val="15"/>
                <w:szCs w:val="15"/>
                <w:color w:val="auto"/>
              </w:rPr>
              <w:t>Unamortizable intangible assets:</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80" w:type="dxa"/>
            <w:vAlign w:val="bottom"/>
          </w:tcPr>
          <w:p>
            <w:pPr>
              <w:ind w:left="200"/>
              <w:spacing w:after="0"/>
              <w:rPr>
                <w:sz w:val="20"/>
                <w:szCs w:val="20"/>
                <w:color w:val="auto"/>
              </w:rPr>
            </w:pPr>
            <w:r>
              <w:rPr>
                <w:rFonts w:ascii="Arial" w:cs="Arial" w:eastAsia="Arial" w:hAnsi="Arial"/>
                <w:sz w:val="15"/>
                <w:szCs w:val="15"/>
                <w:color w:val="auto"/>
              </w:rPr>
              <w:t>Trade name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190,200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190,200</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190,200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190,200</w:t>
            </w:r>
          </w:p>
        </w:tc>
        <w:tc>
          <w:tcPr>
            <w:tcW w:w="0" w:type="dxa"/>
            <w:vAlign w:val="bottom"/>
          </w:tcPr>
          <w:p>
            <w:pPr>
              <w:spacing w:after="0"/>
              <w:rPr>
                <w:sz w:val="1"/>
                <w:szCs w:val="1"/>
                <w:color w:val="auto"/>
              </w:rPr>
            </w:pPr>
          </w:p>
        </w:tc>
      </w:tr>
      <w:tr>
        <w:trPr>
          <w:trHeight w:val="201"/>
        </w:trPr>
        <w:tc>
          <w:tcPr>
            <w:tcW w:w="3080" w:type="dxa"/>
            <w:vAlign w:val="bottom"/>
          </w:tcPr>
          <w:p>
            <w:pPr>
              <w:spacing w:after="0"/>
              <w:rPr>
                <w:sz w:val="20"/>
                <w:szCs w:val="20"/>
                <w:color w:val="auto"/>
              </w:rPr>
            </w:pPr>
            <w:r>
              <w:rPr>
                <w:rFonts w:ascii="Arial" w:cs="Arial" w:eastAsia="Arial" w:hAnsi="Arial"/>
                <w:sz w:val="15"/>
                <w:szCs w:val="15"/>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793,618</w:t>
            </w:r>
          </w:p>
        </w:tc>
        <w:tc>
          <w:tcPr>
            <w:tcW w:w="3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111,338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682,280</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
              <w:spacing w:after="0"/>
              <w:rPr>
                <w:sz w:val="20"/>
                <w:szCs w:val="20"/>
                <w:color w:val="auto"/>
              </w:rPr>
            </w:pPr>
            <w:r>
              <w:rPr>
                <w:rFonts w:ascii="Arial" w:cs="Arial" w:eastAsia="Arial" w:hAnsi="Arial"/>
                <w:sz w:val="15"/>
                <w:szCs w:val="15"/>
                <w:color w:val="auto"/>
              </w:rPr>
              <w:t>387,572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80,444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307,128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60" w:right="100" w:firstLine="231"/>
        <w:spacing w:after="0" w:line="228"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The increase in the carrying amount of customer relationships and other amortizable intangible assets was attributable to the Company's acquisitions of Liberty and Tracepoint.</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remainder of fiscal 2022 and estimated annual amortization expense for future periods:</w:t>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8000" w:type="dxa"/>
            <w:vAlign w:val="bottom"/>
          </w:tcPr>
          <w:p>
            <w:pPr>
              <w:ind w:left="400"/>
              <w:spacing w:after="0"/>
              <w:rPr>
                <w:sz w:val="20"/>
                <w:szCs w:val="20"/>
                <w:color w:val="auto"/>
              </w:rPr>
            </w:pPr>
            <w:r>
              <w:rPr>
                <w:rFonts w:ascii="Arial" w:cs="Arial" w:eastAsia="Arial" w:hAnsi="Arial"/>
                <w:sz w:val="14"/>
                <w:szCs w:val="14"/>
                <w:b w:val="1"/>
                <w:bCs w:val="1"/>
                <w:color w:val="auto"/>
              </w:rPr>
              <w:t>Fiscal Year Ending</w:t>
            </w: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24"/>
        </w:trPr>
        <w:tc>
          <w:tcPr>
            <w:tcW w:w="80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Remainder of 2022</w:t>
            </w:r>
          </w:p>
        </w:tc>
        <w:tc>
          <w:tcPr>
            <w:tcW w:w="1280" w:type="dxa"/>
            <w:vAlign w:val="bottom"/>
            <w:shd w:val="clear" w:color="auto" w:fill="CCEEFF"/>
          </w:tcPr>
          <w:p>
            <w:pPr>
              <w:jc w:val="right"/>
              <w:ind w:right="71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44,563</w:t>
            </w:r>
          </w:p>
        </w:tc>
      </w:tr>
      <w:tr>
        <w:trPr>
          <w:trHeight w:val="217"/>
        </w:trPr>
        <w:tc>
          <w:tcPr>
            <w:tcW w:w="8000" w:type="dxa"/>
            <w:vAlign w:val="bottom"/>
          </w:tcPr>
          <w:p>
            <w:pPr>
              <w:ind w:left="400"/>
              <w:spacing w:after="0"/>
              <w:rPr>
                <w:sz w:val="20"/>
                <w:szCs w:val="20"/>
                <w:color w:val="auto"/>
              </w:rPr>
            </w:pPr>
            <w:r>
              <w:rPr>
                <w:rFonts w:ascii="Arial" w:cs="Arial" w:eastAsia="Arial" w:hAnsi="Arial"/>
                <w:sz w:val="17"/>
                <w:szCs w:val="17"/>
                <w:color w:val="auto"/>
              </w:rPr>
              <w:t>2023</w:t>
            </w:r>
          </w:p>
        </w:tc>
        <w:tc>
          <w:tcPr>
            <w:tcW w:w="1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82,319</w:t>
            </w:r>
          </w:p>
        </w:tc>
      </w:tr>
      <w:tr>
        <w:trPr>
          <w:trHeight w:val="219"/>
        </w:trPr>
        <w:tc>
          <w:tcPr>
            <w:tcW w:w="80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2024</w:t>
            </w:r>
          </w:p>
        </w:tc>
        <w:tc>
          <w:tcPr>
            <w:tcW w:w="1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68,904</w:t>
            </w:r>
          </w:p>
        </w:tc>
      </w:tr>
      <w:tr>
        <w:trPr>
          <w:trHeight w:val="217"/>
        </w:trPr>
        <w:tc>
          <w:tcPr>
            <w:tcW w:w="8000" w:type="dxa"/>
            <w:vAlign w:val="bottom"/>
          </w:tcPr>
          <w:p>
            <w:pPr>
              <w:ind w:left="400"/>
              <w:spacing w:after="0"/>
              <w:rPr>
                <w:sz w:val="20"/>
                <w:szCs w:val="20"/>
                <w:color w:val="auto"/>
              </w:rPr>
            </w:pPr>
            <w:r>
              <w:rPr>
                <w:rFonts w:ascii="Arial" w:cs="Arial" w:eastAsia="Arial" w:hAnsi="Arial"/>
                <w:sz w:val="17"/>
                <w:szCs w:val="17"/>
                <w:color w:val="auto"/>
              </w:rPr>
              <w:t>2025</w:t>
            </w:r>
          </w:p>
        </w:tc>
        <w:tc>
          <w:tcPr>
            <w:tcW w:w="1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59,591</w:t>
            </w:r>
          </w:p>
        </w:tc>
      </w:tr>
      <w:tr>
        <w:trPr>
          <w:trHeight w:val="219"/>
        </w:trPr>
        <w:tc>
          <w:tcPr>
            <w:tcW w:w="80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2026</w:t>
            </w:r>
          </w:p>
        </w:tc>
        <w:tc>
          <w:tcPr>
            <w:tcW w:w="1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52,732</w:t>
            </w:r>
          </w:p>
        </w:tc>
      </w:tr>
      <w:tr>
        <w:trPr>
          <w:trHeight w:val="217"/>
        </w:trPr>
        <w:tc>
          <w:tcPr>
            <w:tcW w:w="8000" w:type="dxa"/>
            <w:vAlign w:val="bottom"/>
            <w:tcBorders>
              <w:bottom w:val="single" w:sz="8" w:color="CCEEFF"/>
            </w:tcBorders>
          </w:tcPr>
          <w:p>
            <w:pPr>
              <w:ind w:left="400"/>
              <w:spacing w:after="0"/>
              <w:rPr>
                <w:sz w:val="20"/>
                <w:szCs w:val="20"/>
                <w:color w:val="auto"/>
              </w:rPr>
            </w:pPr>
            <w:r>
              <w:rPr>
                <w:rFonts w:ascii="Arial" w:cs="Arial" w:eastAsia="Arial" w:hAnsi="Arial"/>
                <w:sz w:val="17"/>
                <w:szCs w:val="17"/>
                <w:color w:val="auto"/>
              </w:rPr>
              <w:t>Thereafter</w:t>
            </w:r>
          </w:p>
        </w:tc>
        <w:tc>
          <w:tcPr>
            <w:tcW w:w="1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183,971</w:t>
            </w:r>
          </w:p>
        </w:tc>
      </w:tr>
      <w:tr>
        <w:trPr>
          <w:trHeight w:val="236"/>
        </w:trPr>
        <w:tc>
          <w:tcPr>
            <w:tcW w:w="80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492,080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Amortization expense for the three months ended September 30, 2021 and September 30, 2020 was $20.4 million and $5.0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six months ended September 30, 2021 and September 30, 2020 was $30.7 million and $9.8 million, respectively.</w:t>
      </w:r>
    </w:p>
    <w:p>
      <w:pPr>
        <w:spacing w:after="0" w:line="200" w:lineRule="exact"/>
        <w:rPr>
          <w:sz w:val="20"/>
          <w:szCs w:val="20"/>
          <w:color w:val="auto"/>
        </w:rPr>
      </w:pPr>
    </w:p>
    <w:p>
      <w:pPr>
        <w:spacing w:after="0" w:line="230" w:lineRule="exact"/>
        <w:rPr>
          <w:sz w:val="20"/>
          <w:szCs w:val="20"/>
          <w:color w:val="auto"/>
        </w:rPr>
      </w:pPr>
    </w:p>
    <w:p>
      <w:pPr>
        <w:ind w:left="420" w:right="5900" w:hanging="417"/>
        <w:spacing w:after="0" w:line="448" w:lineRule="auto"/>
        <w:tabs>
          <w:tab w:leader="none" w:pos="16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PAYABLE AND OTHER ACCRUED EXPENSES </w:t>
      </w:r>
      <w:r>
        <w:rPr>
          <w:rFonts w:ascii="Arial" w:cs="Arial" w:eastAsia="Arial" w:hAnsi="Arial"/>
          <w:sz w:val="16"/>
          <w:szCs w:val="16"/>
          <w:color w:val="auto"/>
        </w:rPr>
        <w:t>Accounts payable and other accrued expenses consisted of the following:</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4"/>
                <w:szCs w:val="14"/>
                <w:b w:val="1"/>
                <w:bCs w:val="1"/>
                <w:color w:val="auto"/>
              </w:rPr>
              <w:t>March 31,</w:t>
            </w:r>
          </w:p>
        </w:tc>
      </w:tr>
      <w:tr>
        <w:trPr>
          <w:trHeight w:val="178"/>
        </w:trPr>
        <w:tc>
          <w:tcPr>
            <w:tcW w:w="73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r>
      <w:tr>
        <w:trPr>
          <w:trHeight w:val="213"/>
        </w:trPr>
        <w:tc>
          <w:tcPr>
            <w:tcW w:w="73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Vendor payables</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483,807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r>
      <w:tr>
        <w:trPr>
          <w:trHeight w:val="217"/>
        </w:trPr>
        <w:tc>
          <w:tcPr>
            <w:tcW w:w="73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Accrued expenses</w:t>
            </w: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374,998</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r>
      <w:tr>
        <w:trPr>
          <w:trHeight w:val="236"/>
        </w:trPr>
        <w:tc>
          <w:tcPr>
            <w:tcW w:w="73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Total accounts payable and other accrued expenses</w:t>
            </w: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858,805</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20" w:firstLine="423"/>
        <w:spacing w:after="0" w:line="277" w:lineRule="auto"/>
        <w:rPr>
          <w:sz w:val="20"/>
          <w:szCs w:val="20"/>
          <w:color w:val="auto"/>
        </w:rPr>
      </w:pPr>
      <w:r>
        <w:rPr>
          <w:rFonts w:ascii="Arial" w:cs="Arial" w:eastAsia="Arial" w:hAnsi="Arial"/>
          <w:sz w:val="17"/>
          <w:szCs w:val="17"/>
          <w:color w:val="auto"/>
        </w:rPr>
        <w:t>Accrued expenses consisted primarily of the Company’s provision for claimed indirect costs, which were approximately $276.9 million and $263.2 million as of September 30, 2021 and March 31, 2021, respectively. See Note 17 for further discussion of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ACCRUED COMPENSATION AND BENEFITS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Accrued compensation and benefits consisted of the following:</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00" w:type="dxa"/>
            <w:vAlign w:val="bottom"/>
          </w:tcPr>
          <w:p>
            <w:pPr>
              <w:jc w:val="right"/>
              <w:ind w:right="359"/>
              <w:spacing w:after="0"/>
              <w:rPr>
                <w:sz w:val="20"/>
                <w:szCs w:val="20"/>
                <w:color w:val="auto"/>
              </w:rPr>
            </w:pPr>
            <w:r>
              <w:rPr>
                <w:rFonts w:ascii="Arial" w:cs="Arial" w:eastAsia="Arial" w:hAnsi="Arial"/>
                <w:sz w:val="14"/>
                <w:szCs w:val="14"/>
                <w:b w:val="1"/>
                <w:bCs w:val="1"/>
                <w:color w:val="auto"/>
              </w:rPr>
              <w:t>March 31,</w:t>
            </w:r>
          </w:p>
        </w:tc>
      </w:tr>
      <w:tr>
        <w:trPr>
          <w:trHeight w:val="178"/>
        </w:trPr>
        <w:tc>
          <w:tcPr>
            <w:tcW w:w="8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Bonus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130,565</w:t>
            </w:r>
          </w:p>
        </w:tc>
      </w:tr>
      <w:tr>
        <w:trPr>
          <w:trHeight w:val="217"/>
        </w:trPr>
        <w:tc>
          <w:tcPr>
            <w:tcW w:w="8180" w:type="dxa"/>
            <w:vAlign w:val="bottom"/>
          </w:tcPr>
          <w:p>
            <w:pPr>
              <w:ind w:left="20"/>
              <w:spacing w:after="0"/>
              <w:rPr>
                <w:sz w:val="20"/>
                <w:szCs w:val="20"/>
                <w:color w:val="auto"/>
              </w:rPr>
            </w:pPr>
            <w:r>
              <w:rPr>
                <w:rFonts w:ascii="Arial" w:cs="Arial" w:eastAsia="Arial" w:hAnsi="Arial"/>
                <w:sz w:val="17"/>
                <w:szCs w:val="17"/>
                <w:color w:val="auto"/>
              </w:rPr>
              <w:t>Retirement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79,724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44,474</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204,486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202,100</w:t>
            </w:r>
          </w:p>
        </w:tc>
      </w:tr>
      <w:tr>
        <w:trPr>
          <w:trHeight w:val="21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44,432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48,476</w:t>
            </w:r>
          </w:p>
        </w:tc>
      </w:tr>
      <w:tr>
        <w:trPr>
          <w:trHeight w:val="236"/>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accrued compensation and benefits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384,694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425,615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DEBT</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Debt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8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798"/>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918"/>
              <w:spacing w:after="0"/>
              <w:rPr>
                <w:sz w:val="20"/>
                <w:szCs w:val="20"/>
                <w:color w:val="auto"/>
              </w:rPr>
            </w:pPr>
            <w:r>
              <w:rPr>
                <w:rFonts w:ascii="Arial" w:cs="Arial" w:eastAsia="Arial" w:hAnsi="Arial"/>
                <w:sz w:val="14"/>
                <w:szCs w:val="14"/>
                <w:b w:val="1"/>
                <w:bCs w:val="1"/>
                <w:color w:val="auto"/>
              </w:rPr>
              <w:t>March 31, 2021</w:t>
            </w:r>
          </w:p>
        </w:tc>
      </w:tr>
      <w:tr>
        <w:trPr>
          <w:trHeight w:val="127"/>
        </w:trPr>
        <w:tc>
          <w:tcPr>
            <w:tcW w:w="5280" w:type="dxa"/>
            <w:vAlign w:val="bottom"/>
          </w:tcPr>
          <w:p>
            <w:pPr>
              <w:spacing w:after="0"/>
              <w:rPr>
                <w:sz w:val="11"/>
                <w:szCs w:val="11"/>
                <w:color w:val="auto"/>
              </w:rPr>
            </w:pPr>
          </w:p>
        </w:tc>
        <w:tc>
          <w:tcPr>
            <w:tcW w:w="1540" w:type="dxa"/>
            <w:vAlign w:val="bottom"/>
            <w:gridSpan w:val="2"/>
          </w:tcPr>
          <w:p>
            <w:pPr>
              <w:ind w:left="480"/>
              <w:spacing w:after="0" w:line="127"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1"/>
                <w:szCs w:val="11"/>
                <w:color w:val="auto"/>
              </w:rPr>
            </w:pPr>
          </w:p>
        </w:tc>
        <w:tc>
          <w:tcPr>
            <w:tcW w:w="1140" w:type="dxa"/>
            <w:vAlign w:val="bottom"/>
          </w:tcPr>
          <w:p>
            <w:pPr>
              <w:jc w:val="right"/>
              <w:ind w:right="218"/>
              <w:spacing w:after="0" w:line="127" w:lineRule="exact"/>
              <w:rPr>
                <w:sz w:val="20"/>
                <w:szCs w:val="20"/>
                <w:color w:val="auto"/>
              </w:rPr>
            </w:pPr>
            <w:r>
              <w:rPr>
                <w:rFonts w:ascii="Arial" w:cs="Arial" w:eastAsia="Arial" w:hAnsi="Arial"/>
                <w:sz w:val="14"/>
                <w:szCs w:val="14"/>
                <w:b w:val="1"/>
                <w:bCs w:val="1"/>
                <w:color w:val="auto"/>
                <w:w w:val="99"/>
              </w:rPr>
              <w:t>Outstanding</w:t>
            </w:r>
          </w:p>
        </w:tc>
        <w:tc>
          <w:tcPr>
            <w:tcW w:w="100" w:type="dxa"/>
            <w:vAlign w:val="bottom"/>
          </w:tcPr>
          <w:p>
            <w:pPr>
              <w:spacing w:after="0"/>
              <w:rPr>
                <w:sz w:val="11"/>
                <w:szCs w:val="11"/>
                <w:color w:val="auto"/>
              </w:rPr>
            </w:pPr>
          </w:p>
        </w:tc>
        <w:tc>
          <w:tcPr>
            <w:tcW w:w="1760" w:type="dxa"/>
            <w:vAlign w:val="bottom"/>
            <w:gridSpan w:val="3"/>
          </w:tcPr>
          <w:p>
            <w:pPr>
              <w:jc w:val="right"/>
              <w:ind w:right="800"/>
              <w:spacing w:after="0" w:line="127" w:lineRule="exact"/>
              <w:rPr>
                <w:sz w:val="20"/>
                <w:szCs w:val="20"/>
                <w:color w:val="auto"/>
              </w:rPr>
            </w:pPr>
            <w:r>
              <w:rPr>
                <w:rFonts w:ascii="Arial" w:cs="Arial" w:eastAsia="Arial" w:hAnsi="Arial"/>
                <w:sz w:val="14"/>
                <w:szCs w:val="14"/>
                <w:b w:val="1"/>
                <w:bCs w:val="1"/>
                <w:color w:val="auto"/>
              </w:rPr>
              <w:t>Interest</w:t>
            </w:r>
          </w:p>
        </w:tc>
        <w:tc>
          <w:tcPr>
            <w:tcW w:w="1140" w:type="dxa"/>
            <w:vAlign w:val="bottom"/>
          </w:tcPr>
          <w:p>
            <w:pPr>
              <w:jc w:val="right"/>
              <w:ind w:right="218"/>
              <w:spacing w:after="0" w:line="127" w:lineRule="exact"/>
              <w:rPr>
                <w:sz w:val="20"/>
                <w:szCs w:val="20"/>
                <w:color w:val="auto"/>
              </w:rPr>
            </w:pPr>
            <w:r>
              <w:rPr>
                <w:rFonts w:ascii="Arial" w:cs="Arial" w:eastAsia="Arial" w:hAnsi="Arial"/>
                <w:sz w:val="14"/>
                <w:szCs w:val="14"/>
                <w:b w:val="1"/>
                <w:bCs w:val="1"/>
                <w:color w:val="auto"/>
                <w:w w:val="99"/>
              </w:rPr>
              <w:t>Outstanding</w:t>
            </w:r>
          </w:p>
        </w:tc>
      </w:tr>
      <w:tr>
        <w:trPr>
          <w:trHeight w:val="178"/>
        </w:trPr>
        <w:tc>
          <w:tcPr>
            <w:tcW w:w="52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27"/>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Balance</w:t>
            </w: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A</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1,273,642</w:t>
            </w:r>
          </w:p>
        </w:tc>
        <w:tc>
          <w:tcPr>
            <w:tcW w:w="186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1.61 %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1,289,764</w:t>
            </w:r>
          </w:p>
        </w:tc>
      </w:tr>
      <w:tr>
        <w:trPr>
          <w:trHeight w:val="217"/>
        </w:trPr>
        <w:tc>
          <w:tcPr>
            <w:tcW w:w="5280" w:type="dxa"/>
            <w:vAlign w:val="bottom"/>
          </w:tcPr>
          <w:p>
            <w:pPr>
              <w:ind w:left="20"/>
              <w:spacing w:after="0"/>
              <w:rPr>
                <w:sz w:val="20"/>
                <w:szCs w:val="20"/>
                <w:color w:val="auto"/>
              </w:rPr>
            </w:pPr>
            <w:r>
              <w:rPr>
                <w:rFonts w:ascii="Arial" w:cs="Arial" w:eastAsia="Arial" w:hAnsi="Arial"/>
                <w:sz w:val="17"/>
                <w:szCs w:val="17"/>
                <w:color w:val="auto"/>
              </w:rPr>
              <w:t>Term Loan B</w:t>
            </w:r>
          </w:p>
        </w:tc>
        <w:tc>
          <w:tcPr>
            <w:tcW w:w="1440" w:type="dxa"/>
            <w:vAlign w:val="bottom"/>
          </w:tcPr>
          <w:p>
            <w:pPr>
              <w:jc w:val="right"/>
              <w:spacing w:after="0"/>
              <w:rPr>
                <w:sz w:val="20"/>
                <w:szCs w:val="20"/>
                <w:color w:val="auto"/>
              </w:rPr>
            </w:pPr>
            <w:r>
              <w:rPr>
                <w:rFonts w:ascii="Arial" w:cs="Arial" w:eastAsia="Arial" w:hAnsi="Arial"/>
                <w:sz w:val="17"/>
                <w:szCs w:val="17"/>
                <w:color w:val="auto"/>
              </w:rPr>
              <w:t>1.83 %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382,266</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1.86 %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384,212</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due 2028</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700,000</w:t>
            </w:r>
          </w:p>
        </w:tc>
      </w:tr>
      <w:tr>
        <w:trPr>
          <w:trHeight w:val="217"/>
        </w:trPr>
        <w:tc>
          <w:tcPr>
            <w:tcW w:w="5280" w:type="dxa"/>
            <w:vAlign w:val="bottom"/>
          </w:tcPr>
          <w:p>
            <w:pPr>
              <w:ind w:left="20"/>
              <w:spacing w:after="0"/>
              <w:rPr>
                <w:sz w:val="20"/>
                <w:szCs w:val="20"/>
                <w:color w:val="auto"/>
              </w:rPr>
            </w:pPr>
            <w:r>
              <w:rPr>
                <w:rFonts w:ascii="Arial" w:cs="Arial" w:eastAsia="Arial" w:hAnsi="Arial"/>
                <w:sz w:val="17"/>
                <w:szCs w:val="17"/>
                <w:color w:val="auto"/>
              </w:rPr>
              <w:t>Senior Notes due 2029</w:t>
            </w:r>
          </w:p>
        </w:tc>
        <w:tc>
          <w:tcPr>
            <w:tcW w:w="1440" w:type="dxa"/>
            <w:vAlign w:val="bottom"/>
          </w:tcPr>
          <w:p>
            <w:pPr>
              <w:jc w:val="right"/>
              <w:spacing w:after="0"/>
              <w:rPr>
                <w:sz w:val="20"/>
                <w:szCs w:val="20"/>
                <w:color w:val="auto"/>
              </w:rPr>
            </w:pPr>
            <w:r>
              <w:rPr>
                <w:rFonts w:ascii="Arial" w:cs="Arial" w:eastAsia="Arial" w:hAnsi="Arial"/>
                <w:sz w:val="17"/>
                <w:szCs w:val="17"/>
                <w:color w:val="auto"/>
              </w:rPr>
              <w:t>4.00 %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500,000</w:t>
            </w:r>
          </w:p>
        </w:tc>
        <w:tc>
          <w:tcPr>
            <w:tcW w:w="100" w:type="dxa"/>
            <w:vAlign w:val="bottom"/>
          </w:tcPr>
          <w:p>
            <w:pPr>
              <w:spacing w:after="0"/>
              <w:rPr>
                <w:sz w:val="18"/>
                <w:szCs w:val="18"/>
                <w:color w:val="auto"/>
              </w:rPr>
            </w:pPr>
          </w:p>
        </w:tc>
        <w:tc>
          <w:tcPr>
            <w:tcW w:w="1760" w:type="dxa"/>
            <w:vAlign w:val="bottom"/>
            <w:gridSpan w:val="3"/>
          </w:tcPr>
          <w:p>
            <w:pPr>
              <w:jc w:val="right"/>
              <w:ind w:right="320"/>
              <w:spacing w:after="0"/>
              <w:rPr>
                <w:sz w:val="20"/>
                <w:szCs w:val="20"/>
                <w:color w:val="auto"/>
              </w:rPr>
            </w:pPr>
            <w:r>
              <w:rPr>
                <w:rFonts w:ascii="Arial" w:cs="Arial" w:eastAsia="Arial" w:hAnsi="Arial"/>
                <w:sz w:val="17"/>
                <w:szCs w:val="17"/>
                <w:color w:val="auto"/>
              </w:rPr>
              <w:t>— %</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5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Unamortized debt issuance costs and discount on debt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(17,380)</w:t>
            </w:r>
          </w:p>
        </w:tc>
      </w:tr>
      <w:tr>
        <w:trPr>
          <w:trHeight w:val="210"/>
        </w:trPr>
        <w:tc>
          <w:tcPr>
            <w:tcW w:w="5280" w:type="dxa"/>
            <w:vAlign w:val="bottom"/>
          </w:tcPr>
          <w:p>
            <w:pPr>
              <w:ind w:left="320"/>
              <w:spacing w:after="0"/>
              <w:rPr>
                <w:sz w:val="20"/>
                <w:szCs w:val="20"/>
                <w:color w:val="auto"/>
              </w:rPr>
            </w:pPr>
            <w:r>
              <w:rPr>
                <w:rFonts w:ascii="Arial" w:cs="Arial" w:eastAsia="Arial" w:hAnsi="Arial"/>
                <w:sz w:val="17"/>
                <w:szCs w:val="17"/>
                <w:color w:val="auto"/>
              </w:rPr>
              <w:t>Total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2,832,462</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2,356,596</w:t>
            </w:r>
          </w:p>
        </w:tc>
      </w:tr>
      <w:tr>
        <w:trPr>
          <w:trHeight w:val="219"/>
        </w:trPr>
        <w:tc>
          <w:tcPr>
            <w:tcW w:w="5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Less: Current portion of long-term debt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(68,379)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(77,865)</w:t>
            </w:r>
          </w:p>
        </w:tc>
      </w:tr>
      <w:tr>
        <w:trPr>
          <w:trHeight w:val="210"/>
        </w:trPr>
        <w:tc>
          <w:tcPr>
            <w:tcW w:w="5280" w:type="dxa"/>
            <w:vAlign w:val="bottom"/>
          </w:tcPr>
          <w:p>
            <w:pPr>
              <w:ind w:left="1060"/>
              <w:spacing w:after="0"/>
              <w:rPr>
                <w:sz w:val="20"/>
                <w:szCs w:val="20"/>
                <w:color w:val="auto"/>
              </w:rPr>
            </w:pPr>
            <w:r>
              <w:rPr>
                <w:rFonts w:ascii="Arial" w:cs="Arial" w:eastAsia="Arial" w:hAnsi="Arial"/>
                <w:sz w:val="17"/>
                <w:szCs w:val="17"/>
                <w:color w:val="auto"/>
              </w:rPr>
              <w:t>Long-term debt, net of current portion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2,764,083</w:t>
            </w:r>
          </w:p>
        </w:tc>
        <w:tc>
          <w:tcPr>
            <w:tcW w:w="1860" w:type="dxa"/>
            <w:vAlign w:val="bottom"/>
            <w:gridSpan w:val="4"/>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2,278,731</w:t>
            </w:r>
          </w:p>
        </w:tc>
      </w:tr>
      <w:tr>
        <w:trPr>
          <w:trHeight w:val="20"/>
        </w:trPr>
        <w:tc>
          <w:tcPr>
            <w:tcW w:w="5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99" w:lineRule="exact"/>
        <w:rPr>
          <w:sz w:val="20"/>
          <w:szCs w:val="20"/>
          <w:color w:val="auto"/>
        </w:rPr>
      </w:pPr>
    </w:p>
    <w:p>
      <w:pPr>
        <w:ind w:right="40" w:firstLine="385"/>
        <w:spacing w:after="0" w:line="259" w:lineRule="auto"/>
        <w:rPr>
          <w:sz w:val="20"/>
          <w:szCs w:val="20"/>
          <w:color w:val="auto"/>
        </w:rPr>
      </w:pPr>
      <w:r>
        <w:rPr>
          <w:rFonts w:ascii="Arial" w:cs="Arial" w:eastAsia="Arial" w:hAnsi="Arial"/>
          <w:sz w:val="15"/>
          <w:szCs w:val="15"/>
          <w:color w:val="auto"/>
        </w:rPr>
        <w:t>On June 24, 2021, Booz Allen Hamilton Inc. ("Booz Allen Hamilton"), Booz Allen Hamilton Investor Corporation ("Investor"), and certain wholly-owned subsidiaries of Booz Allen Hamilton, entered into the eighth amendment (the "Eighth Amendment") to the Credit Agreement dated as of July 31, 2012, as amended (the "Existing Credit Agreement" and, as amended, the "Credit Agreement"), with certain institutional lenders and Bank of America, N.A., as Administrative Agent and Collateral Agent. The Eighth Amendment added an additional tier in the pricing grid and extended the maturity applicable to both the Term Loan A ("Term Loan A") and revolving credit facility (the "Revolving Credit Facility") to June 24, 2026, increased the aggregate principal amount of the Revolving Credit Facility and the letter of credit sublimit thereunder, and made certain other amendments to the financial covenants and other terms under the Existing Credit Agreement. The interest rate and maturity date applicable to Term Loan B ("Term Loan B" and, together with Term Loan A, the "Term Loans") remained unchanged.</w:t>
      </w:r>
    </w:p>
    <w:p>
      <w:pPr>
        <w:spacing w:after="0" w:line="56" w:lineRule="exact"/>
        <w:rPr>
          <w:sz w:val="20"/>
          <w:szCs w:val="20"/>
          <w:color w:val="auto"/>
        </w:rPr>
      </w:pPr>
    </w:p>
    <w:p>
      <w:pPr>
        <w:ind w:right="100" w:firstLine="385"/>
        <w:spacing w:after="0" w:line="257" w:lineRule="auto"/>
        <w:rPr>
          <w:sz w:val="20"/>
          <w:szCs w:val="20"/>
          <w:color w:val="auto"/>
        </w:rPr>
      </w:pPr>
      <w:r>
        <w:rPr>
          <w:rFonts w:ascii="Arial" w:cs="Arial" w:eastAsia="Arial" w:hAnsi="Arial"/>
          <w:sz w:val="15"/>
          <w:szCs w:val="15"/>
          <w:color w:val="auto"/>
        </w:rPr>
        <w:t>As of September 30, 2021, the Credit Agreement provided Booz Allen Hamilton with a $1,273.6 million Term Loan A, a $382.3 million Term Loan B, and a $1,000.0 million Revolving Credit Facility, with a sub-limit for letters of credit of $200.0 million (collectively, the "Secured Credit Facility"). As of September 30, 2021, the maturity date of Term Loan B was November 26, 2026. Booz Allen Hamilton’s obligations and the guarantors’ guarantees under the Credit Agreement (the "Guarantee")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$909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senior secured leverage remains less than or equal to 3.50:1.00.</w:t>
      </w:r>
    </w:p>
    <w:p>
      <w:pPr>
        <w:spacing w:after="0" w:line="56" w:lineRule="exact"/>
        <w:rPr>
          <w:sz w:val="20"/>
          <w:szCs w:val="20"/>
          <w:color w:val="auto"/>
        </w:rPr>
      </w:pPr>
    </w:p>
    <w:p>
      <w:pPr>
        <w:ind w:right="360" w:firstLine="385"/>
        <w:spacing w:after="0" w:line="235" w:lineRule="auto"/>
        <w:rPr>
          <w:sz w:val="20"/>
          <w:szCs w:val="20"/>
          <w:color w:val="auto"/>
        </w:rPr>
      </w:pPr>
      <w:r>
        <w:rPr>
          <w:rFonts w:ascii="Arial" w:cs="Arial" w:eastAsia="Arial" w:hAnsi="Arial"/>
          <w:sz w:val="17"/>
          <w:szCs w:val="17"/>
          <w:color w:val="auto"/>
        </w:rPr>
        <w:t>At Booz Allen Hamilton’s option, borrowings under the Term Loan A and the Revolving Credit Facility bear interest based either at LIBOR (adjusted for maximum reserves, and subject to a floor of zero) for the applicable interest period or a base rate (equal to the highest of (i) the administrative agent’s prime corporate rate, (ii) the overnight federal funds rate plus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71"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0.50%, and (iii) three-month LIBOR (adjusted for maximum reserves, and subject to a floor of zero) plus 1.00%), in each case plus an applicable margin as determined by the pricing grid, payable at the end of the applicable interest period and in any event at least quarterly. The applicable margin for Term Loan A and borrowings under the Revolving Credit Facility ranges from 1.125% to 2.00% for LIBOR loans and 0.125% to 1.00% for base rate loans, in each case based on Booz Allen Hamilton’s consolidated total net leverage ratio. Unused commitments under the Revolving Credit Facility are subject to a quarterly fee ranging from 0.175% to 0.35% based on Booz Allen Hamilton’s consolidated total net leverage ratio. Booz Allen Hamilton also agreed to pay customary letter of credit and agency fees. The applicable margin for Term Loan B is 1.75% for LIBOR loans and 0.75% for base rate loans.</w:t>
      </w:r>
    </w:p>
    <w:p>
      <w:pPr>
        <w:spacing w:after="0" w:line="79" w:lineRule="exact"/>
        <w:rPr>
          <w:sz w:val="20"/>
          <w:szCs w:val="20"/>
          <w:color w:val="auto"/>
        </w:rPr>
      </w:pPr>
    </w:p>
    <w:p>
      <w:pPr>
        <w:ind w:right="220" w:firstLine="385"/>
        <w:spacing w:after="0" w:line="258" w:lineRule="auto"/>
        <w:rPr>
          <w:sz w:val="20"/>
          <w:szCs w:val="20"/>
          <w:color w:val="auto"/>
        </w:rPr>
      </w:pPr>
      <w:r>
        <w:rPr>
          <w:rFonts w:ascii="Arial" w:cs="Arial" w:eastAsia="Arial" w:hAnsi="Arial"/>
          <w:sz w:val="17"/>
          <w:szCs w:val="17"/>
          <w:color w:val="auto"/>
        </w:rPr>
        <w:t>Booz Allen Hamilton occasionally borrows under the Revolving Credit Facility in anticipation of cash demands. For the three months ended September 30, 2021, Booz Allen Hamilton did not access its Revolving Credit Facility. For the six months ended September 30, 2021, Booz Allen Hamilton accessed $60.0 million of its Revolving Credit Facility, which was both borrowed and repaid in June 2021. For the three and six months ended September 30, 2020, Booz Allen Hamilton did not access its Revolving Credit Facility. As of September 30, 2021 and March 31, 2021, there was no outstanding balance on the Revolving Credit Facility.</w:t>
      </w:r>
    </w:p>
    <w:p>
      <w:pPr>
        <w:spacing w:after="0" w:line="77" w:lineRule="exact"/>
        <w:rPr>
          <w:sz w:val="20"/>
          <w:szCs w:val="20"/>
          <w:color w:val="auto"/>
        </w:rPr>
      </w:pPr>
    </w:p>
    <w:p>
      <w:pPr>
        <w:ind w:right="220" w:firstLine="385"/>
        <w:spacing w:after="0" w:line="277" w:lineRule="auto"/>
        <w:rPr>
          <w:sz w:val="20"/>
          <w:szCs w:val="20"/>
          <w:color w:val="auto"/>
        </w:rPr>
      </w:pPr>
      <w:r>
        <w:rPr>
          <w:rFonts w:ascii="Arial" w:cs="Arial" w:eastAsia="Arial" w:hAnsi="Arial"/>
          <w:sz w:val="17"/>
          <w:szCs w:val="17"/>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firstLine="385"/>
        <w:spacing w:after="0" w:line="287" w:lineRule="auto"/>
        <w:rPr>
          <w:sz w:val="20"/>
          <w:szCs w:val="20"/>
          <w:color w:val="auto"/>
        </w:rPr>
      </w:pPr>
      <w:r>
        <w:rPr>
          <w:rFonts w:ascii="Arial" w:cs="Arial" w:eastAsia="Arial" w:hAnsi="Arial"/>
          <w:sz w:val="15"/>
          <w:szCs w:val="15"/>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 (vi) 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w:t>
      </w:r>
    </w:p>
    <w:p>
      <w:pPr>
        <w:spacing w:after="0" w:line="3" w:lineRule="exact"/>
        <w:rPr>
          <w:sz w:val="20"/>
          <w:szCs w:val="20"/>
          <w:color w:val="auto"/>
        </w:rPr>
      </w:pPr>
    </w:p>
    <w:p>
      <w:pPr>
        <w:ind w:right="500" w:firstLine="3"/>
        <w:spacing w:after="0" w:line="276" w:lineRule="auto"/>
        <w:tabs>
          <w:tab w:leader="none" w:pos="242" w:val="left"/>
        </w:tabs>
        <w:numPr>
          <w:ilvl w:val="0"/>
          <w:numId w:val="8"/>
        </w:numPr>
        <w:rPr>
          <w:rFonts w:ascii="Arial" w:cs="Arial" w:eastAsia="Arial" w:hAnsi="Arial"/>
          <w:sz w:val="16"/>
          <w:szCs w:val="16"/>
          <w:color w:val="auto"/>
        </w:rPr>
      </w:pPr>
      <w:r>
        <w:rPr>
          <w:rFonts w:ascii="Arial" w:cs="Arial" w:eastAsia="Arial" w:hAnsi="Arial"/>
          <w:sz w:val="16"/>
          <w:szCs w:val="16"/>
          <w:color w:val="auto"/>
        </w:rPr>
        <w:t>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September 30, 2021 and March 31, 2021, Booz Allen Hamilton was in compliance with all financial covenants associated with its debt and debt-like instruments.</w:t>
      </w:r>
    </w:p>
    <w:p>
      <w:pPr>
        <w:spacing w:after="0" w:line="66" w:lineRule="exact"/>
        <w:rPr>
          <w:sz w:val="20"/>
          <w:szCs w:val="20"/>
          <w:color w:val="auto"/>
        </w:rPr>
      </w:pPr>
    </w:p>
    <w:p>
      <w:pPr>
        <w:ind w:right="20" w:firstLine="385"/>
        <w:spacing w:after="0" w:line="288" w:lineRule="auto"/>
        <w:rPr>
          <w:sz w:val="20"/>
          <w:szCs w:val="20"/>
          <w:color w:val="auto"/>
        </w:rPr>
      </w:pPr>
      <w:r>
        <w:rPr>
          <w:rFonts w:ascii="Arial" w:cs="Arial" w:eastAsia="Arial" w:hAnsi="Arial"/>
          <w:sz w:val="16"/>
          <w:szCs w:val="16"/>
          <w:color w:val="auto"/>
        </w:rPr>
        <w:t>For the three months ended September 30, 2021 and 2020, interest payments of $5.6 million and $5.8 million were made for Term Loan A, respectively, and $1.8 million and $1.9 million were made for Term Loan B, respectively. For the six months ended September 30, 2021 and 2020, interest payments of $10.5 million and $12.7 million were made for Term Loan A, respectively, and $3.6 million and $4.1 million were made for Term Loan B, respectively.</w:t>
      </w:r>
    </w:p>
    <w:p>
      <w:pPr>
        <w:spacing w:after="0" w:line="56" w:lineRule="exact"/>
        <w:rPr>
          <w:sz w:val="20"/>
          <w:szCs w:val="20"/>
          <w:color w:val="auto"/>
        </w:rPr>
      </w:pPr>
    </w:p>
    <w:p>
      <w:pPr>
        <w:ind w:right="120" w:firstLine="385"/>
        <w:spacing w:after="0" w:line="278"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September 30, 2021, Booz Allen Hamilton had interest rate swaps with an aggregate notional amount of $700.0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to our condensed consolidated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99" w:lineRule="exact"/>
        <w:rPr>
          <w:sz w:val="20"/>
          <w:szCs w:val="20"/>
          <w:color w:val="auto"/>
        </w:rPr>
      </w:pPr>
    </w:p>
    <w:p>
      <w:pPr>
        <w:ind w:firstLine="385"/>
        <w:spacing w:after="0" w:line="226" w:lineRule="auto"/>
        <w:rPr>
          <w:sz w:val="20"/>
          <w:szCs w:val="20"/>
          <w:color w:val="auto"/>
        </w:rPr>
      </w:pPr>
      <w:r>
        <w:rPr>
          <w:rFonts w:ascii="Arial" w:cs="Arial" w:eastAsia="Arial" w:hAnsi="Arial"/>
          <w:sz w:val="17"/>
          <w:szCs w:val="17"/>
          <w:color w:val="auto"/>
        </w:rPr>
        <w:t>On June 17, 2021, Booz Allen Hamilton issued $500.0 million aggregate principal amounts of its 4.000% Senior Notes due July 1, 2029 (the “Senior Notes due 2029”) under an Indenture, dated as of June 17, 2021, among Booz Allen Hamilton, certain subsidiaries of Booz Allen Hamilton, as guarantors (the “Subsidiary Guarantors”), and Wilmington Trust, National Association (in such capacity, the “Trustee”), as supplemented by the First Supplemental Indenture, dated as of June 17, 2021, among Booz Allen Hamilton, the Subsidiary Guarantors and the Trustee. The Senior Notes due 2029 and the related guarantees are Booz Allen Hamilton’s and each Subsidiary Guarantors’ senior unsecured obligations and rank equally in right of payment with all of Booz Allen Hamilton’s and the Subsidiary Guarantors’ existing and future senior indebtedness and rank senior in right of payment to any of Booz Allen Hamilton’s and the Subsidiary Guarantors’ future subordinated indebtedness. The net proceeds from the sale of the Senior Notes due 2029 were used to fund the acquisition of Liberty and to pay related fees and expenses.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4" w:lineRule="exact"/>
        <w:rPr>
          <w:sz w:val="20"/>
          <w:szCs w:val="20"/>
          <w:color w:val="auto"/>
        </w:rPr>
      </w:pPr>
    </w:p>
    <w:p>
      <w:pPr>
        <w:ind w:right="260" w:firstLine="385"/>
        <w:spacing w:after="0" w:line="288" w:lineRule="auto"/>
        <w:rPr>
          <w:sz w:val="20"/>
          <w:szCs w:val="20"/>
          <w:color w:val="auto"/>
        </w:rPr>
      </w:pPr>
      <w:r>
        <w:rPr>
          <w:rFonts w:ascii="Arial" w:cs="Arial" w:eastAsia="Arial" w:hAnsi="Arial"/>
          <w:sz w:val="16"/>
          <w:szCs w:val="16"/>
          <w:color w:val="auto"/>
        </w:rPr>
        <w:t>Interest is payable on the Senior Notes due 2029 semi-annually in cash in arrears on July 1 and January 1 of each year, beginning on January 1, 2022. In connection with the issuance of the Senior Notes due 2029, the Company recognized $6.5 million of issuance costs, which were recorded as an offset against the carrying value of debt and will be amortized to interest expense over the term of the Senior Notes due 2029.</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on debt and debt-like instruments consisted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40" w:type="dxa"/>
            <w:vAlign w:val="bottom"/>
            <w:gridSpan w:val="4"/>
          </w:tcPr>
          <w:p>
            <w:pPr>
              <w:ind w:left="620"/>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4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4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940" w:type="dxa"/>
            <w:vAlign w:val="bottom"/>
            <w:gridSpan w:val="4"/>
            <w:shd w:val="clear" w:color="auto" w:fill="CCEEFF"/>
          </w:tcPr>
          <w:p>
            <w:pPr>
              <w:jc w:val="right"/>
              <w:ind w:right="195"/>
              <w:spacing w:after="0"/>
              <w:rPr>
                <w:sz w:val="20"/>
                <w:szCs w:val="20"/>
                <w:color w:val="auto"/>
              </w:rPr>
            </w:pPr>
            <w:r>
              <w:rPr>
                <w:rFonts w:ascii="Arial" w:cs="Arial" w:eastAsia="Arial" w:hAnsi="Arial"/>
                <w:sz w:val="14"/>
                <w:szCs w:val="14"/>
                <w:b w:val="1"/>
                <w:bCs w:val="1"/>
                <w:color w:val="auto"/>
              </w:rPr>
              <w:t>(In thousands)</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940" w:type="dxa"/>
            <w:vAlign w:val="bottom"/>
            <w:gridSpan w:val="4"/>
            <w:shd w:val="clear" w:color="auto" w:fill="CCEEFF"/>
          </w:tcPr>
          <w:p>
            <w:pPr>
              <w:jc w:val="right"/>
              <w:ind w:right="155"/>
              <w:spacing w:after="0"/>
              <w:rPr>
                <w:sz w:val="20"/>
                <w:szCs w:val="20"/>
                <w:color w:val="auto"/>
              </w:rPr>
            </w:pPr>
            <w:r>
              <w:rPr>
                <w:rFonts w:ascii="Arial" w:cs="Arial" w:eastAsia="Arial" w:hAnsi="Arial"/>
                <w:sz w:val="14"/>
                <w:szCs w:val="14"/>
                <w:b w:val="1"/>
                <w:bCs w:val="1"/>
                <w:color w:val="auto"/>
              </w:rPr>
              <w:t>(In thousands)</w:t>
            </w: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400"/>
              <w:spacing w:after="0"/>
              <w:rPr>
                <w:sz w:val="20"/>
                <w:szCs w:val="20"/>
                <w:color w:val="auto"/>
              </w:rPr>
            </w:pPr>
            <w:r>
              <w:rPr>
                <w:rFonts w:ascii="Arial" w:cs="Arial" w:eastAsia="Arial" w:hAnsi="Arial"/>
                <w:sz w:val="17"/>
                <w:szCs w:val="17"/>
                <w:color w:val="auto"/>
              </w:rPr>
              <w:t>Term Loan A Interest Expense</w:t>
            </w:r>
          </w:p>
        </w:tc>
        <w:tc>
          <w:tcPr>
            <w:tcW w:w="7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5,234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5,722</w:t>
            </w:r>
          </w:p>
        </w:tc>
        <w:tc>
          <w:tcPr>
            <w:tcW w:w="10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10,463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12,640</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Term Loan B Interest Expense</w:t>
            </w: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4,108</w:t>
            </w:r>
          </w:p>
        </w:tc>
        <w:tc>
          <w:tcPr>
            <w:tcW w:w="0" w:type="dxa"/>
            <w:vAlign w:val="bottom"/>
          </w:tcPr>
          <w:p>
            <w:pPr>
              <w:spacing w:after="0"/>
              <w:rPr>
                <w:sz w:val="1"/>
                <w:szCs w:val="1"/>
                <w:color w:val="auto"/>
              </w:rPr>
            </w:pPr>
          </w:p>
        </w:tc>
      </w:tr>
      <w:tr>
        <w:trPr>
          <w:trHeight w:val="217"/>
        </w:trPr>
        <w:tc>
          <w:tcPr>
            <w:tcW w:w="4080" w:type="dxa"/>
            <w:vAlign w:val="bottom"/>
          </w:tcPr>
          <w:p>
            <w:pPr>
              <w:ind w:left="400"/>
              <w:spacing w:after="0"/>
              <w:rPr>
                <w:sz w:val="20"/>
                <w:szCs w:val="20"/>
                <w:color w:val="auto"/>
              </w:rPr>
            </w:pPr>
            <w:r>
              <w:rPr>
                <w:rFonts w:ascii="Arial" w:cs="Arial" w:eastAsia="Arial" w:hAnsi="Arial"/>
                <w:sz w:val="17"/>
                <w:szCs w:val="17"/>
                <w:color w:val="auto"/>
              </w:rPr>
              <w:t>Interest on Revolving Credit Facility</w:t>
            </w:r>
          </w:p>
        </w:tc>
        <w:tc>
          <w:tcPr>
            <w:tcW w:w="700" w:type="dxa"/>
            <w:vAlign w:val="bottom"/>
          </w:tcPr>
          <w:p>
            <w:pPr>
              <w:spacing w:after="0"/>
              <w:rPr>
                <w:sz w:val="18"/>
                <w:szCs w:val="18"/>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Senior Notes Interest Expense</w:t>
            </w: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9,989</w:t>
            </w:r>
          </w:p>
        </w:tc>
        <w:tc>
          <w:tcPr>
            <w:tcW w:w="0" w:type="dxa"/>
            <w:vAlign w:val="bottom"/>
          </w:tcPr>
          <w:p>
            <w:pPr>
              <w:spacing w:after="0"/>
              <w:rPr>
                <w:sz w:val="1"/>
                <w:szCs w:val="1"/>
                <w:color w:val="auto"/>
              </w:rPr>
            </w:pPr>
          </w:p>
        </w:tc>
      </w:tr>
      <w:tr>
        <w:trPr>
          <w:trHeight w:val="167"/>
        </w:trPr>
        <w:tc>
          <w:tcPr>
            <w:tcW w:w="4080" w:type="dxa"/>
            <w:vAlign w:val="bottom"/>
          </w:tcPr>
          <w:p>
            <w:pPr>
              <w:ind w:left="400"/>
              <w:spacing w:after="0" w:line="167" w:lineRule="exact"/>
              <w:rPr>
                <w:sz w:val="20"/>
                <w:szCs w:val="20"/>
                <w:color w:val="auto"/>
              </w:rPr>
            </w:pPr>
            <w:r>
              <w:rPr>
                <w:rFonts w:ascii="Arial" w:cs="Arial" w:eastAsia="Arial" w:hAnsi="Arial"/>
                <w:sz w:val="17"/>
                <w:szCs w:val="17"/>
                <w:color w:val="auto"/>
              </w:rPr>
              <w:t>Amortization of Debt Issuance Cost (DIC) and</w:t>
            </w:r>
          </w:p>
        </w:tc>
        <w:tc>
          <w:tcPr>
            <w:tcW w:w="7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1,165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1,106</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2,294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2,176</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line="218" w:lineRule="exact"/>
              <w:rPr>
                <w:sz w:val="20"/>
                <w:szCs w:val="20"/>
                <w:color w:val="auto"/>
              </w:rPr>
            </w:pPr>
            <w:r>
              <w:rPr>
                <w:rFonts w:ascii="Arial" w:cs="Arial" w:eastAsia="Arial" w:hAnsi="Arial"/>
                <w:sz w:val="17"/>
                <w:szCs w:val="17"/>
                <w:color w:val="auto"/>
              </w:rPr>
              <w:t xml:space="preserve">Original Issue Discount (OID) </w:t>
            </w:r>
            <w:r>
              <w:rPr>
                <w:rFonts w:ascii="Arial" w:cs="Arial" w:eastAsia="Arial" w:hAnsi="Arial"/>
                <w:sz w:val="22"/>
                <w:szCs w:val="22"/>
                <w:color w:val="auto"/>
                <w:vertAlign w:val="superscript"/>
              </w:rPr>
              <w:t>(1)</w:t>
            </w:r>
          </w:p>
        </w:tc>
        <w:tc>
          <w:tcPr>
            <w:tcW w:w="7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Interest Swap Expense</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9,805</w:t>
            </w:r>
          </w:p>
        </w:tc>
        <w:tc>
          <w:tcPr>
            <w:tcW w:w="0" w:type="dxa"/>
            <w:vAlign w:val="bottom"/>
          </w:tcPr>
          <w:p>
            <w:pPr>
              <w:spacing w:after="0"/>
              <w:rPr>
                <w:sz w:val="1"/>
                <w:szCs w:val="1"/>
                <w:color w:val="auto"/>
              </w:rPr>
            </w:pPr>
          </w:p>
        </w:tc>
      </w:tr>
      <w:tr>
        <w:trPr>
          <w:trHeight w:val="217"/>
        </w:trPr>
        <w:tc>
          <w:tcPr>
            <w:tcW w:w="4080" w:type="dxa"/>
            <w:vAlign w:val="bottom"/>
            <w:tcBorders>
              <w:bottom w:val="single" w:sz="8" w:color="CCEEFF"/>
            </w:tcBorders>
          </w:tcPr>
          <w:p>
            <w:pPr>
              <w:ind w:left="400"/>
              <w:spacing w:after="0"/>
              <w:rPr>
                <w:sz w:val="20"/>
                <w:szCs w:val="20"/>
                <w:color w:val="auto"/>
              </w:rPr>
            </w:pPr>
            <w:r>
              <w:rPr>
                <w:rFonts w:ascii="Arial" w:cs="Arial" w:eastAsia="Arial" w:hAnsi="Arial"/>
                <w:sz w:val="17"/>
                <w:szCs w:val="17"/>
                <w:color w:val="auto"/>
              </w:rPr>
              <w:t>Other</w:t>
            </w: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Total Interest Expense</w:t>
            </w:r>
          </w:p>
        </w:tc>
        <w:tc>
          <w:tcPr>
            <w:tcW w:w="7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19,787</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40,022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60" w:right="80" w:hanging="4"/>
        <w:spacing w:after="0" w:line="278" w:lineRule="auto"/>
        <w:tabs>
          <w:tab w:leader="none" w:pos="317" w:val="left"/>
        </w:tabs>
        <w:numPr>
          <w:ilvl w:val="1"/>
          <w:numId w:val="9"/>
        </w:numPr>
        <w:rPr>
          <w:rFonts w:ascii="Arial" w:cs="Arial" w:eastAsia="Arial" w:hAnsi="Arial"/>
          <w:sz w:val="19"/>
          <w:szCs w:val="19"/>
          <w:color w:val="auto"/>
          <w:vertAlign w:val="superscript"/>
        </w:rPr>
      </w:pPr>
      <w:r>
        <w:rPr>
          <w:rFonts w:ascii="Arial" w:cs="Arial" w:eastAsia="Arial" w:hAnsi="Arial"/>
          <w:sz w:val="15"/>
          <w:szCs w:val="15"/>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291" w:lineRule="exact"/>
        <w:rPr>
          <w:rFonts w:ascii="Arial" w:cs="Arial" w:eastAsia="Arial" w:hAnsi="Arial"/>
          <w:sz w:val="19"/>
          <w:szCs w:val="19"/>
          <w:color w:val="auto"/>
          <w:vertAlign w:val="superscript"/>
        </w:rPr>
      </w:pPr>
    </w:p>
    <w:p>
      <w:pPr>
        <w:ind w:left="180" w:hanging="177"/>
        <w:spacing w:after="0"/>
        <w:tabs>
          <w:tab w:leader="none" w:pos="1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DERIVATIVES</w:t>
      </w:r>
    </w:p>
    <w:p>
      <w:pPr>
        <w:spacing w:after="0" w:line="116" w:lineRule="exact"/>
        <w:rPr>
          <w:sz w:val="20"/>
          <w:szCs w:val="20"/>
          <w:color w:val="auto"/>
        </w:rPr>
      </w:pPr>
    </w:p>
    <w:p>
      <w:pPr>
        <w:ind w:right="20" w:firstLine="385"/>
        <w:spacing w:after="0" w:line="305" w:lineRule="auto"/>
        <w:rPr>
          <w:sz w:val="20"/>
          <w:szCs w:val="20"/>
          <w:color w:val="auto"/>
        </w:rPr>
      </w:pPr>
      <w:r>
        <w:rPr>
          <w:rFonts w:ascii="Arial" w:cs="Arial" w:eastAsia="Arial" w:hAnsi="Arial"/>
          <w:sz w:val="15"/>
          <w:szCs w:val="15"/>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The aggregate notional amount of all interest rate swap agreements was $700.0 million as of September 30, 2021. The swaps have staggered maturities, ranging from June 30, 2022 to June 30, 2025. These swaps mature within the last tranche of the Company's floating rate debt (November 26, 2026).</w:t>
      </w:r>
    </w:p>
    <w:p>
      <w:pPr>
        <w:spacing w:after="0" w:line="46" w:lineRule="exact"/>
        <w:rPr>
          <w:sz w:val="20"/>
          <w:szCs w:val="20"/>
          <w:color w:val="auto"/>
        </w:rPr>
      </w:pPr>
    </w:p>
    <w:p>
      <w:pPr>
        <w:jc w:val="both"/>
        <w:ind w:right="200" w:firstLine="385"/>
        <w:spacing w:after="0" w:line="264" w:lineRule="auto"/>
        <w:rPr>
          <w:sz w:val="20"/>
          <w:szCs w:val="20"/>
          <w:color w:val="auto"/>
        </w:rPr>
      </w:pPr>
      <w:r>
        <w:rPr>
          <w:rFonts w:ascii="Arial" w:cs="Arial" w:eastAsia="Arial" w:hAnsi="Arial"/>
          <w:sz w:val="17"/>
          <w:szCs w:val="17"/>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73" w:lineRule="exact"/>
        <w:rPr>
          <w:sz w:val="20"/>
          <w:szCs w:val="20"/>
          <w:color w:val="auto"/>
        </w:rPr>
      </w:pPr>
    </w:p>
    <w:p>
      <w:pPr>
        <w:jc w:val="both"/>
        <w:ind w:right="320" w:firstLine="385"/>
        <w:spacing w:after="0" w:line="315" w:lineRule="auto"/>
        <w:rPr>
          <w:sz w:val="20"/>
          <w:szCs w:val="20"/>
          <w:color w:val="auto"/>
        </w:rPr>
      </w:pPr>
      <w:r>
        <w:rPr>
          <w:rFonts w:ascii="Arial" w:cs="Arial" w:eastAsia="Arial" w:hAnsi="Arial"/>
          <w:sz w:val="15"/>
          <w:szCs w:val="15"/>
          <w:color w:val="auto"/>
        </w:rPr>
        <w:t>Derivative instruments are recorded in the condensed consolidated balance sheet on a gross basis at estimated fair value. As of September 30, 2021, $15.2 million was classified for both other current liabilities and other long-term liabilities on the condensed consolidated balance sheet. As of March 31, 2021, $17.2 million and $21.0 million were classified as other current liabilities, and other long-term liabilities, respectively, on the condensed consolidated balance sheet.</w:t>
      </w:r>
    </w:p>
    <w:p>
      <w:pPr>
        <w:spacing w:after="0" w:line="39" w:lineRule="exact"/>
        <w:rPr>
          <w:sz w:val="20"/>
          <w:szCs w:val="20"/>
          <w:color w:val="auto"/>
        </w:rPr>
      </w:pPr>
    </w:p>
    <w:p>
      <w:pPr>
        <w:ind w:right="80" w:firstLine="385"/>
        <w:spacing w:after="0" w:line="260" w:lineRule="auto"/>
        <w:rPr>
          <w:sz w:val="20"/>
          <w:szCs w:val="20"/>
          <w:color w:val="auto"/>
        </w:rPr>
      </w:pPr>
      <w:r>
        <w:rPr>
          <w:rFonts w:ascii="Arial" w:cs="Arial" w:eastAsia="Arial" w:hAnsi="Arial"/>
          <w:sz w:val="17"/>
          <w:szCs w:val="17"/>
          <w:color w:val="auto"/>
        </w:rPr>
        <w:t>For interest rate swaps designated as cash flow hedges, the changes in the fair value of derivatives is recorded in Accumulated Other Comprehensive Loss, or AOCL, net of taxes, and is subsequently reclassified into interest expense in the period that the hedged forecasted interest payments are made on the Company's variable-rate debt. The effect of derivative instruments on the accompanying condensed consolidated financial statements for the three and six months ended September 30, 2021 and 2020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w w:val="91"/>
              </w:rPr>
              <w:t>Three Months Ended 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2"/>
          </w:tcPr>
          <w:p>
            <w:pPr>
              <w:jc w:val="center"/>
              <w:ind w:right="160"/>
              <w:spacing w:after="0" w:line="165" w:lineRule="exact"/>
              <w:rPr>
                <w:sz w:val="20"/>
                <w:szCs w:val="20"/>
                <w:color w:val="auto"/>
              </w:rPr>
            </w:pPr>
            <w:r>
              <w:rPr>
                <w:rFonts w:ascii="Arial" w:cs="Arial" w:eastAsia="Arial" w:hAnsi="Arial"/>
                <w:sz w:val="17"/>
                <w:szCs w:val="17"/>
                <w:b w:val="1"/>
                <w:bCs w:val="1"/>
                <w:color w:val="auto"/>
                <w:w w:val="91"/>
              </w:rPr>
              <w:t>Amount of (Loss) or Gain</w:t>
            </w:r>
          </w:p>
        </w:tc>
        <w:tc>
          <w:tcPr>
            <w:tcW w:w="180" w:type="dxa"/>
            <w:vAlign w:val="bottom"/>
          </w:tcPr>
          <w:p>
            <w:pPr>
              <w:spacing w:after="0"/>
              <w:rPr>
                <w:sz w:val="14"/>
                <w:szCs w:val="14"/>
                <w:color w:val="auto"/>
              </w:rPr>
            </w:pPr>
          </w:p>
        </w:tc>
        <w:tc>
          <w:tcPr>
            <w:tcW w:w="2460" w:type="dxa"/>
            <w:vAlign w:val="bottom"/>
            <w:gridSpan w:val="2"/>
          </w:tcPr>
          <w:p>
            <w:pPr>
              <w:jc w:val="center"/>
              <w:ind w:right="95"/>
              <w:spacing w:after="0" w:line="165" w:lineRule="exact"/>
              <w:rPr>
                <w:sz w:val="20"/>
                <w:szCs w:val="20"/>
                <w:color w:val="auto"/>
              </w:rPr>
            </w:pPr>
            <w:r>
              <w:rPr>
                <w:rFonts w:ascii="Arial" w:cs="Arial" w:eastAsia="Arial" w:hAnsi="Arial"/>
                <w:sz w:val="17"/>
                <w:szCs w:val="17"/>
                <w:b w:val="1"/>
                <w:bCs w:val="1"/>
                <w:color w:val="auto"/>
                <w:w w:val="91"/>
              </w:rPr>
              <w:t>Amount of (Loss) or Gain</w:t>
            </w:r>
          </w:p>
        </w:tc>
        <w:tc>
          <w:tcPr>
            <w:tcW w:w="0" w:type="dxa"/>
            <w:vAlign w:val="bottom"/>
          </w:tcPr>
          <w:p>
            <w:pPr>
              <w:spacing w:after="0"/>
              <w:rPr>
                <w:sz w:val="1"/>
                <w:szCs w:val="1"/>
                <w:color w:val="auto"/>
              </w:rPr>
            </w:pPr>
          </w:p>
        </w:tc>
      </w:tr>
      <w:tr>
        <w:trPr>
          <w:trHeight w:val="167"/>
        </w:trPr>
        <w:tc>
          <w:tcPr>
            <w:tcW w:w="2740" w:type="dxa"/>
            <w:vAlign w:val="bottom"/>
          </w:tcPr>
          <w:p>
            <w:pPr>
              <w:spacing w:after="0"/>
              <w:rPr>
                <w:sz w:val="14"/>
                <w:szCs w:val="14"/>
                <w:color w:val="auto"/>
              </w:rPr>
            </w:pPr>
          </w:p>
        </w:tc>
        <w:tc>
          <w:tcPr>
            <w:tcW w:w="23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Location of Gain or Loss</w:t>
            </w:r>
          </w:p>
        </w:tc>
        <w:tc>
          <w:tcPr>
            <w:tcW w:w="240" w:type="dxa"/>
            <w:vAlign w:val="bottom"/>
          </w:tcPr>
          <w:p>
            <w:pPr>
              <w:spacing w:after="0"/>
              <w:rPr>
                <w:sz w:val="14"/>
                <w:szCs w:val="14"/>
                <w:color w:val="auto"/>
              </w:rPr>
            </w:pPr>
          </w:p>
        </w:tc>
        <w:tc>
          <w:tcPr>
            <w:tcW w:w="2400" w:type="dxa"/>
            <w:vAlign w:val="bottom"/>
            <w:gridSpan w:val="2"/>
          </w:tcPr>
          <w:p>
            <w:pPr>
              <w:jc w:val="center"/>
              <w:ind w:right="140"/>
              <w:spacing w:after="0" w:line="167" w:lineRule="exact"/>
              <w:rPr>
                <w:sz w:val="20"/>
                <w:szCs w:val="20"/>
                <w:color w:val="auto"/>
              </w:rPr>
            </w:pPr>
            <w:r>
              <w:rPr>
                <w:rFonts w:ascii="Arial" w:cs="Arial" w:eastAsia="Arial" w:hAnsi="Arial"/>
                <w:sz w:val="17"/>
                <w:szCs w:val="17"/>
                <w:b w:val="1"/>
                <w:bCs w:val="1"/>
                <w:color w:val="auto"/>
                <w:w w:val="91"/>
              </w:rPr>
              <w:t>Recognized in AOCL on</w:t>
            </w:r>
          </w:p>
        </w:tc>
        <w:tc>
          <w:tcPr>
            <w:tcW w:w="180" w:type="dxa"/>
            <w:vAlign w:val="bottom"/>
          </w:tcPr>
          <w:p>
            <w:pPr>
              <w:spacing w:after="0"/>
              <w:rPr>
                <w:sz w:val="14"/>
                <w:szCs w:val="14"/>
                <w:color w:val="auto"/>
              </w:rPr>
            </w:pPr>
          </w:p>
        </w:tc>
        <w:tc>
          <w:tcPr>
            <w:tcW w:w="2460" w:type="dxa"/>
            <w:vAlign w:val="bottom"/>
            <w:gridSpan w:val="2"/>
          </w:tcPr>
          <w:p>
            <w:pPr>
              <w:jc w:val="center"/>
              <w:ind w:right="95"/>
              <w:spacing w:after="0" w:line="167" w:lineRule="exact"/>
              <w:rPr>
                <w:sz w:val="20"/>
                <w:szCs w:val="20"/>
                <w:color w:val="auto"/>
              </w:rPr>
            </w:pPr>
            <w:r>
              <w:rPr>
                <w:rFonts w:ascii="Arial" w:cs="Arial" w:eastAsia="Arial" w:hAnsi="Arial"/>
                <w:sz w:val="17"/>
                <w:szCs w:val="17"/>
                <w:b w:val="1"/>
                <w:bCs w:val="1"/>
                <w:color w:val="auto"/>
                <w:w w:val="91"/>
              </w:rPr>
              <w:t>Reclassified from AOCL into</w:t>
            </w: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2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0" w:type="dxa"/>
            <w:vAlign w:val="bottom"/>
            <w:gridSpan w:val="2"/>
            <w:vMerge w:val="restart"/>
          </w:tcPr>
          <w:p>
            <w:pPr>
              <w:jc w:val="center"/>
              <w:ind w:right="160"/>
              <w:spacing w:after="0"/>
              <w:rPr>
                <w:sz w:val="20"/>
                <w:szCs w:val="20"/>
                <w:color w:val="auto"/>
              </w:rPr>
            </w:pPr>
            <w:r>
              <w:rPr>
                <w:rFonts w:ascii="Arial" w:cs="Arial" w:eastAsia="Arial" w:hAnsi="Arial"/>
                <w:sz w:val="17"/>
                <w:szCs w:val="17"/>
                <w:b w:val="1"/>
                <w:bCs w:val="1"/>
                <w:color w:val="auto"/>
                <w:w w:val="92"/>
              </w:rPr>
              <w:t>Derivatives</w:t>
            </w:r>
          </w:p>
        </w:tc>
        <w:tc>
          <w:tcPr>
            <w:tcW w:w="180" w:type="dxa"/>
            <w:vAlign w:val="bottom"/>
          </w:tcPr>
          <w:p>
            <w:pPr>
              <w:spacing w:after="0"/>
              <w:rPr>
                <w:sz w:val="5"/>
                <w:szCs w:val="5"/>
                <w:color w:val="auto"/>
              </w:rPr>
            </w:pPr>
          </w:p>
        </w:tc>
        <w:tc>
          <w:tcPr>
            <w:tcW w:w="1560" w:type="dxa"/>
            <w:vAlign w:val="bottom"/>
            <w:vMerge w:val="restart"/>
          </w:tcPr>
          <w:p>
            <w:pPr>
              <w:jc w:val="center"/>
              <w:ind w:left="655"/>
              <w:spacing w:after="0" w:line="198" w:lineRule="exact"/>
              <w:rPr>
                <w:sz w:val="20"/>
                <w:szCs w:val="20"/>
                <w:color w:val="auto"/>
              </w:rPr>
            </w:pPr>
            <w:r>
              <w:rPr>
                <w:rFonts w:ascii="Arial" w:cs="Arial" w:eastAsia="Arial" w:hAnsi="Arial"/>
                <w:sz w:val="17"/>
                <w:szCs w:val="17"/>
                <w:b w:val="1"/>
                <w:bCs w:val="1"/>
                <w:color w:val="auto"/>
                <w:w w:val="85"/>
              </w:rPr>
              <w:t xml:space="preserve">Income </w:t>
            </w:r>
            <w:r>
              <w:rPr>
                <w:rFonts w:ascii="Arial" w:cs="Arial" w:eastAsia="Arial" w:hAnsi="Arial"/>
                <w:sz w:val="22"/>
                <w:szCs w:val="22"/>
                <w:b w:val="1"/>
                <w:bCs w:val="1"/>
                <w:color w:val="auto"/>
                <w:w w:val="85"/>
                <w:vertAlign w:val="superscript"/>
              </w:rPr>
              <w:t>(1)</w:t>
            </w: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740" w:type="dxa"/>
            <w:vAlign w:val="bottom"/>
          </w:tcPr>
          <w:p>
            <w:pPr>
              <w:ind w:left="20"/>
              <w:spacing w:after="0" w:line="147" w:lineRule="exact"/>
              <w:rPr>
                <w:sz w:val="20"/>
                <w:szCs w:val="20"/>
                <w:color w:val="auto"/>
              </w:rPr>
            </w:pPr>
            <w:r>
              <w:rPr>
                <w:rFonts w:ascii="Arial" w:cs="Arial" w:eastAsia="Arial" w:hAnsi="Arial"/>
                <w:sz w:val="17"/>
                <w:szCs w:val="17"/>
                <w:b w:val="1"/>
                <w:bCs w:val="1"/>
                <w:color w:val="auto"/>
                <w:w w:val="98"/>
              </w:rPr>
              <w:t>Derivatives in Cash Flow Hedging</w:t>
            </w:r>
          </w:p>
        </w:tc>
        <w:tc>
          <w:tcPr>
            <w:tcW w:w="2300" w:type="dxa"/>
            <w:vAlign w:val="bottom"/>
          </w:tcPr>
          <w:p>
            <w:pPr>
              <w:jc w:val="center"/>
              <w:spacing w:after="0" w:line="147" w:lineRule="exact"/>
              <w:rPr>
                <w:sz w:val="20"/>
                <w:szCs w:val="20"/>
                <w:color w:val="auto"/>
              </w:rPr>
            </w:pPr>
            <w:r>
              <w:rPr>
                <w:rFonts w:ascii="Arial" w:cs="Arial" w:eastAsia="Arial" w:hAnsi="Arial"/>
                <w:sz w:val="17"/>
                <w:szCs w:val="17"/>
                <w:b w:val="1"/>
                <w:bCs w:val="1"/>
                <w:color w:val="auto"/>
                <w:w w:val="88"/>
              </w:rPr>
              <w:t>Recognized in Income on</w:t>
            </w:r>
          </w:p>
        </w:tc>
        <w:tc>
          <w:tcPr>
            <w:tcW w:w="2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Relationships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Derivatives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2021</w:t>
            </w: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swaps</w:t>
            </w: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Interest expense</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(4,087) $</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(5,364)</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40" w:firstLine="3"/>
        <w:spacing w:after="0" w:line="319" w:lineRule="auto"/>
        <w:tabs>
          <w:tab w:leader="none" w:pos="157"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reclassifications from accumulated other comprehensive loss to net income was reduced by taxes of $1.1 million and $1.4 million for the three months ended September 30, 2021 and 2020, respectively.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w w:val="93"/>
              </w:rPr>
              <w:t>Six Months Ended 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2"/>
          </w:tcPr>
          <w:p>
            <w:pPr>
              <w:jc w:val="center"/>
              <w:ind w:right="160"/>
              <w:spacing w:after="0" w:line="165" w:lineRule="exact"/>
              <w:rPr>
                <w:sz w:val="20"/>
                <w:szCs w:val="20"/>
                <w:color w:val="auto"/>
              </w:rPr>
            </w:pPr>
            <w:r>
              <w:rPr>
                <w:rFonts w:ascii="Arial" w:cs="Arial" w:eastAsia="Arial" w:hAnsi="Arial"/>
                <w:sz w:val="17"/>
                <w:szCs w:val="17"/>
                <w:b w:val="1"/>
                <w:bCs w:val="1"/>
                <w:color w:val="auto"/>
                <w:w w:val="91"/>
              </w:rPr>
              <w:t>Amount of (Loss) or Gain</w:t>
            </w:r>
          </w:p>
        </w:tc>
        <w:tc>
          <w:tcPr>
            <w:tcW w:w="180" w:type="dxa"/>
            <w:vAlign w:val="bottom"/>
          </w:tcPr>
          <w:p>
            <w:pPr>
              <w:spacing w:after="0"/>
              <w:rPr>
                <w:sz w:val="14"/>
                <w:szCs w:val="14"/>
                <w:color w:val="auto"/>
              </w:rPr>
            </w:pPr>
          </w:p>
        </w:tc>
        <w:tc>
          <w:tcPr>
            <w:tcW w:w="2460" w:type="dxa"/>
            <w:vAlign w:val="bottom"/>
            <w:gridSpan w:val="2"/>
          </w:tcPr>
          <w:p>
            <w:pPr>
              <w:jc w:val="center"/>
              <w:ind w:right="95"/>
              <w:spacing w:after="0" w:line="165" w:lineRule="exact"/>
              <w:rPr>
                <w:sz w:val="20"/>
                <w:szCs w:val="20"/>
                <w:color w:val="auto"/>
              </w:rPr>
            </w:pPr>
            <w:r>
              <w:rPr>
                <w:rFonts w:ascii="Arial" w:cs="Arial" w:eastAsia="Arial" w:hAnsi="Arial"/>
                <w:sz w:val="17"/>
                <w:szCs w:val="17"/>
                <w:b w:val="1"/>
                <w:bCs w:val="1"/>
                <w:color w:val="auto"/>
                <w:w w:val="91"/>
              </w:rPr>
              <w:t>Amount of (Loss) or Gain</w:t>
            </w:r>
          </w:p>
        </w:tc>
        <w:tc>
          <w:tcPr>
            <w:tcW w:w="0" w:type="dxa"/>
            <w:vAlign w:val="bottom"/>
          </w:tcPr>
          <w:p>
            <w:pPr>
              <w:spacing w:after="0"/>
              <w:rPr>
                <w:sz w:val="1"/>
                <w:szCs w:val="1"/>
                <w:color w:val="auto"/>
              </w:rPr>
            </w:pPr>
          </w:p>
        </w:tc>
      </w:tr>
      <w:tr>
        <w:trPr>
          <w:trHeight w:val="167"/>
        </w:trPr>
        <w:tc>
          <w:tcPr>
            <w:tcW w:w="2740" w:type="dxa"/>
            <w:vAlign w:val="bottom"/>
          </w:tcPr>
          <w:p>
            <w:pPr>
              <w:spacing w:after="0"/>
              <w:rPr>
                <w:sz w:val="14"/>
                <w:szCs w:val="14"/>
                <w:color w:val="auto"/>
              </w:rPr>
            </w:pPr>
          </w:p>
        </w:tc>
        <w:tc>
          <w:tcPr>
            <w:tcW w:w="23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Location of Gain or Loss</w:t>
            </w:r>
          </w:p>
        </w:tc>
        <w:tc>
          <w:tcPr>
            <w:tcW w:w="240" w:type="dxa"/>
            <w:vAlign w:val="bottom"/>
          </w:tcPr>
          <w:p>
            <w:pPr>
              <w:spacing w:after="0"/>
              <w:rPr>
                <w:sz w:val="14"/>
                <w:szCs w:val="14"/>
                <w:color w:val="auto"/>
              </w:rPr>
            </w:pPr>
          </w:p>
        </w:tc>
        <w:tc>
          <w:tcPr>
            <w:tcW w:w="2400" w:type="dxa"/>
            <w:vAlign w:val="bottom"/>
            <w:gridSpan w:val="2"/>
          </w:tcPr>
          <w:p>
            <w:pPr>
              <w:jc w:val="center"/>
              <w:ind w:right="140"/>
              <w:spacing w:after="0" w:line="167" w:lineRule="exact"/>
              <w:rPr>
                <w:sz w:val="20"/>
                <w:szCs w:val="20"/>
                <w:color w:val="auto"/>
              </w:rPr>
            </w:pPr>
            <w:r>
              <w:rPr>
                <w:rFonts w:ascii="Arial" w:cs="Arial" w:eastAsia="Arial" w:hAnsi="Arial"/>
                <w:sz w:val="17"/>
                <w:szCs w:val="17"/>
                <w:b w:val="1"/>
                <w:bCs w:val="1"/>
                <w:color w:val="auto"/>
                <w:w w:val="91"/>
              </w:rPr>
              <w:t>Recognized in AOCL on</w:t>
            </w:r>
          </w:p>
        </w:tc>
        <w:tc>
          <w:tcPr>
            <w:tcW w:w="180" w:type="dxa"/>
            <w:vAlign w:val="bottom"/>
          </w:tcPr>
          <w:p>
            <w:pPr>
              <w:spacing w:after="0"/>
              <w:rPr>
                <w:sz w:val="14"/>
                <w:szCs w:val="14"/>
                <w:color w:val="auto"/>
              </w:rPr>
            </w:pPr>
          </w:p>
        </w:tc>
        <w:tc>
          <w:tcPr>
            <w:tcW w:w="2460" w:type="dxa"/>
            <w:vAlign w:val="bottom"/>
            <w:gridSpan w:val="2"/>
          </w:tcPr>
          <w:p>
            <w:pPr>
              <w:jc w:val="center"/>
              <w:ind w:right="95"/>
              <w:spacing w:after="0" w:line="167" w:lineRule="exact"/>
              <w:rPr>
                <w:sz w:val="20"/>
                <w:szCs w:val="20"/>
                <w:color w:val="auto"/>
              </w:rPr>
            </w:pPr>
            <w:r>
              <w:rPr>
                <w:rFonts w:ascii="Arial" w:cs="Arial" w:eastAsia="Arial" w:hAnsi="Arial"/>
                <w:sz w:val="17"/>
                <w:szCs w:val="17"/>
                <w:b w:val="1"/>
                <w:bCs w:val="1"/>
                <w:color w:val="auto"/>
                <w:w w:val="91"/>
              </w:rPr>
              <w:t>Reclassified from AOCL into</w:t>
            </w: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2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0" w:type="dxa"/>
            <w:vAlign w:val="bottom"/>
            <w:gridSpan w:val="2"/>
            <w:vMerge w:val="restart"/>
          </w:tcPr>
          <w:p>
            <w:pPr>
              <w:jc w:val="center"/>
              <w:ind w:right="160"/>
              <w:spacing w:after="0"/>
              <w:rPr>
                <w:sz w:val="20"/>
                <w:szCs w:val="20"/>
                <w:color w:val="auto"/>
              </w:rPr>
            </w:pPr>
            <w:r>
              <w:rPr>
                <w:rFonts w:ascii="Arial" w:cs="Arial" w:eastAsia="Arial" w:hAnsi="Arial"/>
                <w:sz w:val="17"/>
                <w:szCs w:val="17"/>
                <w:b w:val="1"/>
                <w:bCs w:val="1"/>
                <w:color w:val="auto"/>
                <w:w w:val="92"/>
              </w:rPr>
              <w:t>Derivatives</w:t>
            </w:r>
          </w:p>
        </w:tc>
        <w:tc>
          <w:tcPr>
            <w:tcW w:w="180" w:type="dxa"/>
            <w:vAlign w:val="bottom"/>
          </w:tcPr>
          <w:p>
            <w:pPr>
              <w:spacing w:after="0"/>
              <w:rPr>
                <w:sz w:val="5"/>
                <w:szCs w:val="5"/>
                <w:color w:val="auto"/>
              </w:rPr>
            </w:pPr>
          </w:p>
        </w:tc>
        <w:tc>
          <w:tcPr>
            <w:tcW w:w="1560" w:type="dxa"/>
            <w:vAlign w:val="bottom"/>
            <w:vMerge w:val="restart"/>
          </w:tcPr>
          <w:p>
            <w:pPr>
              <w:jc w:val="center"/>
              <w:ind w:left="655"/>
              <w:spacing w:after="0" w:line="198" w:lineRule="exact"/>
              <w:rPr>
                <w:sz w:val="20"/>
                <w:szCs w:val="20"/>
                <w:color w:val="auto"/>
              </w:rPr>
            </w:pPr>
            <w:r>
              <w:rPr>
                <w:rFonts w:ascii="Arial" w:cs="Arial" w:eastAsia="Arial" w:hAnsi="Arial"/>
                <w:sz w:val="17"/>
                <w:szCs w:val="17"/>
                <w:b w:val="1"/>
                <w:bCs w:val="1"/>
                <w:color w:val="auto"/>
                <w:w w:val="85"/>
              </w:rPr>
              <w:t xml:space="preserve">Income </w:t>
            </w:r>
            <w:r>
              <w:rPr>
                <w:rFonts w:ascii="Arial" w:cs="Arial" w:eastAsia="Arial" w:hAnsi="Arial"/>
                <w:sz w:val="22"/>
                <w:szCs w:val="22"/>
                <w:b w:val="1"/>
                <w:bCs w:val="1"/>
                <w:color w:val="auto"/>
                <w:w w:val="85"/>
                <w:vertAlign w:val="superscript"/>
              </w:rPr>
              <w:t>(2)</w:t>
            </w: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740" w:type="dxa"/>
            <w:vAlign w:val="bottom"/>
          </w:tcPr>
          <w:p>
            <w:pPr>
              <w:ind w:left="20"/>
              <w:spacing w:after="0" w:line="147" w:lineRule="exact"/>
              <w:rPr>
                <w:sz w:val="20"/>
                <w:szCs w:val="20"/>
                <w:color w:val="auto"/>
              </w:rPr>
            </w:pPr>
            <w:r>
              <w:rPr>
                <w:rFonts w:ascii="Arial" w:cs="Arial" w:eastAsia="Arial" w:hAnsi="Arial"/>
                <w:sz w:val="17"/>
                <w:szCs w:val="17"/>
                <w:b w:val="1"/>
                <w:bCs w:val="1"/>
                <w:color w:val="auto"/>
                <w:w w:val="98"/>
              </w:rPr>
              <w:t>Derivatives in Cash Flow Hedging</w:t>
            </w:r>
          </w:p>
        </w:tc>
        <w:tc>
          <w:tcPr>
            <w:tcW w:w="2300" w:type="dxa"/>
            <w:vAlign w:val="bottom"/>
          </w:tcPr>
          <w:p>
            <w:pPr>
              <w:jc w:val="center"/>
              <w:spacing w:after="0" w:line="147" w:lineRule="exact"/>
              <w:rPr>
                <w:sz w:val="20"/>
                <w:szCs w:val="20"/>
                <w:color w:val="auto"/>
              </w:rPr>
            </w:pPr>
            <w:r>
              <w:rPr>
                <w:rFonts w:ascii="Arial" w:cs="Arial" w:eastAsia="Arial" w:hAnsi="Arial"/>
                <w:sz w:val="17"/>
                <w:szCs w:val="17"/>
                <w:b w:val="1"/>
                <w:bCs w:val="1"/>
                <w:color w:val="auto"/>
                <w:w w:val="88"/>
              </w:rPr>
              <w:t>Recognized in Income on</w:t>
            </w:r>
          </w:p>
        </w:tc>
        <w:tc>
          <w:tcPr>
            <w:tcW w:w="2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Relationships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Derivatives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2021</w:t>
            </w: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5"/>
              <w:spacing w:after="0"/>
              <w:rPr>
                <w:sz w:val="20"/>
                <w:szCs w:val="20"/>
                <w:color w:val="auto"/>
              </w:rPr>
            </w:pPr>
            <w:r>
              <w:rPr>
                <w:rFonts w:ascii="Arial" w:cs="Arial" w:eastAsia="Arial" w:hAnsi="Arial"/>
                <w:sz w:val="17"/>
                <w:szCs w:val="17"/>
                <w:b w:val="1"/>
                <w:bCs w:val="1"/>
                <w:color w:val="auto"/>
              </w:rPr>
              <w:t>2021</w:t>
            </w: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swaps</w:t>
            </w: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Interest expense</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(1,775) $</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(9,530) $</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(9,805)</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80" w:firstLine="3"/>
        <w:spacing w:after="0" w:line="319" w:lineRule="auto"/>
        <w:tabs>
          <w:tab w:leader="none" w:pos="157"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reclassifications from accumulated other comprehensive loss to net income was reduced by taxes of $2.5 million and $2.6 million for the six months ended September 30, 2021 and 2020, respectively.</w:t>
      </w:r>
    </w:p>
    <w:p>
      <w:pPr>
        <w:spacing w:after="0" w:line="24" w:lineRule="exact"/>
        <w:rPr>
          <w:sz w:val="20"/>
          <w:szCs w:val="20"/>
          <w:color w:val="auto"/>
        </w:rPr>
      </w:pPr>
    </w:p>
    <w:p>
      <w:pPr>
        <w:ind w:right="40" w:firstLine="385"/>
        <w:spacing w:after="0" w:line="309" w:lineRule="auto"/>
        <w:rPr>
          <w:sz w:val="20"/>
          <w:szCs w:val="20"/>
          <w:color w:val="auto"/>
        </w:rPr>
      </w:pPr>
      <w:r>
        <w:rPr>
          <w:rFonts w:ascii="Arial" w:cs="Arial" w:eastAsia="Arial" w:hAnsi="Arial"/>
          <w:sz w:val="16"/>
          <w:szCs w:val="16"/>
          <w:color w:val="auto"/>
        </w:rPr>
        <w:t>Over the next 12 months, the Company estimates that $15.2 million will be reclassified as an increase to interest expense. Cash flows associated with periodic settlements of interest rate swaps will be classified as operating activities in the condensed consolidated statement of cash flows.</w:t>
      </w:r>
    </w:p>
    <w:p>
      <w:pPr>
        <w:spacing w:after="0" w:line="39" w:lineRule="exact"/>
        <w:rPr>
          <w:sz w:val="20"/>
          <w:szCs w:val="20"/>
          <w:color w:val="auto"/>
        </w:rPr>
      </w:pPr>
    </w:p>
    <w:p>
      <w:pPr>
        <w:jc w:val="both"/>
        <w:ind w:right="700" w:firstLine="385"/>
        <w:spacing w:after="0" w:line="288" w:lineRule="auto"/>
        <w:rPr>
          <w:sz w:val="20"/>
          <w:szCs w:val="20"/>
          <w:color w:val="auto"/>
        </w:rPr>
      </w:pPr>
      <w:r>
        <w:rPr>
          <w:rFonts w:ascii="Arial" w:cs="Arial" w:eastAsia="Arial" w:hAnsi="Arial"/>
          <w:sz w:val="16"/>
          <w:szCs w:val="16"/>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16" w:lineRule="exact"/>
        <w:rPr>
          <w:sz w:val="20"/>
          <w:szCs w:val="20"/>
          <w:color w:val="auto"/>
        </w:rPr>
      </w:pPr>
    </w:p>
    <w:p>
      <w:pPr>
        <w:ind w:right="20" w:firstLine="385"/>
        <w:spacing w:after="0" w:line="258" w:lineRule="auto"/>
        <w:rPr>
          <w:sz w:val="20"/>
          <w:szCs w:val="20"/>
          <w:color w:val="auto"/>
        </w:rPr>
      </w:pPr>
      <w:r>
        <w:rPr>
          <w:rFonts w:ascii="Arial" w:cs="Arial" w:eastAsia="Arial" w:hAnsi="Arial"/>
          <w:sz w:val="17"/>
          <w:szCs w:val="17"/>
          <w:color w:val="auto"/>
        </w:rPr>
        <w:t>The Company’s effective income tax rates were 23.0% and 22.4% for the three months ended September 30, 2021 and September 30, 2020, respectively, and 22.9% and 23.3% for the six months ended September 30, 2021 and 2020, respectively. Our effective tax rates for these periods differ from the federal statutory rate of 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w:t>
      </w:r>
    </w:p>
    <w:p>
      <w:pPr>
        <w:spacing w:after="0" w:line="77" w:lineRule="exact"/>
        <w:rPr>
          <w:sz w:val="20"/>
          <w:szCs w:val="20"/>
          <w:color w:val="auto"/>
        </w:rPr>
      </w:pPr>
    </w:p>
    <w:p>
      <w:pPr>
        <w:ind w:right="40" w:firstLine="385"/>
        <w:spacing w:after="0" w:line="273" w:lineRule="auto"/>
        <w:rPr>
          <w:sz w:val="20"/>
          <w:szCs w:val="20"/>
          <w:color w:val="auto"/>
        </w:rPr>
      </w:pPr>
      <w:r>
        <w:rPr>
          <w:rFonts w:ascii="Arial" w:cs="Arial" w:eastAsia="Arial" w:hAnsi="Arial"/>
          <w:sz w:val="16"/>
          <w:szCs w:val="16"/>
          <w:color w:val="auto"/>
        </w:rPr>
        <w:t>The Company is currently contesting tax assessments from the District of Columbia Office of Tax and Revenue ("DC OTR") for fiscal years 2013 through 2015. The assessment relates to $11.7 million of taxes, net of federal tax benefits, as of September 30, 2021. During the second quarter of fiscal 2022, the Company received notification that the District of Columbia Office of Administrative Hearings ruled in favor of the DC OTR. The Company is currently appealing the decision with the District of Columbia Court of Appeals. The Company intends to continue to vigorously defend this matter. As a result of the ruling in favor of the DC OTR, the Company made an $8.6 million payment related to these assessments, consisting of $3.7 million of tax related to fiscal 2014 and 2015, as well as $4.9 million of penalties and interest. This payment was made under protest and, given the Company's belief that it will be recovered, the payment has been recorded as a long term income tax-receivable (a component of other long-term assets) on its condensed consolidated balance sheet. There has been no impact to income tax expense during fiscal 2022 related to this payment.</w:t>
      </w:r>
    </w:p>
    <w:p>
      <w:pPr>
        <w:spacing w:after="0" w:line="69" w:lineRule="exact"/>
        <w:rPr>
          <w:sz w:val="20"/>
          <w:szCs w:val="20"/>
          <w:color w:val="auto"/>
        </w:rPr>
      </w:pPr>
    </w:p>
    <w:p>
      <w:pPr>
        <w:ind w:firstLine="385"/>
        <w:spacing w:after="0" w:line="258" w:lineRule="auto"/>
        <w:rPr>
          <w:sz w:val="20"/>
          <w:szCs w:val="20"/>
          <w:color w:val="auto"/>
        </w:rPr>
      </w:pPr>
      <w:r>
        <w:rPr>
          <w:rFonts w:ascii="Arial" w:cs="Arial" w:eastAsia="Arial" w:hAnsi="Arial"/>
          <w:sz w:val="17"/>
          <w:szCs w:val="17"/>
          <w:color w:val="auto"/>
        </w:rPr>
        <w:t>The Company has taken similar tax positions with respect to subsequent fiscal years. As of September 30, 2021, the Company does not maintain reserves for any uncertain tax positions related to the contested tax benefits related to 2013 through 2015, nor does it maintain reserves for the similar tax positions taken in the subsequent fiscal years. If an adverse final resolution were to occur with respect to uncertain tax positions related to the contested tax benefits or the similar tax positions taken for fiscal years 2013 through 2020, the total potential future tax expense that would arise would be approximately $40.2 million to $55.0 million, net of federal benefits.</w:t>
      </w:r>
    </w:p>
    <w:p>
      <w:pPr>
        <w:spacing w:after="0" w:line="77" w:lineRule="exact"/>
        <w:rPr>
          <w:sz w:val="20"/>
          <w:szCs w:val="20"/>
          <w:color w:val="auto"/>
        </w:rPr>
      </w:pPr>
    </w:p>
    <w:p>
      <w:pPr>
        <w:ind w:right="40" w:firstLine="385"/>
        <w:spacing w:after="0" w:line="275" w:lineRule="auto"/>
        <w:rPr>
          <w:sz w:val="20"/>
          <w:szCs w:val="20"/>
          <w:color w:val="auto"/>
        </w:rPr>
      </w:pPr>
      <w:r>
        <w:rPr>
          <w:rFonts w:ascii="Arial" w:cs="Arial" w:eastAsia="Arial" w:hAnsi="Arial"/>
          <w:sz w:val="16"/>
          <w:szCs w:val="16"/>
          <w:color w:val="auto"/>
        </w:rPr>
        <w:t>The Company maintained reserves for uncertain tax positions of $70.5 million and $62.9 million as of September 30, 2021 and March 31, 2021, respectively, $11.1 million of which is reflected as a reduction to deferred taxes with the remaining balance included in other long-term liabilities in the accompanying condensed consolidated balance sheets. As of September 30, 2021, the Company's reserves for uncertain tax positions are related entirely to research and development tax credits. During the second quarter of fiscal 2022, the Company received a notice from the IRS that the Company's fiscal years 2016, 2017, and 2019 were selected for examination. The Company will continue to evaluate its reserves for uncertain tax positions in conjunction with the IRS examination, and as of September 30, 2021 does not believe any modifications to the previously recorded reserves are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OTHER LONG-TERM LIABILITIES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Other long-term liabilities consisted of the following:</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00" w:type="dxa"/>
            <w:vAlign w:val="bottom"/>
          </w:tcPr>
          <w:p>
            <w:pPr>
              <w:jc w:val="right"/>
              <w:ind w:right="360"/>
              <w:spacing w:after="0"/>
              <w:rPr>
                <w:sz w:val="20"/>
                <w:szCs w:val="20"/>
                <w:color w:val="auto"/>
              </w:rPr>
            </w:pPr>
            <w:r>
              <w:rPr>
                <w:rFonts w:ascii="Arial" w:cs="Arial" w:eastAsia="Arial" w:hAnsi="Arial"/>
                <w:sz w:val="14"/>
                <w:szCs w:val="14"/>
                <w:b w:val="1"/>
                <w:bCs w:val="1"/>
                <w:color w:val="auto"/>
              </w:rPr>
              <w:t>March 31,</w:t>
            </w:r>
          </w:p>
        </w:tc>
      </w:tr>
      <w:tr>
        <w:trPr>
          <w:trHeight w:val="178"/>
        </w:trPr>
        <w:tc>
          <w:tcPr>
            <w:tcW w:w="8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Postretirement benefit obligations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126,054</w:t>
            </w:r>
          </w:p>
        </w:tc>
      </w:tr>
      <w:tr>
        <w:trPr>
          <w:trHeight w:val="217"/>
        </w:trPr>
        <w:tc>
          <w:tcPr>
            <w:tcW w:w="8180" w:type="dxa"/>
            <w:vAlign w:val="bottom"/>
          </w:tcPr>
          <w:p>
            <w:pPr>
              <w:ind w:left="20"/>
              <w:spacing w:after="0"/>
              <w:rPr>
                <w:sz w:val="20"/>
                <w:szCs w:val="20"/>
                <w:color w:val="auto"/>
              </w:rPr>
            </w:pPr>
            <w:r>
              <w:rPr>
                <w:rFonts w:ascii="Arial" w:cs="Arial" w:eastAsia="Arial" w:hAnsi="Arial"/>
                <w:sz w:val="17"/>
                <w:szCs w:val="17"/>
                <w:color w:val="auto"/>
              </w:rPr>
              <w:t>Reserves for uncertain tax positions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60,738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53,203</w:t>
            </w:r>
          </w:p>
        </w:tc>
      </w:tr>
      <w:tr>
        <w:trPr>
          <w:trHeight w:val="219"/>
        </w:trPr>
        <w:tc>
          <w:tcPr>
            <w:tcW w:w="818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51,727</w:t>
            </w:r>
          </w:p>
        </w:tc>
      </w:tr>
      <w:tr>
        <w:trPr>
          <w:trHeight w:val="210"/>
        </w:trPr>
        <w:tc>
          <w:tcPr>
            <w:tcW w:w="8180" w:type="dxa"/>
            <w:vAlign w:val="bottom"/>
          </w:tcPr>
          <w:p>
            <w:pPr>
              <w:ind w:left="320"/>
              <w:spacing w:after="0"/>
              <w:rPr>
                <w:sz w:val="20"/>
                <w:szCs w:val="20"/>
                <w:color w:val="auto"/>
              </w:rPr>
            </w:pPr>
            <w:r>
              <w:rPr>
                <w:rFonts w:ascii="Arial" w:cs="Arial" w:eastAsia="Arial" w:hAnsi="Arial"/>
                <w:sz w:val="17"/>
                <w:szCs w:val="17"/>
                <w:color w:val="auto"/>
              </w:rPr>
              <w:t>Total other long-term liabilities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239,880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230,984</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right="300" w:firstLine="3"/>
        <w:spacing w:after="0" w:line="319" w:lineRule="auto"/>
        <w:tabs>
          <w:tab w:leader="none" w:pos="157"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Components of other long-term liabilities at September 30, 2021 and March 31, 2021 primarily include the Company's long-term deferred compensation plan liability, the long-term liability portion of derivative instruments, and the long-term disability obligation.</w:t>
      </w:r>
    </w:p>
    <w:p>
      <w:pPr>
        <w:spacing w:after="0" w:line="302" w:lineRule="exact"/>
        <w:rPr>
          <w:sz w:val="20"/>
          <w:szCs w:val="20"/>
          <w:color w:val="auto"/>
        </w:rPr>
      </w:pPr>
    </w:p>
    <w:p>
      <w:pPr>
        <w:ind w:left="320" w:right="8600" w:hanging="317"/>
        <w:spacing w:after="0" w:line="380" w:lineRule="auto"/>
        <w:tabs>
          <w:tab w:leader="none" w:pos="269"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EMPLOYEE BENEFIT PLANS </w:t>
      </w:r>
      <w:r>
        <w:rPr>
          <w:rFonts w:ascii="Arial" w:cs="Arial" w:eastAsia="Arial" w:hAnsi="Arial"/>
          <w:sz w:val="17"/>
          <w:szCs w:val="17"/>
          <w:b w:val="1"/>
          <w:bCs w:val="1"/>
          <w:i w:val="1"/>
          <w:iCs w:val="1"/>
          <w:color w:val="auto"/>
        </w:rPr>
        <w:t>Defined Contribution Plan</w:t>
      </w:r>
    </w:p>
    <w:p>
      <w:pPr>
        <w:ind w:right="140" w:firstLine="385"/>
        <w:spacing w:after="0" w:line="258" w:lineRule="auto"/>
        <w:rPr>
          <w:sz w:val="20"/>
          <w:szCs w:val="20"/>
          <w:color w:val="auto"/>
        </w:rPr>
      </w:pPr>
      <w:r>
        <w:rPr>
          <w:rFonts w:ascii="Arial" w:cs="Arial" w:eastAsia="Arial" w:hAnsi="Arial"/>
          <w:sz w:val="17"/>
          <w:szCs w:val="17"/>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expenses recognized under ECAP were $42.7 million and $40.2 million for the three months ended September 30, 2021 and 2020, respectively, and $85.9 million and $81.3 million for the six months ended September 30, 2021 and 2020, respectively.</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Defined Benefit Plan</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Company provides postretirement healthcare benefits to former officers under a medical indemnity insurance plan, with premiums paid by the Company.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This plan is referred to as the Officer Medical Plan.</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net postretirement medical expense for the Officer Medical Plan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2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r>
      <w:tr>
        <w:trPr>
          <w:trHeight w:val="178"/>
        </w:trPr>
        <w:tc>
          <w:tcPr>
            <w:tcW w:w="54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6"/>
              </w:rPr>
              <w:t>September 30,</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72"/>
        </w:trPr>
        <w:tc>
          <w:tcPr>
            <w:tcW w:w="54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96"/>
              </w:rPr>
              <w:t>2020</w:t>
            </w:r>
          </w:p>
        </w:tc>
      </w:tr>
      <w:tr>
        <w:trPr>
          <w:trHeight w:val="213"/>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1,626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1,414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2,828</w:t>
            </w:r>
          </w:p>
        </w:tc>
      </w:tr>
      <w:tr>
        <w:trPr>
          <w:trHeight w:val="217"/>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cost</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1,016</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1,059</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2,118</w:t>
            </w:r>
          </w:p>
        </w:tc>
      </w:tr>
      <w:tr>
        <w:trPr>
          <w:trHeight w:val="236"/>
        </w:trPr>
        <w:tc>
          <w:tcPr>
            <w:tcW w:w="5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postretirement medical expense</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2,642</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2,473</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4,946</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400" w:firstLine="385"/>
        <w:spacing w:after="0" w:line="264" w:lineRule="auto"/>
        <w:rPr>
          <w:sz w:val="20"/>
          <w:szCs w:val="20"/>
          <w:color w:val="auto"/>
        </w:rPr>
      </w:pPr>
      <w:r>
        <w:rPr>
          <w:rFonts w:ascii="Arial" w:cs="Arial" w:eastAsia="Arial" w:hAnsi="Arial"/>
          <w:sz w:val="17"/>
          <w:szCs w:val="17"/>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(expense) income, net in the accompanying condensed consolidated statements of operations.</w:t>
      </w:r>
    </w:p>
    <w:p>
      <w:pPr>
        <w:spacing w:after="0" w:line="175" w:lineRule="exact"/>
        <w:rPr>
          <w:sz w:val="20"/>
          <w:szCs w:val="20"/>
          <w:color w:val="auto"/>
        </w:rPr>
      </w:pPr>
    </w:p>
    <w:p>
      <w:pPr>
        <w:ind w:right="140" w:firstLine="385"/>
        <w:spacing w:after="0" w:line="277" w:lineRule="auto"/>
        <w:rPr>
          <w:sz w:val="20"/>
          <w:szCs w:val="20"/>
          <w:color w:val="auto"/>
        </w:rPr>
      </w:pPr>
      <w:r>
        <w:rPr>
          <w:rFonts w:ascii="Arial" w:cs="Arial" w:eastAsia="Arial" w:hAnsi="Arial"/>
          <w:sz w:val="17"/>
          <w:szCs w:val="17"/>
          <w:color w:val="auto"/>
        </w:rPr>
        <w:t>As of September 30, 2021 and March 31, 2021, the unfunded status of the post-retirement medical plan was $124.1 million and $121.5 million, respectively, which is included in other long-term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ACCUMULATED OTHER COMPREHENSIVE LOSS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All amounts recorded in other comprehensive loss are related to the Company's post-retirement plans and interest rate swaps designated as cash flow hedges. The following table shows the changes in accumulated other comprehensive loss, net of tax:</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5"/>
          </w:tcPr>
          <w:p>
            <w:pPr>
              <w:ind w:left="160"/>
              <w:spacing w:after="0"/>
              <w:rPr>
                <w:sz w:val="20"/>
                <w:szCs w:val="20"/>
                <w:color w:val="auto"/>
              </w:rPr>
            </w:pPr>
            <w:r>
              <w:rPr>
                <w:rFonts w:ascii="Arial" w:cs="Arial" w:eastAsia="Arial" w:hAnsi="Arial"/>
                <w:sz w:val="17"/>
                <w:szCs w:val="17"/>
                <w:b w:val="1"/>
                <w:bCs w:val="1"/>
                <w:color w:val="auto"/>
              </w:rPr>
              <w:t>Three Months Ended September 30, 2021</w:t>
            </w:r>
          </w:p>
        </w:tc>
        <w:tc>
          <w:tcPr>
            <w:tcW w:w="1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5"/>
          </w:tcPr>
          <w:p>
            <w:pPr>
              <w:jc w:val="center"/>
              <w:ind w:right="75"/>
              <w:spacing w:after="0"/>
              <w:rPr>
                <w:sz w:val="20"/>
                <w:szCs w:val="20"/>
                <w:color w:val="auto"/>
              </w:rPr>
            </w:pPr>
            <w:r>
              <w:rPr>
                <w:rFonts w:ascii="Arial" w:cs="Arial" w:eastAsia="Arial" w:hAnsi="Arial"/>
                <w:sz w:val="17"/>
                <w:szCs w:val="17"/>
                <w:b w:val="1"/>
                <w:bCs w:val="1"/>
                <w:color w:val="auto"/>
                <w:w w:val="90"/>
              </w:rPr>
              <w:t>Six Months Ended September 30, 2021</w:t>
            </w: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center"/>
              <w:ind w:right="55"/>
              <w:spacing w:after="0"/>
              <w:rPr>
                <w:sz w:val="20"/>
                <w:szCs w:val="20"/>
                <w:color w:val="auto"/>
              </w:rPr>
            </w:pPr>
            <w:r>
              <w:rPr>
                <w:rFonts w:ascii="Arial" w:cs="Arial" w:eastAsia="Arial" w:hAnsi="Arial"/>
                <w:sz w:val="17"/>
                <w:szCs w:val="17"/>
                <w:b w:val="1"/>
                <w:bCs w:val="1"/>
                <w:color w:val="auto"/>
                <w:w w:val="90"/>
              </w:rPr>
              <w:t>Derivatives</w:t>
            </w: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center"/>
              <w:ind w:right="75"/>
              <w:spacing w:after="0"/>
              <w:rPr>
                <w:sz w:val="20"/>
                <w:szCs w:val="20"/>
                <w:color w:val="auto"/>
              </w:rPr>
            </w:pPr>
            <w:r>
              <w:rPr>
                <w:rFonts w:ascii="Arial" w:cs="Arial" w:eastAsia="Arial" w:hAnsi="Arial"/>
                <w:sz w:val="17"/>
                <w:szCs w:val="17"/>
                <w:b w:val="1"/>
                <w:bCs w:val="1"/>
                <w:color w:val="auto"/>
                <w:w w:val="89"/>
              </w:rPr>
              <w:t>Post-</w:t>
            </w:r>
          </w:p>
        </w:tc>
        <w:tc>
          <w:tcPr>
            <w:tcW w:w="120" w:type="dxa"/>
            <w:vAlign w:val="bottom"/>
          </w:tcPr>
          <w:p>
            <w:pPr>
              <w:spacing w:after="0"/>
              <w:rPr>
                <w:sz w:val="13"/>
                <w:szCs w:val="13"/>
                <w:color w:val="auto"/>
              </w:rPr>
            </w:pPr>
          </w:p>
        </w:tc>
        <w:tc>
          <w:tcPr>
            <w:tcW w:w="1100" w:type="dxa"/>
            <w:vAlign w:val="bottom"/>
          </w:tcPr>
          <w:p>
            <w:pPr>
              <w:jc w:val="center"/>
              <w:ind w:right="35"/>
              <w:spacing w:after="0" w:line="160" w:lineRule="exact"/>
              <w:rPr>
                <w:sz w:val="20"/>
                <w:szCs w:val="20"/>
                <w:color w:val="auto"/>
              </w:rPr>
            </w:pPr>
            <w:r>
              <w:rPr>
                <w:rFonts w:ascii="Arial" w:cs="Arial" w:eastAsia="Arial" w:hAnsi="Arial"/>
                <w:sz w:val="17"/>
                <w:szCs w:val="17"/>
                <w:b w:val="1"/>
                <w:bCs w:val="1"/>
                <w:color w:val="auto"/>
                <w:w w:val="90"/>
              </w:rPr>
              <w:t>Derivatives</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w w:val="92"/>
              </w:rPr>
              <w:t>Post-retirement</w:t>
            </w: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35"/>
              <w:spacing w:after="0" w:line="167" w:lineRule="exact"/>
              <w:rPr>
                <w:sz w:val="20"/>
                <w:szCs w:val="20"/>
                <w:color w:val="auto"/>
              </w:rPr>
            </w:pPr>
            <w:r>
              <w:rPr>
                <w:rFonts w:ascii="Arial" w:cs="Arial" w:eastAsia="Arial" w:hAnsi="Arial"/>
                <w:sz w:val="17"/>
                <w:szCs w:val="17"/>
                <w:b w:val="1"/>
                <w:bCs w:val="1"/>
                <w:color w:val="auto"/>
                <w:w w:val="86"/>
              </w:rPr>
              <w:t>designated as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5"/>
              <w:spacing w:after="0" w:line="167" w:lineRule="exact"/>
              <w:rPr>
                <w:sz w:val="20"/>
                <w:szCs w:val="20"/>
                <w:color w:val="auto"/>
              </w:rPr>
            </w:pPr>
            <w:r>
              <w:rPr>
                <w:rFonts w:ascii="Arial" w:cs="Arial" w:eastAsia="Arial" w:hAnsi="Arial"/>
                <w:sz w:val="17"/>
                <w:szCs w:val="17"/>
                <w:b w:val="1"/>
                <w:bCs w:val="1"/>
                <w:color w:val="auto"/>
                <w:w w:val="86"/>
              </w:rPr>
              <w:t>designated as</w:t>
            </w:r>
          </w:p>
        </w:tc>
        <w:tc>
          <w:tcPr>
            <w:tcW w:w="280" w:type="dxa"/>
            <w:vAlign w:val="bottom"/>
          </w:tcPr>
          <w:p>
            <w:pPr>
              <w:spacing w:after="0"/>
              <w:rPr>
                <w:sz w:val="14"/>
                <w:szCs w:val="14"/>
                <w:color w:val="auto"/>
              </w:rPr>
            </w:pPr>
          </w:p>
        </w:tc>
        <w:tc>
          <w:tcPr>
            <w:tcW w:w="106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auto"/>
              </w:rPr>
              <w:t>Totals</w:t>
            </w:r>
          </w:p>
        </w:tc>
        <w:tc>
          <w:tcPr>
            <w:tcW w:w="160" w:type="dxa"/>
            <w:vAlign w:val="bottom"/>
          </w:tcPr>
          <w:p>
            <w:pPr>
              <w:spacing w:after="0"/>
              <w:rPr>
                <w:sz w:val="14"/>
                <w:szCs w:val="14"/>
                <w:color w:val="auto"/>
              </w:rPr>
            </w:pPr>
          </w:p>
        </w:tc>
        <w:tc>
          <w:tcPr>
            <w:tcW w:w="1020" w:type="dxa"/>
            <w:vAlign w:val="bottom"/>
          </w:tcPr>
          <w:p>
            <w:pPr>
              <w:jc w:val="center"/>
              <w:ind w:right="75"/>
              <w:spacing w:after="0" w:line="167" w:lineRule="exact"/>
              <w:rPr>
                <w:sz w:val="20"/>
                <w:szCs w:val="20"/>
                <w:color w:val="auto"/>
              </w:rPr>
            </w:pPr>
            <w:r>
              <w:rPr>
                <w:rFonts w:ascii="Arial" w:cs="Arial" w:eastAsia="Arial" w:hAnsi="Arial"/>
                <w:sz w:val="17"/>
                <w:szCs w:val="17"/>
                <w:b w:val="1"/>
                <w:bCs w:val="1"/>
                <w:color w:val="auto"/>
                <w:w w:val="93"/>
              </w:rPr>
              <w:t>retirement</w:t>
            </w:r>
          </w:p>
        </w:tc>
        <w:tc>
          <w:tcPr>
            <w:tcW w:w="120" w:type="dxa"/>
            <w:vAlign w:val="bottom"/>
          </w:tcPr>
          <w:p>
            <w:pPr>
              <w:spacing w:after="0"/>
              <w:rPr>
                <w:sz w:val="14"/>
                <w:szCs w:val="14"/>
                <w:color w:val="auto"/>
              </w:rPr>
            </w:pPr>
          </w:p>
        </w:tc>
        <w:tc>
          <w:tcPr>
            <w:tcW w:w="1100" w:type="dxa"/>
            <w:vAlign w:val="bottom"/>
          </w:tcPr>
          <w:p>
            <w:pPr>
              <w:jc w:val="center"/>
              <w:ind w:right="15"/>
              <w:spacing w:after="0" w:line="167" w:lineRule="exact"/>
              <w:rPr>
                <w:sz w:val="20"/>
                <w:szCs w:val="20"/>
                <w:color w:val="auto"/>
              </w:rPr>
            </w:pPr>
            <w:r>
              <w:rPr>
                <w:rFonts w:ascii="Arial" w:cs="Arial" w:eastAsia="Arial" w:hAnsi="Arial"/>
                <w:sz w:val="17"/>
                <w:szCs w:val="17"/>
                <w:b w:val="1"/>
                <w:bCs w:val="1"/>
                <w:color w:val="auto"/>
                <w:w w:val="87"/>
              </w:rPr>
              <w:t>cash flow</w:t>
            </w:r>
          </w:p>
        </w:tc>
        <w:tc>
          <w:tcPr>
            <w:tcW w:w="240" w:type="dxa"/>
            <w:vAlign w:val="bottom"/>
          </w:tcPr>
          <w:p>
            <w:pPr>
              <w:spacing w:after="0"/>
              <w:rPr>
                <w:sz w:val="14"/>
                <w:szCs w:val="14"/>
                <w:color w:val="auto"/>
              </w:rPr>
            </w:pPr>
          </w:p>
        </w:tc>
        <w:tc>
          <w:tcPr>
            <w:tcW w:w="940" w:type="dxa"/>
            <w:vAlign w:val="bottom"/>
            <w:vMerge w:val="restart"/>
          </w:tcPr>
          <w:p>
            <w:pPr>
              <w:jc w:val="right"/>
              <w:ind w:right="275"/>
              <w:spacing w:after="0"/>
              <w:rPr>
                <w:sz w:val="20"/>
                <w:szCs w:val="20"/>
                <w:color w:val="auto"/>
              </w:rPr>
            </w:pPr>
            <w:r>
              <w:rPr>
                <w:rFonts w:ascii="Arial" w:cs="Arial" w:eastAsia="Arial" w:hAnsi="Arial"/>
                <w:sz w:val="17"/>
                <w:szCs w:val="17"/>
                <w:b w:val="1"/>
                <w:bCs w:val="1"/>
                <w:color w:val="auto"/>
              </w:rPr>
              <w:t>Totals</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plans</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6"/>
              </w:rPr>
              <w:t>cash flow hedges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5"/>
              </w:rPr>
              <w:t>plans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3"/>
              </w:rPr>
              <w:t>hedges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of period</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(25,215)</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(26,758)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(28,209)</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(29,771)</w:t>
            </w:r>
          </w:p>
        </w:tc>
        <w:tc>
          <w:tcPr>
            <w:tcW w:w="0" w:type="dxa"/>
            <w:vAlign w:val="bottom"/>
          </w:tcPr>
          <w:p>
            <w:pPr>
              <w:spacing w:after="0"/>
              <w:rPr>
                <w:sz w:val="1"/>
                <w:szCs w:val="1"/>
                <w:color w:val="auto"/>
              </w:rPr>
            </w:pPr>
          </w:p>
        </w:tc>
      </w:tr>
      <w:tr>
        <w:trPr>
          <w:trHeight w:val="218"/>
        </w:trPr>
        <w:tc>
          <w:tcPr>
            <w:tcW w:w="3820" w:type="dxa"/>
            <w:vAlign w:val="bottom"/>
          </w:tcPr>
          <w:p>
            <w:pPr>
              <w:ind w:left="140"/>
              <w:spacing w:after="0" w:line="218" w:lineRule="exact"/>
              <w:rPr>
                <w:sz w:val="20"/>
                <w:szCs w:val="20"/>
                <w:color w:val="auto"/>
              </w:rPr>
            </w:pPr>
            <w:r>
              <w:rPr>
                <w:rFonts w:ascii="Arial" w:cs="Arial" w:eastAsia="Arial" w:hAnsi="Arial"/>
                <w:sz w:val="17"/>
                <w:szCs w:val="17"/>
                <w:color w:val="auto"/>
                <w:w w:val="93"/>
              </w:rPr>
              <w:t>Other comprehensive loss before reclassifications</w:t>
            </w:r>
            <w:r>
              <w:rPr>
                <w:rFonts w:ascii="Arial" w:cs="Arial" w:eastAsia="Arial" w:hAnsi="Arial"/>
                <w:sz w:val="22"/>
                <w:szCs w:val="22"/>
                <w:color w:val="auto"/>
                <w:w w:val="93"/>
                <w:vertAlign w:val="superscript"/>
              </w:rPr>
              <w:t>(1)</w:t>
            </w:r>
          </w:p>
        </w:tc>
        <w:tc>
          <w:tcPr>
            <w:tcW w:w="240" w:type="dxa"/>
            <w:vAlign w:val="bottom"/>
          </w:tcPr>
          <w:p>
            <w:pPr>
              <w:spacing w:after="0"/>
              <w:rPr>
                <w:sz w:val="18"/>
                <w:szCs w:val="18"/>
                <w:color w:val="auto"/>
              </w:rPr>
            </w:pPr>
          </w:p>
        </w:tc>
        <w:tc>
          <w:tcPr>
            <w:tcW w:w="960" w:type="dxa"/>
            <w:vAlign w:val="bottom"/>
          </w:tcPr>
          <w:p>
            <w:pPr>
              <w:ind w:lef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(281)</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(281)</w:t>
            </w:r>
          </w:p>
        </w:tc>
        <w:tc>
          <w:tcPr>
            <w:tcW w:w="160" w:type="dxa"/>
            <w:vAlign w:val="bottom"/>
          </w:tcPr>
          <w:p>
            <w:pPr>
              <w:spacing w:after="0"/>
              <w:rPr>
                <w:sz w:val="18"/>
                <w:szCs w:val="18"/>
                <w:color w:val="auto"/>
              </w:rPr>
            </w:pPr>
          </w:p>
        </w:tc>
        <w:tc>
          <w:tcPr>
            <w:tcW w:w="1020" w:type="dxa"/>
            <w:vAlign w:val="bottom"/>
          </w:tcPr>
          <w:p>
            <w:pPr>
              <w:ind w:left="7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(1,312)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(1,312)</w:t>
            </w:r>
          </w:p>
        </w:tc>
        <w:tc>
          <w:tcPr>
            <w:tcW w:w="0" w:type="dxa"/>
            <w:vAlign w:val="bottom"/>
          </w:tcPr>
          <w:p>
            <w:pPr>
              <w:spacing w:after="0"/>
              <w:rPr>
                <w:sz w:val="1"/>
                <w:szCs w:val="1"/>
                <w:color w:val="auto"/>
              </w:rPr>
            </w:pPr>
          </w:p>
        </w:tc>
      </w:tr>
      <w:tr>
        <w:trPr>
          <w:trHeight w:val="167"/>
        </w:trPr>
        <w:tc>
          <w:tcPr>
            <w:tcW w:w="3820" w:type="dxa"/>
            <w:vAlign w:val="bottom"/>
            <w:shd w:val="clear" w:color="auto" w:fill="CCEEFF"/>
          </w:tcPr>
          <w:p>
            <w:pPr>
              <w:ind w:left="140"/>
              <w:spacing w:after="0" w:line="167" w:lineRule="exact"/>
              <w:rPr>
                <w:sz w:val="20"/>
                <w:szCs w:val="20"/>
                <w:color w:val="auto"/>
              </w:rPr>
            </w:pPr>
            <w:r>
              <w:rPr>
                <w:rFonts w:ascii="Arial" w:cs="Arial" w:eastAsia="Arial" w:hAnsi="Arial"/>
                <w:sz w:val="17"/>
                <w:szCs w:val="17"/>
                <w:color w:val="auto"/>
              </w:rPr>
              <w:t>Amounts reclassified from accumulated other</w:t>
            </w:r>
          </w:p>
        </w:tc>
        <w:tc>
          <w:tcPr>
            <w:tcW w:w="2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720"/>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3,020</w:t>
            </w:r>
          </w:p>
        </w:tc>
        <w:tc>
          <w:tcPr>
            <w:tcW w:w="2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3,040</w:t>
            </w: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ind w:left="780"/>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7,045</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7,084</w:t>
            </w: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w w:val="99"/>
              </w:rPr>
              <w:t>Net current-period other comprehensive income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20</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2,739</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2,759</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5,733</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5,772</w:t>
            </w: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 of period</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(22,476)</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(22,476)</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(23,999)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0" w:firstLine="3"/>
        <w:spacing w:after="0" w:line="249" w:lineRule="auto"/>
        <w:tabs>
          <w:tab w:leader="none" w:pos="172" w:val="left"/>
        </w:tabs>
        <w:numPr>
          <w:ilvl w:val="0"/>
          <w:numId w:val="15"/>
        </w:numPr>
        <w:rPr>
          <w:rFonts w:ascii="Arial" w:cs="Arial" w:eastAsia="Arial" w:hAnsi="Arial"/>
          <w:sz w:val="20"/>
          <w:szCs w:val="20"/>
          <w:color w:val="auto"/>
          <w:vertAlign w:val="superscript"/>
        </w:rPr>
      </w:pPr>
      <w:r>
        <w:rPr>
          <w:rFonts w:ascii="Arial" w:cs="Arial" w:eastAsia="Arial" w:hAnsi="Arial"/>
          <w:sz w:val="16"/>
          <w:szCs w:val="16"/>
          <w:color w:val="auto"/>
        </w:rPr>
        <w:t>Changes in other comprehensive income (loss) before reclassification for derivatives designated as cash flow hedges are recorded net of tax benefits of $0.1 million and $0.5 million for the three and six months ended September 30, 2021, respectively.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5"/>
          </w:tcPr>
          <w:p>
            <w:pPr>
              <w:jc w:val="center"/>
              <w:ind w:right="115"/>
              <w:spacing w:after="0"/>
              <w:rPr>
                <w:sz w:val="20"/>
                <w:szCs w:val="20"/>
                <w:color w:val="auto"/>
              </w:rPr>
            </w:pPr>
            <w:r>
              <w:rPr>
                <w:rFonts w:ascii="Arial" w:cs="Arial" w:eastAsia="Arial" w:hAnsi="Arial"/>
                <w:sz w:val="17"/>
                <w:szCs w:val="17"/>
                <w:b w:val="1"/>
                <w:bCs w:val="1"/>
                <w:color w:val="auto"/>
                <w:w w:val="91"/>
              </w:rPr>
              <w:t>Three Months Ended September 30, 2020</w:t>
            </w:r>
          </w:p>
        </w:tc>
        <w:tc>
          <w:tcPr>
            <w:tcW w:w="16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5"/>
          </w:tcPr>
          <w:p>
            <w:pPr>
              <w:jc w:val="center"/>
              <w:ind w:right="75"/>
              <w:spacing w:after="0"/>
              <w:rPr>
                <w:sz w:val="20"/>
                <w:szCs w:val="20"/>
                <w:color w:val="auto"/>
              </w:rPr>
            </w:pPr>
            <w:r>
              <w:rPr>
                <w:rFonts w:ascii="Arial" w:cs="Arial" w:eastAsia="Arial" w:hAnsi="Arial"/>
                <w:sz w:val="17"/>
                <w:szCs w:val="17"/>
                <w:b w:val="1"/>
                <w:bCs w:val="1"/>
                <w:color w:val="auto"/>
                <w:w w:val="90"/>
              </w:rPr>
              <w:t>Six Months Ended September 30, 2020</w:t>
            </w: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5"/>
              <w:spacing w:after="0" w:line="160" w:lineRule="exact"/>
              <w:rPr>
                <w:sz w:val="20"/>
                <w:szCs w:val="20"/>
                <w:color w:val="auto"/>
              </w:rPr>
            </w:pPr>
            <w:r>
              <w:rPr>
                <w:rFonts w:ascii="Arial" w:cs="Arial" w:eastAsia="Arial" w:hAnsi="Arial"/>
                <w:sz w:val="17"/>
                <w:szCs w:val="17"/>
                <w:b w:val="1"/>
                <w:bCs w:val="1"/>
                <w:color w:val="auto"/>
                <w:w w:val="90"/>
              </w:rPr>
              <w:t>Derivatives</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center"/>
              <w:ind w:right="55"/>
              <w:spacing w:after="0"/>
              <w:rPr>
                <w:sz w:val="20"/>
                <w:szCs w:val="20"/>
                <w:color w:val="auto"/>
              </w:rPr>
            </w:pPr>
            <w:r>
              <w:rPr>
                <w:rFonts w:ascii="Arial" w:cs="Arial" w:eastAsia="Arial" w:hAnsi="Arial"/>
                <w:sz w:val="17"/>
                <w:szCs w:val="17"/>
                <w:b w:val="1"/>
                <w:bCs w:val="1"/>
                <w:color w:val="auto"/>
                <w:w w:val="84"/>
              </w:rPr>
              <w:t>Post-</w:t>
            </w:r>
          </w:p>
        </w:tc>
        <w:tc>
          <w:tcPr>
            <w:tcW w:w="140" w:type="dxa"/>
            <w:vAlign w:val="bottom"/>
          </w:tcPr>
          <w:p>
            <w:pPr>
              <w:spacing w:after="0"/>
              <w:rPr>
                <w:sz w:val="13"/>
                <w:szCs w:val="13"/>
                <w:color w:val="auto"/>
              </w:rPr>
            </w:pPr>
          </w:p>
        </w:tc>
        <w:tc>
          <w:tcPr>
            <w:tcW w:w="1160" w:type="dxa"/>
            <w:vAlign w:val="bottom"/>
            <w:vMerge w:val="restart"/>
          </w:tcPr>
          <w:p>
            <w:pPr>
              <w:jc w:val="center"/>
              <w:ind w:right="55"/>
              <w:spacing w:after="0"/>
              <w:rPr>
                <w:sz w:val="20"/>
                <w:szCs w:val="20"/>
                <w:color w:val="auto"/>
              </w:rPr>
            </w:pPr>
            <w:r>
              <w:rPr>
                <w:rFonts w:ascii="Arial" w:cs="Arial" w:eastAsia="Arial" w:hAnsi="Arial"/>
                <w:sz w:val="17"/>
                <w:szCs w:val="17"/>
                <w:b w:val="1"/>
                <w:bCs w:val="1"/>
                <w:color w:val="auto"/>
                <w:w w:val="90"/>
              </w:rPr>
              <w:t>Derivatives</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860" w:type="dxa"/>
            <w:vAlign w:val="bottom"/>
          </w:tcPr>
          <w:p>
            <w:pPr>
              <w:spacing w:after="0"/>
              <w:rPr>
                <w:sz w:val="14"/>
                <w:szCs w:val="14"/>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90"/>
              </w:rPr>
              <w:t>Post-retirement</w:t>
            </w:r>
          </w:p>
        </w:tc>
        <w:tc>
          <w:tcPr>
            <w:tcW w:w="120" w:type="dxa"/>
            <w:vAlign w:val="bottom"/>
          </w:tcPr>
          <w:p>
            <w:pPr>
              <w:spacing w:after="0"/>
              <w:rPr>
                <w:sz w:val="14"/>
                <w:szCs w:val="14"/>
                <w:color w:val="auto"/>
              </w:rPr>
            </w:pPr>
          </w:p>
        </w:tc>
        <w:tc>
          <w:tcPr>
            <w:tcW w:w="1120" w:type="dxa"/>
            <w:vAlign w:val="bottom"/>
          </w:tcPr>
          <w:p>
            <w:pPr>
              <w:jc w:val="center"/>
              <w:ind w:right="15"/>
              <w:spacing w:after="0" w:line="167" w:lineRule="exact"/>
              <w:rPr>
                <w:sz w:val="20"/>
                <w:szCs w:val="20"/>
                <w:color w:val="auto"/>
              </w:rPr>
            </w:pPr>
            <w:r>
              <w:rPr>
                <w:rFonts w:ascii="Arial" w:cs="Arial" w:eastAsia="Arial" w:hAnsi="Arial"/>
                <w:sz w:val="17"/>
                <w:szCs w:val="17"/>
                <w:b w:val="1"/>
                <w:bCs w:val="1"/>
                <w:color w:val="auto"/>
                <w:w w:val="86"/>
              </w:rPr>
              <w:t>designated as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35"/>
              <w:spacing w:after="0" w:line="167" w:lineRule="exact"/>
              <w:rPr>
                <w:sz w:val="20"/>
                <w:szCs w:val="20"/>
                <w:color w:val="auto"/>
              </w:rPr>
            </w:pPr>
            <w:r>
              <w:rPr>
                <w:rFonts w:ascii="Arial" w:cs="Arial" w:eastAsia="Arial" w:hAnsi="Arial"/>
                <w:sz w:val="17"/>
                <w:szCs w:val="17"/>
                <w:b w:val="1"/>
                <w:bCs w:val="1"/>
                <w:color w:val="auto"/>
                <w:w w:val="87"/>
              </w:rPr>
              <w:t>cash flow</w:t>
            </w:r>
          </w:p>
        </w:tc>
        <w:tc>
          <w:tcPr>
            <w:tcW w:w="260" w:type="dxa"/>
            <w:vAlign w:val="bottom"/>
          </w:tcPr>
          <w:p>
            <w:pPr>
              <w:spacing w:after="0"/>
              <w:rPr>
                <w:sz w:val="14"/>
                <w:szCs w:val="14"/>
                <w:color w:val="auto"/>
              </w:rPr>
            </w:pPr>
          </w:p>
        </w:tc>
        <w:tc>
          <w:tcPr>
            <w:tcW w:w="960" w:type="dxa"/>
            <w:vAlign w:val="bottom"/>
            <w:vMerge w:val="restart"/>
          </w:tcPr>
          <w:p>
            <w:pPr>
              <w:jc w:val="right"/>
              <w:ind w:right="295"/>
              <w:spacing w:after="0"/>
              <w:rPr>
                <w:sz w:val="20"/>
                <w:szCs w:val="20"/>
                <w:color w:val="auto"/>
              </w:rPr>
            </w:pPr>
            <w:r>
              <w:rPr>
                <w:rFonts w:ascii="Arial" w:cs="Arial" w:eastAsia="Arial" w:hAnsi="Arial"/>
                <w:sz w:val="17"/>
                <w:szCs w:val="17"/>
                <w:b w:val="1"/>
                <w:bCs w:val="1"/>
                <w:color w:val="auto"/>
              </w:rPr>
              <w:t>Totals</w:t>
            </w:r>
          </w:p>
        </w:tc>
        <w:tc>
          <w:tcPr>
            <w:tcW w:w="160" w:type="dxa"/>
            <w:vAlign w:val="bottom"/>
          </w:tcPr>
          <w:p>
            <w:pPr>
              <w:spacing w:after="0"/>
              <w:rPr>
                <w:sz w:val="14"/>
                <w:szCs w:val="14"/>
                <w:color w:val="auto"/>
              </w:rPr>
            </w:pPr>
          </w:p>
        </w:tc>
        <w:tc>
          <w:tcPr>
            <w:tcW w:w="1020" w:type="dxa"/>
            <w:vAlign w:val="bottom"/>
          </w:tcPr>
          <w:p>
            <w:pPr>
              <w:jc w:val="center"/>
              <w:ind w:right="55"/>
              <w:spacing w:after="0" w:line="167" w:lineRule="exact"/>
              <w:rPr>
                <w:sz w:val="20"/>
                <w:szCs w:val="20"/>
                <w:color w:val="auto"/>
              </w:rPr>
            </w:pPr>
            <w:r>
              <w:rPr>
                <w:rFonts w:ascii="Arial" w:cs="Arial" w:eastAsia="Arial" w:hAnsi="Arial"/>
                <w:sz w:val="17"/>
                <w:szCs w:val="17"/>
                <w:b w:val="1"/>
                <w:bCs w:val="1"/>
                <w:color w:val="auto"/>
                <w:w w:val="91"/>
              </w:rPr>
              <w:t>retirement</w:t>
            </w:r>
          </w:p>
        </w:tc>
        <w:tc>
          <w:tcPr>
            <w:tcW w:w="140" w:type="dxa"/>
            <w:vAlign w:val="bottom"/>
          </w:tcPr>
          <w:p>
            <w:pPr>
              <w:spacing w:after="0"/>
              <w:rPr>
                <w:sz w:val="14"/>
                <w:szCs w:val="14"/>
                <w:color w:val="auto"/>
              </w:rPr>
            </w:pPr>
          </w:p>
        </w:tc>
        <w:tc>
          <w:tcPr>
            <w:tcW w:w="1160" w:type="dxa"/>
            <w:vAlign w:val="bottom"/>
          </w:tcPr>
          <w:p>
            <w:pPr>
              <w:jc w:val="center"/>
              <w:ind w:right="55"/>
              <w:spacing w:after="0" w:line="167" w:lineRule="exact"/>
              <w:rPr>
                <w:sz w:val="20"/>
                <w:szCs w:val="20"/>
                <w:color w:val="auto"/>
              </w:rPr>
            </w:pPr>
            <w:r>
              <w:rPr>
                <w:rFonts w:ascii="Arial" w:cs="Arial" w:eastAsia="Arial" w:hAnsi="Arial"/>
                <w:sz w:val="17"/>
                <w:szCs w:val="17"/>
                <w:b w:val="1"/>
                <w:bCs w:val="1"/>
                <w:color w:val="auto"/>
                <w:w w:val="86"/>
              </w:rPr>
              <w:t>designated as</w:t>
            </w:r>
          </w:p>
        </w:tc>
        <w:tc>
          <w:tcPr>
            <w:tcW w:w="240" w:type="dxa"/>
            <w:vAlign w:val="bottom"/>
          </w:tcPr>
          <w:p>
            <w:pPr>
              <w:spacing w:after="0"/>
              <w:rPr>
                <w:sz w:val="14"/>
                <w:szCs w:val="14"/>
                <w:color w:val="auto"/>
              </w:rPr>
            </w:pPr>
          </w:p>
        </w:tc>
        <w:tc>
          <w:tcPr>
            <w:tcW w:w="940" w:type="dxa"/>
            <w:vAlign w:val="bottom"/>
            <w:vMerge w:val="restart"/>
          </w:tcPr>
          <w:p>
            <w:pPr>
              <w:jc w:val="right"/>
              <w:ind w:right="295"/>
              <w:spacing w:after="0"/>
              <w:rPr>
                <w:sz w:val="20"/>
                <w:szCs w:val="20"/>
                <w:color w:val="auto"/>
              </w:rPr>
            </w:pPr>
            <w:r>
              <w:rPr>
                <w:rFonts w:ascii="Arial" w:cs="Arial" w:eastAsia="Arial" w:hAnsi="Arial"/>
                <w:sz w:val="17"/>
                <w:szCs w:val="17"/>
                <w:b w:val="1"/>
                <w:bCs w:val="1"/>
                <w:color w:val="auto"/>
              </w:rPr>
              <w:t>Totals</w:t>
            </w:r>
          </w:p>
        </w:tc>
        <w:tc>
          <w:tcPr>
            <w:tcW w:w="0" w:type="dxa"/>
            <w:vAlign w:val="bottom"/>
          </w:tcPr>
          <w:p>
            <w:pPr>
              <w:spacing w:after="0"/>
              <w:rPr>
                <w:sz w:val="1"/>
                <w:szCs w:val="1"/>
                <w:color w:val="auto"/>
              </w:rPr>
            </w:pPr>
          </w:p>
        </w:tc>
      </w:tr>
      <w:tr>
        <w:trPr>
          <w:trHeight w:val="218"/>
        </w:trPr>
        <w:tc>
          <w:tcPr>
            <w:tcW w:w="3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89"/>
              </w:rPr>
              <w:t>plans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3"/>
              </w:rPr>
              <w:t>hedges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plans</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6"/>
              </w:rPr>
              <w:t>cash flow hedges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of period</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(43,313)</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(41,874)</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(46,001)</w:t>
            </w:r>
          </w:p>
        </w:tc>
        <w:tc>
          <w:tcPr>
            <w:tcW w:w="0" w:type="dxa"/>
            <w:vAlign w:val="bottom"/>
          </w:tcPr>
          <w:p>
            <w:pPr>
              <w:spacing w:after="0"/>
              <w:rPr>
                <w:sz w:val="1"/>
                <w:szCs w:val="1"/>
                <w:color w:val="auto"/>
              </w:rPr>
            </w:pPr>
          </w:p>
        </w:tc>
      </w:tr>
      <w:tr>
        <w:trPr>
          <w:trHeight w:val="218"/>
        </w:trPr>
        <w:tc>
          <w:tcPr>
            <w:tcW w:w="3860" w:type="dxa"/>
            <w:vAlign w:val="bottom"/>
          </w:tcPr>
          <w:p>
            <w:pPr>
              <w:ind w:left="140"/>
              <w:spacing w:after="0" w:line="218" w:lineRule="exact"/>
              <w:rPr>
                <w:sz w:val="20"/>
                <w:szCs w:val="20"/>
                <w:color w:val="auto"/>
              </w:rPr>
            </w:pPr>
            <w:r>
              <w:rPr>
                <w:rFonts w:ascii="Arial" w:cs="Arial" w:eastAsia="Arial" w:hAnsi="Arial"/>
                <w:sz w:val="17"/>
                <w:szCs w:val="17"/>
                <w:color w:val="auto"/>
                <w:w w:val="94"/>
              </w:rPr>
              <w:t>Other comprehensive loss before reclassifications</w:t>
            </w:r>
            <w:r>
              <w:rPr>
                <w:rFonts w:ascii="Arial" w:cs="Arial" w:eastAsia="Arial" w:hAnsi="Arial"/>
                <w:sz w:val="22"/>
                <w:szCs w:val="22"/>
                <w:color w:val="auto"/>
                <w:w w:val="94"/>
                <w:vertAlign w:val="superscript"/>
              </w:rPr>
              <w:t>(2)</w:t>
            </w:r>
          </w:p>
        </w:tc>
        <w:tc>
          <w:tcPr>
            <w:tcW w:w="22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(301)</w:t>
            </w:r>
          </w:p>
        </w:tc>
        <w:tc>
          <w:tcPr>
            <w:tcW w:w="160" w:type="dxa"/>
            <w:vAlign w:val="bottom"/>
          </w:tcPr>
          <w:p>
            <w:pPr>
              <w:spacing w:after="0"/>
              <w:rPr>
                <w:sz w:val="18"/>
                <w:szCs w:val="18"/>
                <w:color w:val="auto"/>
              </w:rPr>
            </w:pPr>
          </w:p>
        </w:tc>
        <w:tc>
          <w:tcPr>
            <w:tcW w:w="1020" w:type="dxa"/>
            <w:vAlign w:val="bottom"/>
          </w:tcPr>
          <w:p>
            <w:pPr>
              <w:ind w:left="7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(5,023)</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(5,023)</w:t>
            </w:r>
          </w:p>
        </w:tc>
        <w:tc>
          <w:tcPr>
            <w:tcW w:w="0" w:type="dxa"/>
            <w:vAlign w:val="bottom"/>
          </w:tcPr>
          <w:p>
            <w:pPr>
              <w:spacing w:after="0"/>
              <w:rPr>
                <w:sz w:val="1"/>
                <w:szCs w:val="1"/>
                <w:color w:val="auto"/>
              </w:rPr>
            </w:pPr>
          </w:p>
        </w:tc>
      </w:tr>
      <w:tr>
        <w:trPr>
          <w:trHeight w:val="167"/>
        </w:trPr>
        <w:tc>
          <w:tcPr>
            <w:tcW w:w="3860" w:type="dxa"/>
            <w:vAlign w:val="bottom"/>
            <w:shd w:val="clear" w:color="auto" w:fill="CCEEFF"/>
          </w:tcPr>
          <w:p>
            <w:pPr>
              <w:ind w:left="140"/>
              <w:spacing w:after="0" w:line="167" w:lineRule="exact"/>
              <w:rPr>
                <w:sz w:val="20"/>
                <w:szCs w:val="20"/>
                <w:color w:val="auto"/>
              </w:rPr>
            </w:pPr>
            <w:r>
              <w:rPr>
                <w:rFonts w:ascii="Arial" w:cs="Arial" w:eastAsia="Arial" w:hAnsi="Arial"/>
                <w:sz w:val="17"/>
                <w:szCs w:val="17"/>
                <w:color w:val="auto"/>
              </w:rPr>
              <w:t>Amounts reclassified from accumulated other</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ind w:left="780"/>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3,965</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3,987</w:t>
            </w: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ind w:left="780"/>
              <w:spacing w:after="0"/>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7,248</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7,292</w:t>
            </w:r>
          </w:p>
        </w:tc>
        <w:tc>
          <w:tcPr>
            <w:tcW w:w="0" w:type="dxa"/>
            <w:vAlign w:val="bottom"/>
          </w:tcPr>
          <w:p>
            <w:pPr>
              <w:spacing w:after="0"/>
              <w:rPr>
                <w:sz w:val="1"/>
                <w:szCs w:val="1"/>
                <w:color w:val="auto"/>
              </w:rPr>
            </w:pPr>
          </w:p>
        </w:tc>
      </w:tr>
      <w:tr>
        <w:trPr>
          <w:trHeight w:val="218"/>
        </w:trPr>
        <w:tc>
          <w:tcPr>
            <w:tcW w:w="3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current-period other comprehensive income</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3,664</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3,686</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44</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2,225</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2,269</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 of period</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(39,649)</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(39,649)</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(43,732)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760" w:firstLine="3"/>
        <w:spacing w:after="0" w:line="319" w:lineRule="auto"/>
        <w:tabs>
          <w:tab w:leader="none" w:pos="157"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Changes in other comprehensive income (loss) before reclassification for derivatives designated as cash flow hedges are recorded net of tax benefits of $0.1 million and $1.8 million for the three and six months ended September 30, 2020,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STOCK-BASED COMPENSATION</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stock-based compensation expense recognized in the condensed consolidated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78"/>
        </w:trPr>
        <w:tc>
          <w:tcPr>
            <w:tcW w:w="5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72"/>
        </w:trPr>
        <w:tc>
          <w:tcPr>
            <w:tcW w:w="52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96"/>
              </w:rPr>
              <w:t>2020</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10,267</w:t>
            </w:r>
          </w:p>
        </w:tc>
      </w:tr>
      <w:tr>
        <w:trPr>
          <w:trHeight w:val="21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 expenses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9,272</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15,831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15,365</w:t>
            </w:r>
          </w:p>
        </w:tc>
      </w:tr>
      <w:tr>
        <w:trPr>
          <w:trHeight w:val="236"/>
        </w:trPr>
        <w:tc>
          <w:tcPr>
            <w:tcW w:w="5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15,984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14,799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28,428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25,632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4" w:lineRule="exact"/>
        <w:rPr>
          <w:sz w:val="20"/>
          <w:szCs w:val="20"/>
          <w:color w:val="auto"/>
        </w:rPr>
      </w:pPr>
    </w:p>
    <w:p>
      <w:pPr>
        <w:ind w:right="560" w:firstLine="385"/>
        <w:spacing w:after="0" w:line="277" w:lineRule="auto"/>
        <w:rPr>
          <w:sz w:val="20"/>
          <w:szCs w:val="20"/>
          <w:color w:val="auto"/>
        </w:rPr>
      </w:pPr>
      <w:r>
        <w:rPr>
          <w:rFonts w:ascii="Arial" w:cs="Arial" w:eastAsia="Arial" w:hAnsi="Arial"/>
          <w:sz w:val="17"/>
          <w:szCs w:val="17"/>
          <w:color w:val="auto"/>
        </w:rPr>
        <w:t>The following table summarizes the total stock-based compensation expense recognized in the condensed consolidated statements of operations by the following types of equity awards: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78"/>
        </w:trPr>
        <w:tc>
          <w:tcPr>
            <w:tcW w:w="5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r>
      <w:tr>
        <w:trPr>
          <w:trHeight w:val="172"/>
        </w:trPr>
        <w:tc>
          <w:tcPr>
            <w:tcW w:w="52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96"/>
              </w:rPr>
              <w:t>2020</w:t>
            </w:r>
          </w:p>
        </w:tc>
      </w:tr>
      <w:tr>
        <w:trPr>
          <w:trHeight w:val="213"/>
        </w:trPr>
        <w:tc>
          <w:tcPr>
            <w:tcW w:w="5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Equity Incentive Plan Options</w:t>
            </w:r>
          </w:p>
        </w:tc>
        <w:tc>
          <w:tcPr>
            <w:tcW w:w="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w:t>
            </w:r>
          </w:p>
        </w:tc>
      </w:tr>
      <w:tr>
        <w:trPr>
          <w:trHeight w:val="217"/>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Restricted Stock Awards</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15,332</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14,115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27,203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24,502</w:t>
            </w:r>
          </w:p>
        </w:tc>
      </w:tr>
      <w:tr>
        <w:trPr>
          <w:trHeight w:val="236"/>
        </w:trPr>
        <w:tc>
          <w:tcPr>
            <w:tcW w:w="5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15,984</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14,799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28,428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25,632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right="220" w:firstLine="385"/>
        <w:spacing w:after="0" w:line="260" w:lineRule="auto"/>
        <w:rPr>
          <w:sz w:val="20"/>
          <w:szCs w:val="20"/>
          <w:color w:val="auto"/>
        </w:rPr>
      </w:pPr>
      <w:r>
        <w:rPr>
          <w:rFonts w:ascii="Arial" w:cs="Arial" w:eastAsia="Arial" w:hAnsi="Arial"/>
          <w:sz w:val="17"/>
          <w:szCs w:val="17"/>
          <w:color w:val="auto"/>
        </w:rPr>
        <w:t>As of September 30, 2021, there was $77.2 million of total unrecognized compensation cost related to unvested stock-based compensation agreements. The unrecognized compensation cost as of September 30, 2021 is expected to be fully amortized over the next 4.9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September 30, 2021</w:t>
            </w:r>
          </w:p>
        </w:tc>
      </w:tr>
      <w:tr>
        <w:trPr>
          <w:trHeight w:val="127"/>
        </w:trPr>
        <w:tc>
          <w:tcPr>
            <w:tcW w:w="7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jc w:val="right"/>
              <w:ind w:right="363"/>
              <w:spacing w:after="0" w:line="127"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1"/>
                <w:szCs w:val="11"/>
                <w:color w:val="auto"/>
              </w:rPr>
            </w:pPr>
          </w:p>
        </w:tc>
        <w:tc>
          <w:tcPr>
            <w:tcW w:w="2160" w:type="dxa"/>
            <w:vAlign w:val="bottom"/>
          </w:tcPr>
          <w:p>
            <w:pPr>
              <w:jc w:val="center"/>
              <w:spacing w:after="0" w:line="127" w:lineRule="exact"/>
              <w:rPr>
                <w:sz w:val="20"/>
                <w:szCs w:val="20"/>
                <w:color w:val="auto"/>
              </w:rPr>
            </w:pPr>
            <w:r>
              <w:rPr>
                <w:rFonts w:ascii="Arial" w:cs="Arial" w:eastAsia="Arial" w:hAnsi="Arial"/>
                <w:sz w:val="14"/>
                <w:szCs w:val="14"/>
                <w:b w:val="1"/>
                <w:bCs w:val="1"/>
                <w:color w:val="auto"/>
                <w:w w:val="88"/>
              </w:rPr>
              <w:t>Weighted Average Remaining</w:t>
            </w:r>
          </w:p>
        </w:tc>
      </w:tr>
      <w:tr>
        <w:trPr>
          <w:trHeight w:val="178"/>
        </w:trPr>
        <w:tc>
          <w:tcPr>
            <w:tcW w:w="7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0"/>
              </w:rPr>
              <w:t>Compensation Cost</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 to be Recognized (in years)</w:t>
            </w:r>
          </w:p>
        </w:tc>
      </w:tr>
      <w:tr>
        <w:trPr>
          <w:trHeight w:val="21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Incentive Plan Options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3,761</w:t>
            </w:r>
          </w:p>
        </w:tc>
        <w:tc>
          <w:tcPr>
            <w:tcW w:w="22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3.53</w:t>
            </w:r>
          </w:p>
        </w:tc>
      </w:tr>
      <w:tr>
        <w:trPr>
          <w:trHeight w:val="217"/>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Stock Awards</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73,428</w:t>
            </w:r>
          </w:p>
        </w:tc>
        <w:tc>
          <w:tcPr>
            <w:tcW w:w="22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7"/>
                <w:szCs w:val="17"/>
                <w:color w:val="auto"/>
                <w:w w:val="90"/>
              </w:rPr>
              <w:t>1.81</w:t>
            </w:r>
          </w:p>
        </w:tc>
      </w:tr>
      <w:tr>
        <w:trPr>
          <w:trHeight w:val="236"/>
        </w:trPr>
        <w:tc>
          <w:tcPr>
            <w:tcW w:w="7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77,189</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33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September 30, 2021, there were 1,373,926 EIP options outstanding, of which 594,095 were unvested.</w:t>
      </w:r>
    </w:p>
    <w:p>
      <w:pPr>
        <w:spacing w:after="0" w:line="112" w:lineRule="exact"/>
        <w:rPr>
          <w:sz w:val="20"/>
          <w:szCs w:val="20"/>
          <w:color w:val="auto"/>
        </w:rPr>
      </w:pPr>
    </w:p>
    <w:p>
      <w:pPr>
        <w:ind w:right="160" w:firstLine="385"/>
        <w:spacing w:after="0" w:line="277" w:lineRule="auto"/>
        <w:rPr>
          <w:sz w:val="20"/>
          <w:szCs w:val="20"/>
          <w:color w:val="auto"/>
        </w:rPr>
      </w:pPr>
      <w:r>
        <w:rPr>
          <w:rFonts w:ascii="Arial" w:cs="Arial" w:eastAsia="Arial" w:hAnsi="Arial"/>
          <w:sz w:val="17"/>
          <w:szCs w:val="17"/>
          <w:color w:val="auto"/>
        </w:rPr>
        <w:t>During the three months ended September 30, 2021, the Board of Directors granted 259,393 restricted stock units to certain employees of the Company. The aggregate value of these awards was $22.8 million based on the grant date stock price, which ranged from $81.68 to $89.78.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FAIR VALUE MEASUREMENTS</w:t>
      </w:r>
    </w:p>
    <w:p>
      <w:pPr>
        <w:spacing w:after="0" w:line="116" w:lineRule="exact"/>
        <w:rPr>
          <w:sz w:val="20"/>
          <w:szCs w:val="20"/>
          <w:color w:val="auto"/>
        </w:rPr>
      </w:pPr>
    </w:p>
    <w:p>
      <w:pPr>
        <w:ind w:right="140" w:firstLine="385"/>
        <w:spacing w:after="0" w:line="315" w:lineRule="auto"/>
        <w:rPr>
          <w:sz w:val="20"/>
          <w:szCs w:val="20"/>
          <w:color w:val="auto"/>
        </w:rPr>
      </w:pPr>
      <w:r>
        <w:rPr>
          <w:rFonts w:ascii="Arial" w:cs="Arial" w:eastAsia="Arial" w:hAnsi="Arial"/>
          <w:sz w:val="15"/>
          <w:szCs w:val="15"/>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4" w:lineRule="exact"/>
        <w:rPr>
          <w:sz w:val="20"/>
          <w:szCs w:val="20"/>
          <w:color w:val="auto"/>
        </w:rPr>
      </w:pPr>
    </w:p>
    <w:p>
      <w:pPr>
        <w:ind w:right="600" w:firstLine="385"/>
        <w:spacing w:after="0" w:line="309" w:lineRule="auto"/>
        <w:rPr>
          <w:sz w:val="20"/>
          <w:szCs w:val="20"/>
          <w:color w:val="auto"/>
        </w:rPr>
      </w:pPr>
      <w:r>
        <w:rPr>
          <w:rFonts w:ascii="Arial" w:cs="Arial" w:eastAsia="Arial" w:hAnsi="Arial"/>
          <w:sz w:val="16"/>
          <w:szCs w:val="16"/>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00" w:type="dxa"/>
            <w:vAlign w:val="bottom"/>
            <w:gridSpan w:val="9"/>
          </w:tcPr>
          <w:p>
            <w:pPr>
              <w:ind w:left="20"/>
              <w:spacing w:after="0"/>
              <w:rPr>
                <w:sz w:val="20"/>
                <w:szCs w:val="20"/>
                <w:color w:val="auto"/>
              </w:rPr>
            </w:pPr>
            <w:r>
              <w:rPr>
                <w:rFonts w:ascii="Arial" w:cs="Arial" w:eastAsia="Arial" w:hAnsi="Arial"/>
                <w:sz w:val="17"/>
                <w:szCs w:val="17"/>
                <w:b w:val="1"/>
                <w:bCs w:val="1"/>
                <w:color w:val="auto"/>
                <w:w w:val="91"/>
              </w:rPr>
              <w:t>Recurring Fair Value Measurements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8"/>
        </w:trPr>
        <w:tc>
          <w:tcPr>
            <w:tcW w:w="6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ind w:left="100"/>
              <w:spacing w:after="0"/>
              <w:rPr>
                <w:sz w:val="20"/>
                <w:szCs w:val="20"/>
                <w:color w:val="auto"/>
              </w:rPr>
            </w:pPr>
            <w:r>
              <w:rPr>
                <w:rFonts w:ascii="Arial" w:cs="Arial" w:eastAsia="Arial" w:hAnsi="Arial"/>
                <w:sz w:val="17"/>
                <w:szCs w:val="17"/>
                <w:b w:val="1"/>
                <w:bCs w:val="1"/>
                <w:color w:val="auto"/>
              </w:rPr>
              <w:t>as of September 30, 2021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1"/>
        </w:trPr>
        <w:tc>
          <w:tcPr>
            <w:tcW w:w="6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Level 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Level 2</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120"/>
              <w:spacing w:after="0"/>
              <w:rPr>
                <w:sz w:val="20"/>
                <w:szCs w:val="20"/>
                <w:color w:val="auto"/>
              </w:rPr>
            </w:pPr>
            <w:r>
              <w:rPr>
                <w:rFonts w:ascii="Arial" w:cs="Arial" w:eastAsia="Arial" w:hAnsi="Arial"/>
                <w:sz w:val="17"/>
                <w:szCs w:val="17"/>
                <w:b w:val="1"/>
                <w:bCs w:val="1"/>
                <w:color w:val="auto"/>
              </w:rPr>
              <w:t>Level 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Total</w:t>
            </w:r>
          </w:p>
        </w:tc>
      </w:tr>
      <w:tr>
        <w:trPr>
          <w:trHeight w:val="197"/>
        </w:trPr>
        <w:tc>
          <w:tcPr>
            <w:tcW w:w="6240" w:type="dxa"/>
            <w:vAlign w:val="bottom"/>
          </w:tcPr>
          <w:p>
            <w:pPr>
              <w:ind w:left="20"/>
              <w:spacing w:after="0"/>
              <w:rPr>
                <w:sz w:val="20"/>
                <w:szCs w:val="20"/>
                <w:color w:val="auto"/>
              </w:rPr>
            </w:pPr>
            <w:r>
              <w:rPr>
                <w:rFonts w:ascii="Arial" w:cs="Arial" w:eastAsia="Arial" w:hAnsi="Arial"/>
                <w:sz w:val="17"/>
                <w:szCs w:val="17"/>
                <w:color w:val="auto"/>
              </w:rPr>
              <w:t>Assets: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9"/>
        </w:trPr>
        <w:tc>
          <w:tcPr>
            <w:tcW w:w="6240" w:type="dxa"/>
            <w:vAlign w:val="bottom"/>
            <w:shd w:val="clear" w:color="auto" w:fill="CCEEFF"/>
          </w:tcPr>
          <w:p>
            <w:pPr>
              <w:ind w:left="120"/>
              <w:spacing w:after="0" w:line="219" w:lineRule="exact"/>
              <w:rPr>
                <w:sz w:val="20"/>
                <w:szCs w:val="20"/>
                <w:color w:val="auto"/>
              </w:rPr>
            </w:pPr>
            <w:r>
              <w:rPr>
                <w:rFonts w:ascii="Arial" w:cs="Arial" w:eastAsia="Arial" w:hAnsi="Arial"/>
                <w:sz w:val="17"/>
                <w:szCs w:val="17"/>
                <w:color w:val="auto"/>
              </w:rPr>
              <w:t xml:space="preserve">Long-term deferred compensation plan asset </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19,263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19,263</w:t>
            </w: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19,263</w:t>
            </w:r>
          </w:p>
        </w:tc>
        <w:tc>
          <w:tcPr>
            <w:tcW w:w="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19,263</w:t>
            </w: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8"/>
        </w:trPr>
        <w:tc>
          <w:tcPr>
            <w:tcW w:w="6240" w:type="dxa"/>
            <w:vAlign w:val="bottom"/>
          </w:tcPr>
          <w:p>
            <w:pPr>
              <w:ind w:left="120"/>
              <w:spacing w:after="0" w:line="218" w:lineRule="exact"/>
              <w:rPr>
                <w:sz w:val="20"/>
                <w:szCs w:val="20"/>
                <w:color w:val="auto"/>
              </w:rPr>
            </w:pPr>
            <w:r>
              <w:rPr>
                <w:rFonts w:ascii="Arial" w:cs="Arial" w:eastAsia="Arial" w:hAnsi="Arial"/>
                <w:sz w:val="17"/>
                <w:szCs w:val="17"/>
                <w:color w:val="auto"/>
              </w:rPr>
              <w:t xml:space="preserve">Contingent consideration liability </w:t>
            </w:r>
            <w:r>
              <w:rPr>
                <w:rFonts w:ascii="Arial" w:cs="Arial" w:eastAsia="Arial" w:hAnsi="Arial"/>
                <w:sz w:val="22"/>
                <w:szCs w:val="22"/>
                <w:color w:val="auto"/>
                <w:vertAlign w:val="superscript"/>
              </w:rPr>
              <w:t>(2)</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1,223</w:t>
            </w:r>
          </w:p>
        </w:tc>
      </w:tr>
      <w:tr>
        <w:trPr>
          <w:trHeight w:val="218"/>
        </w:trPr>
        <w:tc>
          <w:tcPr>
            <w:tcW w:w="6240" w:type="dxa"/>
            <w:vAlign w:val="bottom"/>
            <w:shd w:val="clear" w:color="auto" w:fill="CCEEFF"/>
          </w:tcPr>
          <w:p>
            <w:pPr>
              <w:ind w:left="120"/>
              <w:spacing w:after="0" w:line="218" w:lineRule="exact"/>
              <w:rPr>
                <w:sz w:val="20"/>
                <w:szCs w:val="20"/>
                <w:color w:val="auto"/>
              </w:rPr>
            </w:pPr>
            <w:r>
              <w:rPr>
                <w:rFonts w:ascii="Arial" w:cs="Arial" w:eastAsia="Arial" w:hAnsi="Arial"/>
                <w:sz w:val="17"/>
                <w:szCs w:val="17"/>
                <w:color w:val="auto"/>
              </w:rPr>
              <w:t xml:space="preserve">Current derivative instruments </w:t>
            </w:r>
            <w:r>
              <w:rPr>
                <w:rFonts w:ascii="Arial" w:cs="Arial" w:eastAsia="Arial" w:hAnsi="Arial"/>
                <w:sz w:val="22"/>
                <w:szCs w:val="22"/>
                <w:color w:val="auto"/>
                <w:vertAlign w:val="superscript"/>
              </w:rPr>
              <w:t>(3)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15,183</w:t>
            </w:r>
          </w:p>
        </w:tc>
      </w:tr>
      <w:tr>
        <w:trPr>
          <w:trHeight w:val="218"/>
        </w:trPr>
        <w:tc>
          <w:tcPr>
            <w:tcW w:w="6240" w:type="dxa"/>
            <w:vAlign w:val="bottom"/>
          </w:tcPr>
          <w:p>
            <w:pPr>
              <w:ind w:left="120"/>
              <w:spacing w:after="0" w:line="218" w:lineRule="exact"/>
              <w:rPr>
                <w:sz w:val="20"/>
                <w:szCs w:val="20"/>
                <w:color w:val="auto"/>
              </w:rPr>
            </w:pPr>
            <w:r>
              <w:rPr>
                <w:rFonts w:ascii="Arial" w:cs="Arial" w:eastAsia="Arial" w:hAnsi="Arial"/>
                <w:sz w:val="17"/>
                <w:szCs w:val="17"/>
                <w:color w:val="auto"/>
              </w:rPr>
              <w:t xml:space="preserve">Long-term derivative instruments </w:t>
            </w:r>
            <w:r>
              <w:rPr>
                <w:rFonts w:ascii="Arial" w:cs="Arial" w:eastAsia="Arial" w:hAnsi="Arial"/>
                <w:sz w:val="22"/>
                <w:szCs w:val="22"/>
                <w:color w:val="auto"/>
                <w:vertAlign w:val="superscript"/>
              </w:rPr>
              <w:t>(3)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15,225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15,225</w:t>
            </w:r>
          </w:p>
        </w:tc>
      </w:tr>
      <w:tr>
        <w:trPr>
          <w:trHeight w:val="218"/>
        </w:trPr>
        <w:tc>
          <w:tcPr>
            <w:tcW w:w="6240" w:type="dxa"/>
            <w:vAlign w:val="bottom"/>
            <w:shd w:val="clear" w:color="auto" w:fill="CCEEFF"/>
          </w:tcPr>
          <w:p>
            <w:pPr>
              <w:ind w:left="120"/>
              <w:spacing w:after="0" w:line="218" w:lineRule="exact"/>
              <w:rPr>
                <w:sz w:val="20"/>
                <w:szCs w:val="20"/>
                <w:color w:val="auto"/>
              </w:rPr>
            </w:pPr>
            <w:r>
              <w:rPr>
                <w:rFonts w:ascii="Arial" w:cs="Arial" w:eastAsia="Arial" w:hAnsi="Arial"/>
                <w:sz w:val="17"/>
                <w:szCs w:val="17"/>
                <w:color w:val="auto"/>
              </w:rPr>
              <w:t xml:space="preserve">Long-term deferred compensation plan liability </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19,263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19,263</w:t>
            </w:r>
          </w:p>
        </w:tc>
      </w:tr>
      <w:tr>
        <w:trPr>
          <w:trHeight w:val="210"/>
        </w:trPr>
        <w:tc>
          <w:tcPr>
            <w:tcW w:w="624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19,263</w:t>
            </w:r>
          </w:p>
        </w:tc>
        <w:tc>
          <w:tcPr>
            <w:tcW w:w="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30,408</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1,223</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50,894</w:t>
            </w: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80" w:type="dxa"/>
            <w:vAlign w:val="bottom"/>
            <w:gridSpan w:val="8"/>
          </w:tcPr>
          <w:p>
            <w:pPr>
              <w:jc w:val="center"/>
              <w:spacing w:after="0"/>
              <w:rPr>
                <w:sz w:val="20"/>
                <w:szCs w:val="20"/>
                <w:color w:val="auto"/>
              </w:rPr>
            </w:pPr>
            <w:r>
              <w:rPr>
                <w:rFonts w:ascii="Arial" w:cs="Arial" w:eastAsia="Arial" w:hAnsi="Arial"/>
                <w:sz w:val="17"/>
                <w:szCs w:val="17"/>
                <w:b w:val="1"/>
                <w:bCs w:val="1"/>
                <w:color w:val="auto"/>
                <w:w w:val="91"/>
              </w:rPr>
              <w:t>Recurring Fair Value Measurements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8"/>
        </w:trPr>
        <w:tc>
          <w:tcPr>
            <w:tcW w:w="6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7"/>
                <w:szCs w:val="17"/>
                <w:b w:val="1"/>
                <w:bCs w:val="1"/>
                <w:color w:val="auto"/>
                <w:w w:val="90"/>
              </w:rPr>
              <w:t>as of March 31, 2021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1"/>
        </w:trPr>
        <w:tc>
          <w:tcPr>
            <w:tcW w:w="6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Level 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Level 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Level 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5"/>
              <w:spacing w:after="0"/>
              <w:rPr>
                <w:sz w:val="20"/>
                <w:szCs w:val="20"/>
                <w:color w:val="auto"/>
              </w:rPr>
            </w:pPr>
            <w:r>
              <w:rPr>
                <w:rFonts w:ascii="Arial" w:cs="Arial" w:eastAsia="Arial" w:hAnsi="Arial"/>
                <w:sz w:val="17"/>
                <w:szCs w:val="17"/>
                <w:b w:val="1"/>
                <w:bCs w:val="1"/>
                <w:color w:val="auto"/>
              </w:rPr>
              <w:t>Total</w:t>
            </w:r>
          </w:p>
        </w:tc>
      </w:tr>
      <w:tr>
        <w:trPr>
          <w:trHeight w:val="197"/>
        </w:trPr>
        <w:tc>
          <w:tcPr>
            <w:tcW w:w="6240" w:type="dxa"/>
            <w:vAlign w:val="bottom"/>
          </w:tcPr>
          <w:p>
            <w:pPr>
              <w:ind w:left="20"/>
              <w:spacing w:after="0"/>
              <w:rPr>
                <w:sz w:val="20"/>
                <w:szCs w:val="20"/>
                <w:color w:val="auto"/>
              </w:rPr>
            </w:pPr>
            <w:r>
              <w:rPr>
                <w:rFonts w:ascii="Arial" w:cs="Arial" w:eastAsia="Arial" w:hAnsi="Arial"/>
                <w:sz w:val="17"/>
                <w:szCs w:val="17"/>
                <w:color w:val="auto"/>
              </w:rPr>
              <w:t>Assets: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9"/>
        </w:trPr>
        <w:tc>
          <w:tcPr>
            <w:tcW w:w="6240" w:type="dxa"/>
            <w:vAlign w:val="bottom"/>
            <w:shd w:val="clear" w:color="auto" w:fill="CCEEFF"/>
          </w:tcPr>
          <w:p>
            <w:pPr>
              <w:ind w:left="140"/>
              <w:spacing w:after="0" w:line="219" w:lineRule="exact"/>
              <w:rPr>
                <w:sz w:val="20"/>
                <w:szCs w:val="20"/>
                <w:color w:val="auto"/>
              </w:rPr>
            </w:pPr>
            <w:r>
              <w:rPr>
                <w:rFonts w:ascii="Arial" w:cs="Arial" w:eastAsia="Arial" w:hAnsi="Arial"/>
                <w:sz w:val="17"/>
                <w:szCs w:val="17"/>
                <w:color w:val="auto"/>
              </w:rPr>
              <w:t xml:space="preserve">Long-term deferred compensation plan asset </w:t>
            </w:r>
            <w:r>
              <w:rPr>
                <w:rFonts w:ascii="Arial" w:cs="Arial" w:eastAsia="Arial" w:hAnsi="Arial"/>
                <w:sz w:val="22"/>
                <w:szCs w:val="22"/>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14,142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14,142</w:t>
            </w:r>
          </w:p>
        </w:tc>
      </w:tr>
      <w:tr>
        <w:trPr>
          <w:trHeight w:val="21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14,142</w:t>
            </w:r>
          </w:p>
        </w:tc>
        <w:tc>
          <w:tcPr>
            <w:tcW w:w="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14,142</w:t>
            </w:r>
          </w:p>
        </w:tc>
      </w:tr>
      <w:tr>
        <w:trPr>
          <w:trHeight w:val="199"/>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8"/>
        </w:trPr>
        <w:tc>
          <w:tcPr>
            <w:tcW w:w="6240" w:type="dxa"/>
            <w:vAlign w:val="bottom"/>
          </w:tcPr>
          <w:p>
            <w:pPr>
              <w:ind w:left="140"/>
              <w:spacing w:after="0" w:line="218" w:lineRule="exact"/>
              <w:rPr>
                <w:sz w:val="20"/>
                <w:szCs w:val="20"/>
                <w:color w:val="auto"/>
              </w:rPr>
            </w:pPr>
            <w:r>
              <w:rPr>
                <w:rFonts w:ascii="Arial" w:cs="Arial" w:eastAsia="Arial" w:hAnsi="Arial"/>
                <w:sz w:val="17"/>
                <w:szCs w:val="17"/>
                <w:color w:val="auto"/>
              </w:rPr>
              <w:t xml:space="preserve">Contingent consideration liability </w:t>
            </w:r>
            <w:r>
              <w:rPr>
                <w:rFonts w:ascii="Arial" w:cs="Arial" w:eastAsia="Arial" w:hAnsi="Arial"/>
                <w:sz w:val="22"/>
                <w:szCs w:val="22"/>
                <w:color w:val="auto"/>
                <w:vertAlign w:val="superscript"/>
              </w:rPr>
              <w:t>(2)</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1,223</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1,223</w:t>
            </w:r>
          </w:p>
        </w:tc>
      </w:tr>
      <w:tr>
        <w:trPr>
          <w:trHeight w:val="218"/>
        </w:trPr>
        <w:tc>
          <w:tcPr>
            <w:tcW w:w="6240" w:type="dxa"/>
            <w:vAlign w:val="bottom"/>
            <w:shd w:val="clear" w:color="auto" w:fill="CCEEFF"/>
          </w:tcPr>
          <w:p>
            <w:pPr>
              <w:ind w:left="140"/>
              <w:spacing w:after="0" w:line="218" w:lineRule="exact"/>
              <w:rPr>
                <w:sz w:val="20"/>
                <w:szCs w:val="20"/>
                <w:color w:val="auto"/>
              </w:rPr>
            </w:pPr>
            <w:r>
              <w:rPr>
                <w:rFonts w:ascii="Arial" w:cs="Arial" w:eastAsia="Arial" w:hAnsi="Arial"/>
                <w:sz w:val="17"/>
                <w:szCs w:val="17"/>
                <w:color w:val="auto"/>
              </w:rPr>
              <w:t xml:space="preserve">Current derivative instruments </w:t>
            </w:r>
            <w:r>
              <w:rPr>
                <w:rFonts w:ascii="Arial" w:cs="Arial" w:eastAsia="Arial" w:hAnsi="Arial"/>
                <w:sz w:val="22"/>
                <w:szCs w:val="22"/>
                <w:color w:val="auto"/>
                <w:vertAlign w:val="superscript"/>
              </w:rPr>
              <w:t>(3)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17,163</w:t>
            </w:r>
          </w:p>
        </w:tc>
      </w:tr>
      <w:tr>
        <w:trPr>
          <w:trHeight w:val="218"/>
        </w:trPr>
        <w:tc>
          <w:tcPr>
            <w:tcW w:w="6240" w:type="dxa"/>
            <w:vAlign w:val="bottom"/>
          </w:tcPr>
          <w:p>
            <w:pPr>
              <w:ind w:left="140"/>
              <w:spacing w:after="0" w:line="218" w:lineRule="exact"/>
              <w:rPr>
                <w:sz w:val="20"/>
                <w:szCs w:val="20"/>
                <w:color w:val="auto"/>
              </w:rPr>
            </w:pPr>
            <w:r>
              <w:rPr>
                <w:rFonts w:ascii="Arial" w:cs="Arial" w:eastAsia="Arial" w:hAnsi="Arial"/>
                <w:sz w:val="17"/>
                <w:szCs w:val="17"/>
                <w:color w:val="auto"/>
              </w:rPr>
              <w:t xml:space="preserve">Long-term derivative instruments </w:t>
            </w:r>
            <w:r>
              <w:rPr>
                <w:rFonts w:ascii="Arial" w:cs="Arial" w:eastAsia="Arial" w:hAnsi="Arial"/>
                <w:sz w:val="22"/>
                <w:szCs w:val="22"/>
                <w:color w:val="auto"/>
                <w:vertAlign w:val="superscript"/>
              </w:rPr>
              <w:t>(3)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20,999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20,999</w:t>
            </w:r>
          </w:p>
        </w:tc>
      </w:tr>
      <w:tr>
        <w:trPr>
          <w:trHeight w:val="218"/>
        </w:trPr>
        <w:tc>
          <w:tcPr>
            <w:tcW w:w="6240" w:type="dxa"/>
            <w:vAlign w:val="bottom"/>
            <w:shd w:val="clear" w:color="auto" w:fill="CCEEFF"/>
          </w:tcPr>
          <w:p>
            <w:pPr>
              <w:ind w:left="140"/>
              <w:spacing w:after="0" w:line="218" w:lineRule="exact"/>
              <w:rPr>
                <w:sz w:val="20"/>
                <w:szCs w:val="20"/>
                <w:color w:val="auto"/>
              </w:rPr>
            </w:pPr>
            <w:r>
              <w:rPr>
                <w:rFonts w:ascii="Arial" w:cs="Arial" w:eastAsia="Arial" w:hAnsi="Arial"/>
                <w:sz w:val="17"/>
                <w:szCs w:val="17"/>
                <w:color w:val="auto"/>
              </w:rPr>
              <w:t xml:space="preserve">Long-term deferred compensation plan liability </w:t>
            </w:r>
            <w:r>
              <w:rPr>
                <w:rFonts w:ascii="Arial" w:cs="Arial" w:eastAsia="Arial" w:hAnsi="Arial"/>
                <w:sz w:val="22"/>
                <w:szCs w:val="22"/>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14,142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14,142</w:t>
            </w:r>
          </w:p>
        </w:tc>
      </w:tr>
      <w:tr>
        <w:trPr>
          <w:trHeight w:val="210"/>
        </w:trPr>
        <w:tc>
          <w:tcPr>
            <w:tcW w:w="624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14,142</w:t>
            </w:r>
          </w:p>
        </w:tc>
        <w:tc>
          <w:tcPr>
            <w:tcW w:w="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38,162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53,527</w:t>
            </w:r>
          </w:p>
        </w:tc>
      </w:tr>
    </w:tbl>
    <w:p>
      <w:pPr>
        <w:spacing w:after="0" w:line="90" w:lineRule="exact"/>
        <w:rPr>
          <w:sz w:val="20"/>
          <w:szCs w:val="20"/>
          <w:color w:val="auto"/>
        </w:rPr>
      </w:pPr>
    </w:p>
    <w:p>
      <w:pPr>
        <w:ind w:right="40" w:firstLine="3"/>
        <w:spacing w:after="0" w:line="416" w:lineRule="auto"/>
        <w:tabs>
          <w:tab w:leader="none" w:pos="157"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condensed consolidated balance sheets.</w:t>
      </w:r>
    </w:p>
    <w:p>
      <w:pPr>
        <w:spacing w:after="0" w:line="3"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The Company recognized a contingent consideration liability of $3.6 million in connection with its acquisition of Aquilent in fiscal 2017. As of both</w:t>
      </w:r>
    </w:p>
    <w:p>
      <w:pPr>
        <w:spacing w:after="0" w:line="3" w:lineRule="exact"/>
        <w:rPr>
          <w:sz w:val="20"/>
          <w:szCs w:val="20"/>
          <w:color w:val="auto"/>
        </w:rPr>
      </w:pPr>
    </w:p>
    <w:p>
      <w:pPr>
        <w:ind w:right="440"/>
        <w:spacing w:after="0" w:line="260" w:lineRule="auto"/>
        <w:rPr>
          <w:sz w:val="20"/>
          <w:szCs w:val="20"/>
          <w:color w:val="auto"/>
        </w:rPr>
      </w:pPr>
      <w:r>
        <w:rPr>
          <w:rFonts w:ascii="Arial" w:cs="Arial" w:eastAsia="Arial" w:hAnsi="Arial"/>
          <w:sz w:val="17"/>
          <w:szCs w:val="17"/>
          <w:color w:val="auto"/>
        </w:rPr>
        <w:t>September 30, 2021 and March 31, 2021, the estimated fair value of the contingent consideration liability was $1.2 million, and was valued using probability-weighted cash flows, which is based on the use of Level 3 fair value measurement inputs.</w:t>
      </w:r>
    </w:p>
    <w:p>
      <w:pPr>
        <w:spacing w:after="0" w:line="75" w:lineRule="exact"/>
        <w:rPr>
          <w:sz w:val="20"/>
          <w:szCs w:val="20"/>
          <w:color w:val="auto"/>
        </w:rPr>
      </w:pPr>
    </w:p>
    <w:p>
      <w:pPr>
        <w:ind w:right="60" w:firstLine="3"/>
        <w:spacing w:after="0" w:line="256" w:lineRule="auto"/>
        <w:tabs>
          <w:tab w:leader="none" w:pos="172"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to the condensed consolidated financial statements for further discussion on the Company’s derivative instruments designated as cash flow hedges.</w:t>
      </w:r>
    </w:p>
    <w:p>
      <w:pPr>
        <w:spacing w:after="0" w:line="80" w:lineRule="exact"/>
        <w:rPr>
          <w:sz w:val="20"/>
          <w:szCs w:val="20"/>
          <w:color w:val="auto"/>
        </w:rPr>
      </w:pPr>
    </w:p>
    <w:p>
      <w:pPr>
        <w:ind w:right="220" w:firstLine="385"/>
        <w:spacing w:after="0" w:line="277" w:lineRule="auto"/>
        <w:rPr>
          <w:sz w:val="20"/>
          <w:szCs w:val="20"/>
          <w:color w:val="auto"/>
        </w:rPr>
      </w:pPr>
      <w:r>
        <w:rPr>
          <w:rFonts w:ascii="Arial" w:cs="Arial" w:eastAsia="Arial" w:hAnsi="Arial"/>
          <w:sz w:val="17"/>
          <w:szCs w:val="17"/>
          <w:color w:val="auto"/>
        </w:rPr>
        <w:t>We did not have any material items that were measured at fair value on a non-recurring basis as of September 30, 2021, with the exception of the assets and liabilities acquired through the acquisitions of Liberty and Tracepoint (see Note 5).</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fair value of the Company's cash and cash equivalents, which are Level 1 inputs, approximated its carrying values at September 30, 2021 and March 31,</w:t>
      </w:r>
    </w:p>
    <w:p>
      <w:pPr>
        <w:spacing w:after="0" w:line="44" w:lineRule="exact"/>
        <w:rPr>
          <w:sz w:val="20"/>
          <w:szCs w:val="20"/>
          <w:color w:val="auto"/>
        </w:rPr>
      </w:pPr>
    </w:p>
    <w:p>
      <w:pPr>
        <w:jc w:val="both"/>
        <w:ind w:right="500"/>
        <w:spacing w:after="0" w:line="308" w:lineRule="auto"/>
        <w:rPr>
          <w:sz w:val="20"/>
          <w:szCs w:val="20"/>
          <w:color w:val="auto"/>
        </w:rPr>
      </w:pPr>
      <w:r>
        <w:rPr>
          <w:rFonts w:ascii="Arial" w:cs="Arial" w:eastAsia="Arial" w:hAnsi="Arial"/>
          <w:sz w:val="15"/>
          <w:szCs w:val="15"/>
          <w:color w:val="auto"/>
        </w:rPr>
        <w:t>2021. The fair value of the Company's debt instruments approximated its carrying value at September 30, 2021 and March 31, 2021.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8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4" w:lineRule="exact"/>
        <w:rPr>
          <w:sz w:val="20"/>
          <w:szCs w:val="20"/>
          <w:color w:val="auto"/>
        </w:rPr>
      </w:pPr>
    </w:p>
    <w:p>
      <w:pPr>
        <w:jc w:val="both"/>
        <w:ind w:right="200"/>
        <w:spacing w:after="0" w:line="264" w:lineRule="auto"/>
        <w:rPr>
          <w:sz w:val="20"/>
          <w:szCs w:val="20"/>
          <w:color w:val="auto"/>
        </w:rPr>
      </w:pPr>
      <w:r>
        <w:rPr>
          <w:rFonts w:ascii="Arial" w:cs="Arial" w:eastAsia="Arial" w:hAnsi="Arial"/>
          <w:sz w:val="17"/>
          <w:szCs w:val="17"/>
          <w:color w:val="auto"/>
        </w:rPr>
        <w:t>credit profile, industry, and terms to that of the Company. The fair value of the Senior Notes due 2029 and Booz Allen Hamilton's 3.875% Senior Notes due 2028 (the "Senior Notes due 2028") is determined using quoted prices or other market information obtained from recent trading activity in the high-yield bond market (Level 2 inputs).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RELATED-PARTY TRANSACTIONS</w:t>
      </w:r>
    </w:p>
    <w:p>
      <w:pPr>
        <w:spacing w:after="0" w:line="219" w:lineRule="exact"/>
        <w:rPr>
          <w:sz w:val="20"/>
          <w:szCs w:val="20"/>
          <w:color w:val="auto"/>
        </w:rPr>
      </w:pPr>
    </w:p>
    <w:p>
      <w:pPr>
        <w:ind w:right="140" w:firstLine="385"/>
        <w:spacing w:after="0" w:line="260" w:lineRule="auto"/>
        <w:rPr>
          <w:sz w:val="20"/>
          <w:szCs w:val="20"/>
          <w:color w:val="auto"/>
        </w:rPr>
      </w:pPr>
      <w:r>
        <w:rPr>
          <w:rFonts w:ascii="Arial" w:cs="Arial" w:eastAsia="Arial" w:hAnsi="Arial"/>
          <w:sz w:val="17"/>
          <w:szCs w:val="17"/>
          <w:color w:val="auto"/>
        </w:rPr>
        <w:t>Two of our directors served on the board of directors of a subcontractor to which the Company subcontracted $17.3 million and $21.7 million of services for the three months ended September 30, 2021 and 2020, respectively, and $35.1 million and $45.0 million of services for the six months ended September 30, 2021 and 2020, respectively. The subcontractor was acquired by another company in August 2021, at which point the two directors ceased to serve on the board of directors.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COMMITMENTS AND CONTINGENCIES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Letters of Credit and Third-Party Guarantees</w:t>
      </w:r>
    </w:p>
    <w:p>
      <w:pPr>
        <w:spacing w:after="0" w:line="112" w:lineRule="exact"/>
        <w:rPr>
          <w:sz w:val="20"/>
          <w:szCs w:val="20"/>
          <w:color w:val="auto"/>
        </w:rPr>
      </w:pPr>
    </w:p>
    <w:p>
      <w:pPr>
        <w:ind w:right="140" w:firstLine="385"/>
        <w:spacing w:after="0" w:line="256" w:lineRule="auto"/>
        <w:rPr>
          <w:sz w:val="20"/>
          <w:szCs w:val="20"/>
          <w:color w:val="auto"/>
        </w:rPr>
      </w:pPr>
      <w:r>
        <w:rPr>
          <w:rFonts w:ascii="Arial" w:cs="Arial" w:eastAsia="Arial" w:hAnsi="Arial"/>
          <w:sz w:val="17"/>
          <w:szCs w:val="17"/>
          <w:color w:val="auto"/>
        </w:rPr>
        <w:t>As of September 30, 2021 and March 31, 2021, the Company was contingently liable under open standby letters of credit and bank guarantees issued by our banks in favor of third parties that totaled $8.2 million and $9.8 million, respectively. These letters of credit and bank guarantees primarily support insurance and bid and performance obligations. At both September 30, 2021 and March 31, 2021, approximately $0.9 million of these instruments reduced the available borrowings under the Revolving Credit Facility. The remainder is guaranteed under a separate $20.0 million facility, originally established in fiscal 2015 and most recently increased to $20.0 million in fiscal 2021, of which $12.7 million and $11.1 million were available to the Company at September 30, 2021 and March 31, 2021, respectively.</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Government Contracting Matters - Provision for Claimed Indirect Costs</w:t>
      </w:r>
    </w:p>
    <w:p>
      <w:pPr>
        <w:spacing w:after="0" w:line="112" w:lineRule="exact"/>
        <w:rPr>
          <w:sz w:val="20"/>
          <w:szCs w:val="20"/>
          <w:color w:val="auto"/>
        </w:rPr>
      </w:pPr>
    </w:p>
    <w:p>
      <w:pPr>
        <w:ind w:right="20" w:firstLine="385"/>
        <w:spacing w:after="0" w:line="290" w:lineRule="auto"/>
        <w:rPr>
          <w:sz w:val="20"/>
          <w:szCs w:val="20"/>
          <w:color w:val="auto"/>
        </w:rPr>
      </w:pPr>
      <w:r>
        <w:rPr>
          <w:rFonts w:ascii="Arial" w:cs="Arial" w:eastAsia="Arial" w:hAnsi="Arial"/>
          <w:sz w:val="15"/>
          <w:szCs w:val="15"/>
          <w:color w:val="auto"/>
        </w:rPr>
        <w:t>For the three months ended September 30, 2021 and 2020, approximately 98% and 97%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For the six months ended September 30, 2021 and 2020, approximately 98% and 97% and of the Company's revenue, respectively, was generated from such contracts. U.S. government contracts and subcontracts are subject to extensive legal and regulatory requirements. As noted in the Company's Annual Report on Form 10-K for the fiscal year ended March 31, 2021, in the ordinary course of business, agencies of the U.S. government, including the Defense Contract Audit Agency (DCAA), audit the Company’s claimed indirect costs and conduct inquiries and investigations of our business practices with respect to government contracts to determine whether the Company's operations are conducted in accordance with these requirements and the terms of the relevant contracts. Management believes it has recorded the appropriate provision for claimed indirect costs for any audit, inquiry, or investigation of which it is aware that may be subject to any reductions and/or penalties. As of September 30, 2021 and March 31, 2021, the Company had recorded liabilities of approximately $276.9 million and $263.2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Litigation</w:t>
      </w:r>
    </w:p>
    <w:p>
      <w:pPr>
        <w:spacing w:after="0" w:line="112" w:lineRule="exact"/>
        <w:rPr>
          <w:sz w:val="20"/>
          <w:szCs w:val="20"/>
          <w:color w:val="auto"/>
        </w:rPr>
      </w:pPr>
    </w:p>
    <w:p>
      <w:pPr>
        <w:ind w:firstLine="385"/>
        <w:spacing w:after="0" w:line="271"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2021 and March 31, 2021, there were no material amounts accrued in the condensed consolidated financial statements related to these proceedings. As previously disclosed in Note 21 to the consolidated financial statements of the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0" w:lineRule="exact"/>
        <w:rPr>
          <w:sz w:val="20"/>
          <w:szCs w:val="20"/>
          <w:color w:val="auto"/>
        </w:rPr>
      </w:pPr>
    </w:p>
    <w:p>
      <w:pPr>
        <w:jc w:val="both"/>
        <w:ind w:left="2280" w:right="2260" w:firstLine="10"/>
        <w:spacing w:after="0" w:line="330" w:lineRule="auto"/>
        <w:rPr>
          <w:sz w:val="20"/>
          <w:szCs w:val="20"/>
          <w:color w:val="auto"/>
        </w:rPr>
      </w:pPr>
      <w:r>
        <w:rPr>
          <w:rFonts w:ascii="Arial" w:cs="Arial" w:eastAsia="Arial" w:hAnsi="Arial"/>
          <w:sz w:val="15"/>
          <w:szCs w:val="15"/>
          <w:b w:val="1"/>
          <w:bCs w:val="1"/>
          <w:color w:val="auto"/>
        </w:rPr>
        <w:t>NOTES TO UNAUDITED CONDENSED CONSOLIDATED FINANCIAL STATEMENTS (Amounts in tables in thousands, except share and per share data or unless otherwise noted)</w:t>
      </w:r>
    </w:p>
    <w:p>
      <w:pPr>
        <w:spacing w:after="0" w:line="28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Company's Annual Report on Form 10-K for the fiscal year ended March 31, 2021, the Company is not able to reasonably estimate the expected amount or range of cost or any loss associated with these matters.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03" w:lineRule="exact"/>
        <w:rPr>
          <w:sz w:val="20"/>
          <w:szCs w:val="20"/>
          <w:color w:val="auto"/>
        </w:rPr>
      </w:pPr>
    </w:p>
    <w:p>
      <w:pPr>
        <w:jc w:val="both"/>
        <w:ind w:right="240"/>
        <w:spacing w:after="0" w:line="264" w:lineRule="auto"/>
        <w:rPr>
          <w:sz w:val="20"/>
          <w:szCs w:val="20"/>
          <w:color w:val="auto"/>
        </w:rPr>
      </w:pPr>
      <w:r>
        <w:rPr>
          <w:rFonts w:ascii="Arial" w:cs="Arial" w:eastAsia="Arial" w:hAnsi="Arial"/>
          <w:sz w:val="17"/>
          <w:szCs w:val="17"/>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4" w:lineRule="exact"/>
        <w:rPr>
          <w:sz w:val="20"/>
          <w:szCs w:val="20"/>
          <w:color w:val="auto"/>
        </w:rPr>
      </w:pPr>
    </w:p>
    <w:p>
      <w:pPr>
        <w:ind w:right="180"/>
        <w:spacing w:after="0" w:line="300" w:lineRule="auto"/>
        <w:rPr>
          <w:sz w:val="20"/>
          <w:szCs w:val="20"/>
          <w:color w:val="auto"/>
        </w:rPr>
      </w:pPr>
      <w:r>
        <w:rPr>
          <w:rFonts w:ascii="Arial" w:cs="Arial" w:eastAsia="Arial" w:hAnsi="Arial"/>
          <w:sz w:val="15"/>
          <w:szCs w:val="15"/>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2021 filed with the Securities and Exchange Commission on May 21, 2021,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01" w:lineRule="exact"/>
        <w:rPr>
          <w:sz w:val="20"/>
          <w:szCs w:val="20"/>
          <w:color w:val="auto"/>
        </w:rPr>
      </w:pPr>
    </w:p>
    <w:p>
      <w:pPr>
        <w:ind w:right="500"/>
        <w:spacing w:after="0" w:line="377" w:lineRule="auto"/>
        <w:rPr>
          <w:sz w:val="20"/>
          <w:szCs w:val="20"/>
          <w:color w:val="auto"/>
        </w:rPr>
      </w:pPr>
      <w:r>
        <w:rPr>
          <w:rFonts w:ascii="Arial" w:cs="Arial" w:eastAsia="Arial" w:hAnsi="Arial"/>
          <w:sz w:val="17"/>
          <w:szCs w:val="17"/>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7"/>
          <w:szCs w:val="17"/>
          <w:b w:val="1"/>
          <w:bCs w:val="1"/>
          <w:color w:val="auto"/>
        </w:rPr>
        <w:t>Overview</w:t>
      </w:r>
    </w:p>
    <w:p>
      <w:pPr>
        <w:spacing w:after="0" w:line="1" w:lineRule="exact"/>
        <w:rPr>
          <w:sz w:val="20"/>
          <w:szCs w:val="20"/>
          <w:color w:val="auto"/>
        </w:rPr>
      </w:pPr>
    </w:p>
    <w:p>
      <w:pPr>
        <w:ind w:right="60" w:firstLine="385"/>
        <w:spacing w:after="0" w:line="278" w:lineRule="auto"/>
        <w:rPr>
          <w:sz w:val="20"/>
          <w:szCs w:val="20"/>
          <w:color w:val="auto"/>
        </w:rPr>
      </w:pPr>
      <w:r>
        <w:rPr>
          <w:rFonts w:ascii="Arial" w:cs="Arial" w:eastAsia="Arial" w:hAnsi="Arial"/>
          <w:sz w:val="16"/>
          <w:szCs w:val="16"/>
          <w:color w:val="auto"/>
        </w:rPr>
        <w:t>We are a leading provider of management and technology consulting, analytics, engineering, digital solutions, mission operations, and cyber services to U.S. and international governments, major corporations, and not-for-profit organizations. Our ability to deliver value to our clients has always been, and continues to be, a product of the strong character, expertise and tremendous passion of our people. Our approximately 29,200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63" w:lineRule="exact"/>
        <w:rPr>
          <w:sz w:val="20"/>
          <w:szCs w:val="20"/>
          <w:color w:val="auto"/>
        </w:rPr>
      </w:pPr>
    </w:p>
    <w:p>
      <w:pPr>
        <w:ind w:right="140" w:firstLine="385"/>
        <w:spacing w:after="0" w:line="293" w:lineRule="auto"/>
        <w:rPr>
          <w:sz w:val="20"/>
          <w:szCs w:val="20"/>
          <w:color w:val="auto"/>
        </w:rPr>
      </w:pPr>
      <w:r>
        <w:rPr>
          <w:rFonts w:ascii="Arial" w:cs="Arial" w:eastAsia="Arial" w:hAnsi="Arial"/>
          <w:sz w:val="15"/>
          <w:szCs w:val="15"/>
          <w:color w:val="auto"/>
        </w:rPr>
        <w:t>Through our dedication to our clients' missions, and a commitment to evolving our business to address their client needs, we have longstanding relationships with our clients, some more than 80 years. We support critical missions for a diverse base of federal government clients, including nearly all of the</w:t>
      </w:r>
    </w:p>
    <w:p>
      <w:pPr>
        <w:ind w:right="20"/>
        <w:spacing w:after="0" w:line="254" w:lineRule="auto"/>
        <w:rPr>
          <w:sz w:val="20"/>
          <w:szCs w:val="20"/>
          <w:color w:val="auto"/>
        </w:rPr>
      </w:pPr>
      <w:r>
        <w:rPr>
          <w:rFonts w:ascii="Arial" w:cs="Arial" w:eastAsia="Arial" w:hAnsi="Arial"/>
          <w:sz w:val="17"/>
          <w:szCs w:val="17"/>
          <w:color w:val="auto"/>
        </w:rPr>
        <w:t>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 We have a presence in the Middle East and other international markets.</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and Other Highlights</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second quarter of fiscal 2022, the Company generated year over year revenue growth and increased client staff headcount.</w:t>
      </w:r>
    </w:p>
    <w:p>
      <w:pPr>
        <w:spacing w:after="0" w:line="48" w:lineRule="exact"/>
        <w:rPr>
          <w:sz w:val="20"/>
          <w:szCs w:val="20"/>
          <w:color w:val="auto"/>
        </w:rPr>
      </w:pPr>
    </w:p>
    <w:p>
      <w:pPr>
        <w:jc w:val="both"/>
        <w:ind w:right="280" w:firstLine="385"/>
        <w:spacing w:after="0" w:line="231" w:lineRule="auto"/>
        <w:rPr>
          <w:sz w:val="20"/>
          <w:szCs w:val="20"/>
          <w:color w:val="auto"/>
        </w:rPr>
      </w:pPr>
      <w:r>
        <w:rPr>
          <w:rFonts w:ascii="Arial" w:cs="Arial" w:eastAsia="Arial" w:hAnsi="Arial"/>
          <w:sz w:val="17"/>
          <w:szCs w:val="17"/>
          <w:color w:val="auto"/>
        </w:rPr>
        <w:t>Revenue increased 4.3% from the three months ended September 30, 2020 to the three months ended September 30, 2021 and increased 3.0% from the six months ended September 30, 2020 to the six months ended September 30, 2021. Growth was primarily driven by solid operational performance and the revenue impact of acquisitions during the three and six months ended September 30, 2021, partially offset by higher than normal staff utilization in the comparable prior year period.</w:t>
      </w:r>
    </w:p>
    <w:p>
      <w:pPr>
        <w:spacing w:after="0" w:line="29" w:lineRule="exact"/>
        <w:rPr>
          <w:sz w:val="20"/>
          <w:szCs w:val="20"/>
          <w:color w:val="auto"/>
        </w:rPr>
      </w:pPr>
    </w:p>
    <w:p>
      <w:pPr>
        <w:ind w:firstLine="385"/>
        <w:spacing w:after="0" w:line="239" w:lineRule="auto"/>
        <w:rPr>
          <w:sz w:val="20"/>
          <w:szCs w:val="20"/>
          <w:color w:val="auto"/>
        </w:rPr>
      </w:pPr>
      <w:r>
        <w:rPr>
          <w:rFonts w:ascii="Arial" w:cs="Arial" w:eastAsia="Arial" w:hAnsi="Arial"/>
          <w:sz w:val="17"/>
          <w:szCs w:val="17"/>
          <w:color w:val="auto"/>
        </w:rPr>
        <w:t>Operating income increased 5.4% to $218.4 million in the three months ended September 30, 2021 from $207.2 million in the three months ended September 30, 2020, which reflects an increase in operating margin from 10.3% to 10.4%. Operating income decreased 9.9% to $359.6 million in the six months ended September 30, 2021 from $399.1 million in the six months ended September 30, 2020, which reflects a decrease in operating margin from 10.0% to 8.8%. The increases in operating income and operating margin for the three months ended September 30, 2021 were primarily driven by strong contract performance, including the impact of acquisitions during the quarter, and cost management of unallowable spending. In addition, in the prior year, the inability to recognize revenue on, or bill for, fee on certain contracts involving a ready workforce of approximately $7.0 million was not present in the current year. Decreases in operating income and operating margin for the six months ended September 30, 2021 were impacted by acquisition costs of $80.5 million related to our acquisitions as more fully described in Note 5.</w:t>
      </w:r>
    </w:p>
    <w:p>
      <w:pPr>
        <w:spacing w:after="0" w:line="32" w:lineRule="exact"/>
        <w:rPr>
          <w:sz w:val="20"/>
          <w:szCs w:val="20"/>
          <w:color w:val="auto"/>
        </w:rPr>
      </w:pPr>
    </w:p>
    <w:p>
      <w:pPr>
        <w:ind w:firstLine="385"/>
        <w:spacing w:after="0" w:line="264" w:lineRule="auto"/>
        <w:rPr>
          <w:sz w:val="20"/>
          <w:szCs w:val="20"/>
          <w:color w:val="auto"/>
        </w:rPr>
      </w:pPr>
      <w:r>
        <w:rPr>
          <w:rFonts w:ascii="Arial" w:cs="Arial" w:eastAsia="Arial" w:hAnsi="Arial"/>
          <w:sz w:val="16"/>
          <w:szCs w:val="16"/>
          <w:color w:val="auto"/>
        </w:rPr>
        <w:t>The Company also incurred incremental legal costs during the three and six months ended September 30, 2021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p>
      <w:pPr>
        <w:ind w:right="100" w:firstLine="385"/>
        <w:spacing w:after="0" w:line="229" w:lineRule="auto"/>
        <w:rPr>
          <w:sz w:val="20"/>
          <w:szCs w:val="20"/>
          <w:color w:val="auto"/>
        </w:rPr>
      </w:pPr>
      <w:r>
        <w:rPr>
          <w:rFonts w:ascii="Arial" w:cs="Arial" w:eastAsia="Arial" w:hAnsi="Arial"/>
          <w:sz w:val="17"/>
          <w:szCs w:val="17"/>
          <w:color w:val="auto"/>
        </w:rPr>
        <w:t>We are monitoring the evolving situation related to COVID-19 and vaccine rollout, and we continue to work with our stakeholders to assess further possible implications to our business. We could be impacted by the implementation of our Company policy requiring full COVID-19 vaccinations of all employees, except for employees who qualify for medical or religious exemptions. Although we cannot currently predict the overall impact of COVID-19 and vaccine rollout, the longer the duration of the event, the more likely it is that it could have an adverse effect on our business, financial position, results of operations, billable expenses, and/or cash flows.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16" w:lineRule="exact"/>
        <w:rPr>
          <w:sz w:val="20"/>
          <w:szCs w:val="20"/>
          <w:color w:val="auto"/>
        </w:rPr>
      </w:pPr>
    </w:p>
    <w:p>
      <w:pPr>
        <w:ind w:firstLine="385"/>
        <w:spacing w:after="0" w:line="286" w:lineRule="auto"/>
        <w:rPr>
          <w:sz w:val="20"/>
          <w:szCs w:val="20"/>
          <w:color w:val="auto"/>
        </w:rPr>
      </w:pPr>
      <w:r>
        <w:rPr>
          <w:rFonts w:ascii="Arial" w:cs="Arial" w:eastAsia="Arial" w:hAnsi="Arial"/>
          <w:sz w:val="15"/>
          <w:szCs w:val="15"/>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EPS,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w:t>
      </w:r>
    </w:p>
    <w:p>
      <w:pPr>
        <w:spacing w:after="0" w:line="2" w:lineRule="exact"/>
        <w:rPr>
          <w:sz w:val="20"/>
          <w:szCs w:val="20"/>
          <w:color w:val="auto"/>
        </w:rPr>
      </w:pPr>
    </w:p>
    <w:p>
      <w:pPr>
        <w:ind w:right="40" w:firstLine="3"/>
        <w:spacing w:after="0" w:line="263" w:lineRule="auto"/>
        <w:tabs>
          <w:tab w:leader="none" w:pos="299" w:val="left"/>
        </w:tabs>
        <w:numPr>
          <w:ilvl w:val="0"/>
          <w:numId w:val="19"/>
        </w:numPr>
        <w:rPr>
          <w:rFonts w:ascii="Arial" w:cs="Arial" w:eastAsia="Arial" w:hAnsi="Arial"/>
          <w:sz w:val="17"/>
          <w:szCs w:val="17"/>
          <w:color w:val="auto"/>
        </w:rPr>
      </w:pPr>
      <w:r>
        <w:rPr>
          <w:rFonts w:ascii="Arial" w:cs="Arial" w:eastAsia="Arial" w:hAnsi="Arial"/>
          <w:sz w:val="17"/>
          <w:szCs w:val="17"/>
          <w:color w:val="auto"/>
        </w:rPr>
        <w:t>use Free Cash Flow in addition to, and not as an alternative to, net cash provided by operating activities as a measure of liquidity, each as defined under GAAP. We have defined the aforementioned non-GAAP measures as follows:</w:t>
      </w:r>
    </w:p>
    <w:p>
      <w:pPr>
        <w:spacing w:after="0" w:line="73" w:lineRule="exact"/>
        <w:rPr>
          <w:rFonts w:ascii="Arial" w:cs="Arial" w:eastAsia="Arial" w:hAnsi="Arial"/>
          <w:sz w:val="17"/>
          <w:szCs w:val="17"/>
          <w:color w:val="auto"/>
        </w:rPr>
      </w:pPr>
    </w:p>
    <w:p>
      <w:pPr>
        <w:ind w:left="1240" w:right="20" w:hanging="622"/>
        <w:spacing w:after="0" w:line="260" w:lineRule="auto"/>
        <w:tabs>
          <w:tab w:leader="none" w:pos="1236" w:val="left"/>
        </w:tabs>
        <w:numPr>
          <w:ilvl w:val="1"/>
          <w:numId w:val="19"/>
        </w:numPr>
        <w:rPr>
          <w:rFonts w:ascii="Arial" w:cs="Arial" w:eastAsia="Arial" w:hAnsi="Arial"/>
          <w:sz w:val="17"/>
          <w:szCs w:val="17"/>
          <w:color w:val="auto"/>
        </w:rPr>
      </w:pPr>
      <w:r>
        <w:rPr>
          <w:rFonts w:ascii="Arial" w:cs="Arial" w:eastAsia="Arial" w:hAnsi="Arial"/>
          <w:sz w:val="17"/>
          <w:szCs w:val="17"/>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5" w:lineRule="exact"/>
        <w:rPr>
          <w:rFonts w:ascii="Arial" w:cs="Arial" w:eastAsia="Arial" w:hAnsi="Arial"/>
          <w:sz w:val="17"/>
          <w:szCs w:val="17"/>
          <w:color w:val="auto"/>
        </w:rPr>
      </w:pPr>
    </w:p>
    <w:p>
      <w:pPr>
        <w:ind w:left="1240" w:right="60" w:hanging="622"/>
        <w:spacing w:after="0" w:line="260" w:lineRule="auto"/>
        <w:tabs>
          <w:tab w:leader="none" w:pos="1236" w:val="left"/>
        </w:tabs>
        <w:numPr>
          <w:ilvl w:val="1"/>
          <w:numId w:val="19"/>
        </w:numPr>
        <w:rPr>
          <w:rFonts w:ascii="Arial" w:cs="Arial" w:eastAsia="Arial" w:hAnsi="Arial"/>
          <w:sz w:val="17"/>
          <w:szCs w:val="17"/>
          <w:color w:val="auto"/>
        </w:rPr>
      </w:pPr>
      <w:r>
        <w:rPr>
          <w:rFonts w:ascii="Arial" w:cs="Arial" w:eastAsia="Arial" w:hAnsi="Arial"/>
          <w:sz w:val="17"/>
          <w:szCs w:val="17"/>
          <w:color w:val="auto"/>
        </w:rPr>
        <w:t>"Adjusted Operating Income" represents operating income before financing transaction costs, supplemental employee benefits due to COVID-19, and acquisition-related costs, including significant acquisition amortization.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75" w:lineRule="exact"/>
        <w:rPr>
          <w:rFonts w:ascii="Arial" w:cs="Arial" w:eastAsia="Arial" w:hAnsi="Arial"/>
          <w:sz w:val="17"/>
          <w:szCs w:val="17"/>
          <w:color w:val="auto"/>
        </w:rPr>
      </w:pPr>
    </w:p>
    <w:p>
      <w:pPr>
        <w:ind w:left="1240" w:hanging="622"/>
        <w:spacing w:after="0" w:line="274" w:lineRule="auto"/>
        <w:tabs>
          <w:tab w:leader="none" w:pos="1236" w:val="left"/>
        </w:tabs>
        <w:numPr>
          <w:ilvl w:val="1"/>
          <w:numId w:val="19"/>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financing transaction costs, supplemental employee benefits due to COVID-19, and acquisition-related costs.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40" w:hanging="622"/>
        <w:spacing w:after="0" w:line="273" w:lineRule="auto"/>
        <w:tabs>
          <w:tab w:leader="none" w:pos="12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acquisition costs, (ii) financing transaction costs, (iii) supplemental employee benefits due to COVID-19, (iv) significant acquisition amortization, (v) gain on consolidation of equity method investment, (vi) research and development tax credits, (vii) release of income tax reserves, (viii) loss on debt extinguishment and (ix) amortization or write-off of debt issuance costs 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Adjusted Net Income as an important indicator of performance consistent with the manner in which management measures and forecasts the Company's performance and the way in which management is incentivized to perform.</w:t>
      </w:r>
    </w:p>
    <w:p>
      <w:pPr>
        <w:spacing w:after="0" w:line="69" w:lineRule="exact"/>
        <w:rPr>
          <w:rFonts w:ascii="Arial" w:cs="Arial" w:eastAsia="Arial" w:hAnsi="Arial"/>
          <w:sz w:val="16"/>
          <w:szCs w:val="16"/>
          <w:color w:val="auto"/>
        </w:rPr>
      </w:pPr>
    </w:p>
    <w:p>
      <w:pPr>
        <w:ind w:left="1240" w:right="140" w:hanging="622"/>
        <w:spacing w:after="0" w:line="264"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72" w:lineRule="exact"/>
        <w:rPr>
          <w:rFonts w:ascii="Arial" w:cs="Arial" w:eastAsia="Arial" w:hAnsi="Arial"/>
          <w:sz w:val="17"/>
          <w:szCs w:val="17"/>
          <w:color w:val="auto"/>
        </w:rPr>
      </w:pPr>
    </w:p>
    <w:p>
      <w:pPr>
        <w:ind w:left="1220" w:hanging="602"/>
        <w:spacing w:after="0"/>
        <w:tabs>
          <w:tab w:leader="none" w:pos="12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"Free Cash Flow" represents the net cash generated from operating activities less the impact of purchases of property, equipment and software.</w:t>
      </w:r>
    </w:p>
    <w:p>
      <w:pPr>
        <w:spacing w:after="0" w:line="135" w:lineRule="exact"/>
        <w:rPr>
          <w:sz w:val="20"/>
          <w:szCs w:val="20"/>
          <w:color w:val="auto"/>
        </w:rPr>
      </w:pPr>
    </w:p>
    <w:p>
      <w:pPr>
        <w:ind w:right="80" w:firstLine="385"/>
        <w:spacing w:after="0" w:line="264" w:lineRule="auto"/>
        <w:rPr>
          <w:sz w:val="20"/>
          <w:szCs w:val="20"/>
          <w:color w:val="auto"/>
        </w:rPr>
      </w:pPr>
      <w:r>
        <w:rPr>
          <w:rFonts w:ascii="Arial" w:cs="Arial" w:eastAsia="Arial" w:hAnsi="Arial"/>
          <w:sz w:val="17"/>
          <w:szCs w:val="17"/>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4"/>
                <w:szCs w:val="14"/>
                <w:color w:val="auto"/>
              </w:rPr>
            </w:pPr>
          </w:p>
        </w:tc>
        <w:tc>
          <w:tcPr>
            <w:tcW w:w="2800" w:type="dxa"/>
            <w:vAlign w:val="bottom"/>
            <w:gridSpan w:val="4"/>
          </w:tcPr>
          <w:p>
            <w:pPr>
              <w:jc w:val="center"/>
              <w:ind w:right="115"/>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5"/>
                <w:szCs w:val="15"/>
                <w:color w:val="auto"/>
              </w:rPr>
            </w:pPr>
          </w:p>
        </w:tc>
        <w:tc>
          <w:tcPr>
            <w:tcW w:w="2800" w:type="dxa"/>
            <w:vAlign w:val="bottom"/>
            <w:gridSpan w:val="4"/>
          </w:tcPr>
          <w:p>
            <w:pPr>
              <w:jc w:val="center"/>
              <w:ind w:right="115"/>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4"/>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4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3"/>
          </w:tcPr>
          <w:p>
            <w:pPr>
              <w:jc w:val="center"/>
              <w:ind w:left="876"/>
              <w:spacing w:after="0"/>
              <w:rPr>
                <w:sz w:val="20"/>
                <w:szCs w:val="20"/>
                <w:color w:val="auto"/>
              </w:rPr>
            </w:pPr>
            <w:r>
              <w:rPr>
                <w:rFonts w:ascii="Arial" w:cs="Arial" w:eastAsia="Arial" w:hAnsi="Arial"/>
                <w:sz w:val="14"/>
                <w:szCs w:val="14"/>
                <w:b w:val="1"/>
                <w:bCs w:val="1"/>
                <w:color w:val="auto"/>
                <w:w w:val="89"/>
              </w:rPr>
              <w:t>(Unaudited)</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gridSpan w:val="4"/>
          </w:tcPr>
          <w:p>
            <w:pPr>
              <w:jc w:val="center"/>
              <w:ind w:right="95"/>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Revenue, Excluding Billable Expenses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7"/>
                <w:szCs w:val="17"/>
                <w:color w:val="auto"/>
              </w:rPr>
              <w:t>Revenue</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2,106,038</w:t>
            </w:r>
          </w:p>
        </w:tc>
        <w:tc>
          <w:tcPr>
            <w:tcW w:w="8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15"/>
              <w:spacing w:after="0"/>
              <w:rPr>
                <w:sz w:val="20"/>
                <w:szCs w:val="20"/>
                <w:color w:val="auto"/>
              </w:rPr>
            </w:pPr>
            <w:r>
              <w:rPr>
                <w:rFonts w:ascii="Arial" w:cs="Arial" w:eastAsia="Arial" w:hAnsi="Arial"/>
                <w:sz w:val="17"/>
                <w:szCs w:val="17"/>
                <w:color w:val="auto"/>
              </w:rPr>
              <w:t>2,019,185</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4,095,104</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3,975,638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Less: Billable expenses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640,120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603,652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1,195,665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1,152,729</w:t>
            </w:r>
          </w:p>
        </w:tc>
        <w:tc>
          <w:tcPr>
            <w:tcW w:w="0" w:type="dxa"/>
            <w:vAlign w:val="bottom"/>
          </w:tcPr>
          <w:p>
            <w:pPr>
              <w:spacing w:after="0"/>
              <w:rPr>
                <w:sz w:val="1"/>
                <w:szCs w:val="1"/>
                <w:color w:val="auto"/>
              </w:rPr>
            </w:pPr>
          </w:p>
        </w:tc>
      </w:tr>
      <w:tr>
        <w:trPr>
          <w:trHeight w:val="210"/>
        </w:trPr>
        <w:tc>
          <w:tcPr>
            <w:tcW w:w="5020" w:type="dxa"/>
            <w:vAlign w:val="bottom"/>
          </w:tcPr>
          <w:p>
            <w:pPr>
              <w:ind w:left="440"/>
              <w:spacing w:after="0"/>
              <w:rPr>
                <w:sz w:val="20"/>
                <w:szCs w:val="20"/>
                <w:color w:val="auto"/>
              </w:rPr>
            </w:pPr>
            <w:r>
              <w:rPr>
                <w:rFonts w:ascii="Arial" w:cs="Arial" w:eastAsia="Arial" w:hAnsi="Arial"/>
                <w:sz w:val="17"/>
                <w:szCs w:val="17"/>
                <w:color w:val="auto"/>
              </w:rPr>
              <w:t>Revenue, Excluding Billable Expenses</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1,465,918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1,415,533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2,899,439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2,822,909</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0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i w:val="1"/>
                <w:iCs w:val="1"/>
                <w:color w:val="auto"/>
              </w:rPr>
              <w:t>Adjusted Operating Income</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7"/>
                <w:szCs w:val="17"/>
                <w:color w:val="auto"/>
              </w:rPr>
              <w:t>Operating Income</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218,367</w:t>
            </w:r>
          </w:p>
        </w:tc>
        <w:tc>
          <w:tcPr>
            <w:tcW w:w="8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15"/>
              <w:spacing w:after="0"/>
              <w:rPr>
                <w:sz w:val="20"/>
                <w:szCs w:val="20"/>
                <w:color w:val="auto"/>
              </w:rPr>
            </w:pPr>
            <w:r>
              <w:rPr>
                <w:rFonts w:ascii="Arial" w:cs="Arial" w:eastAsia="Arial" w:hAnsi="Arial"/>
                <w:sz w:val="17"/>
                <w:szCs w:val="17"/>
                <w:color w:val="auto"/>
              </w:rPr>
              <w:t>207,221</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359,624</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399,108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 costs (a)</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13,680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80,469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5020" w:type="dxa"/>
            <w:vAlign w:val="bottom"/>
          </w:tcPr>
          <w:p>
            <w:pPr>
              <w:ind w:left="240"/>
              <w:spacing w:after="0"/>
              <w:rPr>
                <w:sz w:val="20"/>
                <w:szCs w:val="20"/>
                <w:color w:val="auto"/>
              </w:rPr>
            </w:pPr>
            <w:r>
              <w:rPr>
                <w:rFonts w:ascii="Arial" w:cs="Arial" w:eastAsia="Arial" w:hAnsi="Arial"/>
                <w:sz w:val="17"/>
                <w:szCs w:val="17"/>
                <w:color w:val="auto"/>
              </w:rPr>
              <w:t>Financing transaction costs (b)</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2,348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COVID-19 supplemental employee benefits (c)</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7"/>
                <w:szCs w:val="17"/>
                <w:color w:val="auto"/>
              </w:rPr>
              <w:t>Significant acquisition amortization (d)</w:t>
            </w:r>
          </w:p>
        </w:tc>
        <w:tc>
          <w:tcPr>
            <w:tcW w:w="24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11,868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14,526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50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Adjusted Operating Income</w:t>
            </w: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243,915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207,388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456,967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399,617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94"/>
              </w:rPr>
              <w:t>EBITDA, Adjusted EBITDA, Adjusted EBITDA Margin on Revenue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020" w:type="dxa"/>
            <w:vAlign w:val="bottom"/>
          </w:tcPr>
          <w:p>
            <w:pPr>
              <w:ind w:left="20"/>
              <w:spacing w:after="0" w:line="167" w:lineRule="exact"/>
              <w:rPr>
                <w:sz w:val="20"/>
                <w:szCs w:val="20"/>
                <w:color w:val="auto"/>
              </w:rPr>
            </w:pPr>
            <w:r>
              <w:rPr>
                <w:rFonts w:ascii="Arial" w:cs="Arial" w:eastAsia="Arial" w:hAnsi="Arial"/>
                <w:sz w:val="17"/>
                <w:szCs w:val="17"/>
                <w:b w:val="1"/>
                <w:bCs w:val="1"/>
                <w:i w:val="1"/>
                <w:iCs w:val="1"/>
                <w:color w:val="auto"/>
              </w:rPr>
              <w:t>&amp; Adjusted EBITDA Margin on Revenue, Excluding Billable</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0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Expenses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154,834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136,081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246,936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265,410</w:t>
            </w: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7"/>
                <w:szCs w:val="17"/>
                <w:color w:val="auto"/>
              </w:rPr>
              <w:t>Income tax expense</w:t>
            </w:r>
          </w:p>
        </w:tc>
        <w:tc>
          <w:tcPr>
            <w:tcW w:w="24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46,127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5"/>
              <w:spacing w:after="0"/>
              <w:rPr>
                <w:sz w:val="20"/>
                <w:szCs w:val="20"/>
                <w:color w:val="auto"/>
              </w:rPr>
            </w:pPr>
            <w:r>
              <w:rPr>
                <w:rFonts w:ascii="Arial" w:cs="Arial" w:eastAsia="Arial" w:hAnsi="Arial"/>
                <w:sz w:val="17"/>
                <w:szCs w:val="17"/>
                <w:color w:val="auto"/>
              </w:rPr>
              <w:t>39,319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73,479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80,806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and other, net (e)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17,406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31,821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39,209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52,892</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37,602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21,015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65,347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41,747</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EBITDA</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255,969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228,236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424,971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440,855</w:t>
            </w: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7"/>
                <w:szCs w:val="17"/>
                <w:color w:val="auto"/>
              </w:rPr>
              <w:t>Acquisition costs (a)</w:t>
            </w:r>
          </w:p>
        </w:tc>
        <w:tc>
          <w:tcPr>
            <w:tcW w:w="24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13,680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80,469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transaction costs (b)</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7"/>
                <w:szCs w:val="17"/>
                <w:color w:val="auto"/>
              </w:rPr>
              <w:t>COVID-19 supplemental employee benefits (c)</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80" w:type="dxa"/>
            <w:vAlign w:val="bottom"/>
          </w:tcPr>
          <w:p>
            <w:pPr>
              <w:jc w:val="right"/>
              <w:ind w:right="115"/>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36"/>
        </w:trPr>
        <w:tc>
          <w:tcPr>
            <w:tcW w:w="50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Adjusted EBITDA</w:t>
            </w: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269,649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228,403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507,788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441,364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7"/>
                <w:szCs w:val="17"/>
                <w:color w:val="auto"/>
              </w:rPr>
              <w:t>Adjusted EBITDA Margin on Revenue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12.8 %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11.3 %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12.4 %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11.1 %</w:t>
            </w:r>
          </w:p>
        </w:tc>
        <w:tc>
          <w:tcPr>
            <w:tcW w:w="0" w:type="dxa"/>
            <w:vAlign w:val="bottom"/>
          </w:tcPr>
          <w:p>
            <w:pPr>
              <w:spacing w:after="0"/>
              <w:rPr>
                <w:sz w:val="1"/>
                <w:szCs w:val="1"/>
                <w:color w:val="auto"/>
              </w:rPr>
            </w:pPr>
          </w:p>
        </w:tc>
      </w:tr>
      <w:tr>
        <w:trPr>
          <w:trHeight w:val="168"/>
        </w:trPr>
        <w:tc>
          <w:tcPr>
            <w:tcW w:w="5020" w:type="dxa"/>
            <w:vAlign w:val="bottom"/>
            <w:shd w:val="clear" w:color="auto" w:fill="CCEEFF"/>
          </w:tcPr>
          <w:p>
            <w:pPr>
              <w:ind w:left="440"/>
              <w:spacing w:after="0" w:line="167" w:lineRule="exact"/>
              <w:rPr>
                <w:sz w:val="20"/>
                <w:szCs w:val="20"/>
                <w:color w:val="auto"/>
              </w:rPr>
            </w:pPr>
            <w:r>
              <w:rPr>
                <w:rFonts w:ascii="Arial" w:cs="Arial" w:eastAsia="Arial" w:hAnsi="Arial"/>
                <w:sz w:val="17"/>
                <w:szCs w:val="17"/>
                <w:color w:val="auto"/>
              </w:rPr>
              <w:t>Adjusted EBITDA Margin on Revenue, Excluding Billable</w:t>
            </w:r>
          </w:p>
        </w:tc>
        <w:tc>
          <w:tcPr>
            <w:tcW w:w="2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18.4 %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17.5 %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15.6 %</w:t>
            </w: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Expenses</w:t>
            </w:r>
          </w:p>
        </w:tc>
        <w:tc>
          <w:tcPr>
            <w:tcW w:w="2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Adjusted Net Income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154,834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136,081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246,936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265,410</w:t>
            </w: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7"/>
                <w:szCs w:val="17"/>
                <w:color w:val="auto"/>
              </w:rPr>
              <w:t>Acquisition costs (a)</w:t>
            </w:r>
          </w:p>
        </w:tc>
        <w:tc>
          <w:tcPr>
            <w:tcW w:w="24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13,680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80,469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 transaction costs (b)</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7"/>
                <w:szCs w:val="17"/>
                <w:color w:val="auto"/>
              </w:rPr>
              <w:t>COVID-19 supplemental employee benefits (c)</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80" w:type="dxa"/>
            <w:vAlign w:val="bottom"/>
          </w:tcPr>
          <w:p>
            <w:pPr>
              <w:jc w:val="right"/>
              <w:ind w:right="115"/>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Significant acquisition amortization (d)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11,868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14,526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7"/>
                <w:szCs w:val="17"/>
                <w:color w:val="auto"/>
              </w:rPr>
              <w:t>Gain on consolidation of equity method investment (f)</w:t>
            </w:r>
          </w:p>
        </w:tc>
        <w:tc>
          <w:tcPr>
            <w:tcW w:w="240" w:type="dxa"/>
            <w:vAlign w:val="bottom"/>
          </w:tcPr>
          <w:p>
            <w:pPr>
              <w:spacing w:after="0"/>
              <w:rPr>
                <w:sz w:val="18"/>
                <w:szCs w:val="18"/>
                <w:color w:val="auto"/>
              </w:rPr>
            </w:pPr>
          </w:p>
        </w:tc>
        <w:tc>
          <w:tcPr>
            <w:tcW w:w="1360" w:type="dxa"/>
            <w:vAlign w:val="bottom"/>
          </w:tcPr>
          <w:p>
            <w:pPr>
              <w:jc w:val="right"/>
              <w:ind w:right="76"/>
              <w:spacing w:after="0"/>
              <w:rPr>
                <w:sz w:val="20"/>
                <w:szCs w:val="20"/>
                <w:color w:val="auto"/>
              </w:rPr>
            </w:pPr>
            <w:r>
              <w:rPr>
                <w:rFonts w:ascii="Arial" w:cs="Arial" w:eastAsia="Arial" w:hAnsi="Arial"/>
                <w:sz w:val="17"/>
                <w:szCs w:val="17"/>
                <w:color w:val="auto"/>
              </w:rPr>
              <w:t>(5,666)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40" w:type="dxa"/>
            <w:vAlign w:val="bottom"/>
          </w:tcPr>
          <w:p>
            <w:pPr>
              <w:jc w:val="right"/>
              <w:ind w:right="76"/>
              <w:spacing w:after="0"/>
              <w:rPr>
                <w:sz w:val="20"/>
                <w:szCs w:val="20"/>
                <w:color w:val="auto"/>
              </w:rPr>
            </w:pPr>
            <w:r>
              <w:rPr>
                <w:rFonts w:ascii="Arial" w:cs="Arial" w:eastAsia="Arial" w:hAnsi="Arial"/>
                <w:sz w:val="17"/>
                <w:szCs w:val="17"/>
                <w:color w:val="auto"/>
              </w:rPr>
              <w:t>(5,666)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 tax credits (g)</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(2,928)</w:t>
            </w: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7"/>
                <w:szCs w:val="17"/>
                <w:color w:val="auto"/>
              </w:rPr>
              <w:t>Release of income tax reserves (h)</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60" w:type="dxa"/>
            <w:vAlign w:val="bottom"/>
          </w:tcPr>
          <w:p>
            <w:pPr>
              <w:jc w:val="right"/>
              <w:ind w:right="75"/>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debt extinguishment (i)</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13,239</w:t>
            </w:r>
          </w:p>
        </w:tc>
        <w:tc>
          <w:tcPr>
            <w:tcW w:w="0" w:type="dxa"/>
            <w:vAlign w:val="bottom"/>
          </w:tcPr>
          <w:p>
            <w:pPr>
              <w:spacing w:after="0"/>
              <w:rPr>
                <w:sz w:val="1"/>
                <w:szCs w:val="1"/>
                <w:color w:val="auto"/>
              </w:rPr>
            </w:pPr>
          </w:p>
        </w:tc>
      </w:tr>
      <w:tr>
        <w:trPr>
          <w:trHeight w:val="217"/>
        </w:trPr>
        <w:tc>
          <w:tcPr>
            <w:tcW w:w="5020" w:type="dxa"/>
            <w:vAlign w:val="bottom"/>
          </w:tcPr>
          <w:p>
            <w:pPr>
              <w:ind w:left="220"/>
              <w:spacing w:after="0"/>
              <w:rPr>
                <w:sz w:val="20"/>
                <w:szCs w:val="20"/>
                <w:color w:val="auto"/>
              </w:rPr>
            </w:pPr>
            <w:r>
              <w:rPr>
                <w:rFonts w:ascii="Arial" w:cs="Arial" w:eastAsia="Arial" w:hAnsi="Arial"/>
                <w:sz w:val="17"/>
                <w:szCs w:val="17"/>
                <w:color w:val="auto"/>
                <w:w w:val="94"/>
              </w:rPr>
              <w:t>Amortization and write-off of debt issuance costs and debt discount</w:t>
            </w:r>
          </w:p>
        </w:tc>
        <w:tc>
          <w:tcPr>
            <w:tcW w:w="24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816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5"/>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16"/>
              <w:spacing w:after="0"/>
              <w:rPr>
                <w:sz w:val="20"/>
                <w:szCs w:val="20"/>
                <w:color w:val="auto"/>
              </w:rPr>
            </w:pPr>
            <w:r>
              <w:rPr>
                <w:rFonts w:ascii="Arial" w:cs="Arial" w:eastAsia="Arial" w:hAnsi="Arial"/>
                <w:sz w:val="17"/>
                <w:szCs w:val="17"/>
                <w:color w:val="auto"/>
              </w:rPr>
              <w:t>1,703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1,017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for tax effect (j)</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(5,381)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(3,640)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(24,279)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(3,839)</w:t>
            </w:r>
          </w:p>
        </w:tc>
        <w:tc>
          <w:tcPr>
            <w:tcW w:w="0" w:type="dxa"/>
            <w:vAlign w:val="bottom"/>
          </w:tcPr>
          <w:p>
            <w:pPr>
              <w:spacing w:after="0"/>
              <w:rPr>
                <w:sz w:val="1"/>
                <w:szCs w:val="1"/>
                <w:color w:val="auto"/>
              </w:rPr>
            </w:pPr>
          </w:p>
        </w:tc>
      </w:tr>
      <w:tr>
        <w:trPr>
          <w:trHeight w:val="210"/>
        </w:trPr>
        <w:tc>
          <w:tcPr>
            <w:tcW w:w="5020" w:type="dxa"/>
            <w:vAlign w:val="bottom"/>
          </w:tcPr>
          <w:p>
            <w:pPr>
              <w:ind w:left="440"/>
              <w:spacing w:after="0"/>
              <w:rPr>
                <w:sz w:val="20"/>
                <w:szCs w:val="20"/>
                <w:color w:val="auto"/>
              </w:rPr>
            </w:pPr>
            <w:r>
              <w:rPr>
                <w:rFonts w:ascii="Arial" w:cs="Arial" w:eastAsia="Arial" w:hAnsi="Arial"/>
                <w:sz w:val="17"/>
                <w:szCs w:val="17"/>
                <w:color w:val="auto"/>
              </w:rPr>
              <w:t>Adjusted Net Income</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170,151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143,482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316,037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273,379</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0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i w:val="1"/>
                <w:iCs w:val="1"/>
                <w:color w:val="auto"/>
              </w:rPr>
              <w:t>Adjusted Diluted Earnings Per Share</w:t>
            </w: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Weighted-average number of diluted shares outstanding</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135,316,429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93"/>
              </w:rPr>
              <w:t>138,747,640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99"/>
              </w:rPr>
              <w:t>135,847,548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99"/>
              </w:rPr>
              <w:t>139,004,382</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Adjusted Net Income Per Diluted Share (k)</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1.26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i w:val="1"/>
                <w:iCs w:val="1"/>
                <w:color w:val="auto"/>
              </w:rPr>
              <w:t>Free Cash Flow</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470,408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425,606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459,746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566,024</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Less: Purchases of property, equipment and software</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(20,667)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(18,026)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(29,675)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(38,084)</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Free Cash Flow</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449,741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407,580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430,071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527,940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836"/>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7" w:lineRule="exact"/>
        <w:rPr>
          <w:sz w:val="20"/>
          <w:szCs w:val="20"/>
          <w:color w:val="auto"/>
        </w:rPr>
      </w:pPr>
    </w:p>
    <w:p>
      <w:pPr>
        <w:ind w:left="620" w:right="40" w:hanging="617"/>
        <w:spacing w:after="0" w:line="260" w:lineRule="auto"/>
        <w:tabs>
          <w:tab w:leader="none" w:pos="617"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costs associated with the acquisition efforts of the Company related to transactions for which the Company has entered into a letter of intent to acquire a controlling financial interest in the target entity. Acquisition costs primarily include costs associated with (i) due diligence activities, (ii) compensation expenses associated with employee retention, and (iii) legal and advisory fees associated with the completion of the acquisitions of Liberty and Tracepoint, as disclosed in Note 5.</w:t>
      </w:r>
    </w:p>
    <w:p>
      <w:pPr>
        <w:spacing w:after="0" w:line="24" w:lineRule="exact"/>
        <w:rPr>
          <w:rFonts w:ascii="Arial" w:cs="Arial" w:eastAsia="Arial" w:hAnsi="Arial"/>
          <w:sz w:val="17"/>
          <w:szCs w:val="17"/>
          <w:color w:val="auto"/>
        </w:rPr>
      </w:pPr>
    </w:p>
    <w:p>
      <w:pPr>
        <w:ind w:left="620" w:hanging="61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expenses associated with debt financing activities incurred during the first quarter of fiscal 2022.</w:t>
      </w:r>
    </w:p>
    <w:p>
      <w:pPr>
        <w:spacing w:after="0" w:line="60" w:lineRule="exact"/>
        <w:rPr>
          <w:rFonts w:ascii="Arial" w:cs="Arial" w:eastAsia="Arial" w:hAnsi="Arial"/>
          <w:sz w:val="17"/>
          <w:szCs w:val="17"/>
          <w:color w:val="auto"/>
        </w:rPr>
      </w:pPr>
    </w:p>
    <w:p>
      <w:pPr>
        <w:ind w:left="620" w:hanging="61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the supplemental contribution to employees' dependent care FSA accounts in response to COVID-19.</w:t>
      </w:r>
    </w:p>
    <w:p>
      <w:pPr>
        <w:spacing w:after="0" w:line="60" w:lineRule="exact"/>
        <w:rPr>
          <w:rFonts w:ascii="Arial" w:cs="Arial" w:eastAsia="Arial" w:hAnsi="Arial"/>
          <w:sz w:val="17"/>
          <w:szCs w:val="17"/>
          <w:color w:val="auto"/>
        </w:rPr>
      </w:pPr>
    </w:p>
    <w:p>
      <w:pPr>
        <w:ind w:left="620" w:right="40" w:hanging="617"/>
        <w:spacing w:after="0" w:line="264" w:lineRule="auto"/>
        <w:tabs>
          <w:tab w:leader="none" w:pos="6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Amortization expense associated with acquired intangibles from significant acquisitions. Significant acquisitions include acquisitions which the Company considers to be beyond the scope of our normal operations. Significant acquisition amortization includes amortization expense associated with the acquisition of Liberty for the first quarter of fiscal 2022.</w:t>
      </w:r>
    </w:p>
    <w:p>
      <w:pPr>
        <w:spacing w:after="0" w:line="21" w:lineRule="exact"/>
        <w:rPr>
          <w:rFonts w:ascii="Arial" w:cs="Arial" w:eastAsia="Arial" w:hAnsi="Arial"/>
          <w:sz w:val="17"/>
          <w:szCs w:val="17"/>
          <w:color w:val="auto"/>
        </w:rPr>
      </w:pPr>
    </w:p>
    <w:p>
      <w:pPr>
        <w:ind w:left="620" w:hanging="61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the combination of Interest expense and Other income (expense), net from the condensed consolidated statement of operations.</w:t>
      </w:r>
    </w:p>
    <w:p>
      <w:pPr>
        <w:spacing w:after="0" w:line="60" w:lineRule="exact"/>
        <w:rPr>
          <w:rFonts w:ascii="Arial" w:cs="Arial" w:eastAsia="Arial" w:hAnsi="Arial"/>
          <w:sz w:val="17"/>
          <w:szCs w:val="17"/>
          <w:color w:val="auto"/>
        </w:rPr>
      </w:pPr>
    </w:p>
    <w:p>
      <w:pPr>
        <w:ind w:left="620" w:right="20" w:hanging="617"/>
        <w:spacing w:after="0" w:line="277" w:lineRule="auto"/>
        <w:tabs>
          <w:tab w:leader="none" w:pos="6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the Company’s remeasurement of its previously held equity method investment in Tracepoint to its fair value which resulted in a gain upon the acquisition of a controlling financial interest in Tracepoint.</w:t>
      </w:r>
    </w:p>
    <w:p>
      <w:pPr>
        <w:spacing w:after="0" w:line="10" w:lineRule="exact"/>
        <w:rPr>
          <w:rFonts w:ascii="Arial" w:cs="Arial" w:eastAsia="Arial" w:hAnsi="Arial"/>
          <w:sz w:val="17"/>
          <w:szCs w:val="17"/>
          <w:color w:val="auto"/>
        </w:rPr>
      </w:pPr>
    </w:p>
    <w:p>
      <w:pPr>
        <w:ind w:left="620" w:right="540" w:hanging="617"/>
        <w:spacing w:after="0" w:line="277" w:lineRule="auto"/>
        <w:tabs>
          <w:tab w:leader="none" w:pos="6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tax credits, net of reserves for uncertain tax positions, recognized in fiscal 2021 related to an increase in research and development credits available for fiscal years 2016 to 2019.</w:t>
      </w:r>
    </w:p>
    <w:p>
      <w:pPr>
        <w:spacing w:after="0" w:line="10" w:lineRule="exact"/>
        <w:rPr>
          <w:rFonts w:ascii="Arial" w:cs="Arial" w:eastAsia="Arial" w:hAnsi="Arial"/>
          <w:sz w:val="17"/>
          <w:szCs w:val="17"/>
          <w:color w:val="auto"/>
        </w:rPr>
      </w:pPr>
    </w:p>
    <w:p>
      <w:pPr>
        <w:ind w:left="620" w:hanging="61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Release of pre-acquisition income tax reserves assumed by the Company in connection with the Carlyle acquisition.</w:t>
      </w:r>
    </w:p>
    <w:p>
      <w:pPr>
        <w:spacing w:after="0" w:line="60" w:lineRule="exact"/>
        <w:rPr>
          <w:rFonts w:ascii="Arial" w:cs="Arial" w:eastAsia="Arial" w:hAnsi="Arial"/>
          <w:sz w:val="17"/>
          <w:szCs w:val="17"/>
          <w:color w:val="auto"/>
        </w:rPr>
      </w:pPr>
    </w:p>
    <w:p>
      <w:pPr>
        <w:ind w:left="620" w:right="100" w:hanging="617"/>
        <w:spacing w:after="0" w:line="277" w:lineRule="auto"/>
        <w:tabs>
          <w:tab w:leader="none" w:pos="6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the loss on debt extinguishment resulting from the redemption of Booz Allen Hamilton Inc.'s 5.125% Senior Notes due 2025 ("Senior Notes due 2025"), including $9.0 million of the premium paid at redemption, and write-off of the unamortized debt issuance cost.</w:t>
      </w:r>
    </w:p>
    <w:p>
      <w:pPr>
        <w:spacing w:after="0" w:line="10" w:lineRule="exact"/>
        <w:rPr>
          <w:rFonts w:ascii="Arial" w:cs="Arial" w:eastAsia="Arial" w:hAnsi="Arial"/>
          <w:sz w:val="17"/>
          <w:szCs w:val="17"/>
          <w:color w:val="auto"/>
        </w:rPr>
      </w:pPr>
    </w:p>
    <w:p>
      <w:pPr>
        <w:ind w:left="620" w:right="40" w:hanging="617"/>
        <w:spacing w:after="0" w:line="277" w:lineRule="auto"/>
        <w:tabs>
          <w:tab w:leader="none" w:pos="6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Reflects the tax effect of adjustments at an assumed effective tax rate of 26%, which approximates the blended federal and state tax rates, and consistently excludes the impact of other tax credits and incentive benefits realized.</w:t>
      </w:r>
    </w:p>
    <w:p>
      <w:pPr>
        <w:spacing w:after="0" w:line="10" w:lineRule="exact"/>
        <w:rPr>
          <w:rFonts w:ascii="Arial" w:cs="Arial" w:eastAsia="Arial" w:hAnsi="Arial"/>
          <w:sz w:val="17"/>
          <w:szCs w:val="17"/>
          <w:color w:val="auto"/>
        </w:rPr>
      </w:pPr>
    </w:p>
    <w:p>
      <w:pPr>
        <w:ind w:left="620" w:hanging="617"/>
        <w:spacing w:after="0" w:line="264" w:lineRule="auto"/>
        <w:tabs>
          <w:tab w:leader="none" w:pos="6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Excludes adjustments of approximately $1.1 million and $1.5 million of net earnings for the three and six months ended September 30, 2021, respectively, and excludes adjustments of approximately $0.8 million and $1.5 million of net earnings for the three and six months ended September 30, 2020, respectively, associated with the application of the two-class method for computing diluted earnings per share.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and Trends Affecting Our Results of Operations</w:t>
      </w:r>
    </w:p>
    <w:p>
      <w:pPr>
        <w:spacing w:after="0" w:line="116" w:lineRule="exact"/>
        <w:rPr>
          <w:sz w:val="20"/>
          <w:szCs w:val="20"/>
          <w:color w:val="auto"/>
        </w:rPr>
      </w:pPr>
    </w:p>
    <w:p>
      <w:pPr>
        <w:ind w:right="20" w:firstLine="385"/>
        <w:spacing w:after="0" w:line="277" w:lineRule="auto"/>
        <w:rPr>
          <w:sz w:val="20"/>
          <w:szCs w:val="20"/>
          <w:color w:val="auto"/>
        </w:rPr>
      </w:pPr>
      <w:r>
        <w:rPr>
          <w:rFonts w:ascii="Arial" w:cs="Arial" w:eastAsia="Arial" w:hAnsi="Arial"/>
          <w:sz w:val="17"/>
          <w:szCs w:val="17"/>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Business Environment and Key Trends in Our Markets</w:t>
      </w:r>
    </w:p>
    <w:p>
      <w:pPr>
        <w:spacing w:after="0" w:line="112" w:lineRule="exact"/>
        <w:rPr>
          <w:sz w:val="20"/>
          <w:szCs w:val="20"/>
          <w:color w:val="auto"/>
        </w:rPr>
      </w:pPr>
    </w:p>
    <w:p>
      <w:pPr>
        <w:ind w:right="660" w:firstLine="385"/>
        <w:spacing w:after="0" w:line="277" w:lineRule="auto"/>
        <w:rPr>
          <w:sz w:val="20"/>
          <w:szCs w:val="20"/>
          <w:color w:val="auto"/>
        </w:rPr>
      </w:pPr>
      <w:r>
        <w:rPr>
          <w:rFonts w:ascii="Arial" w:cs="Arial" w:eastAsia="Arial" w:hAnsi="Arial"/>
          <w:sz w:val="17"/>
          <w:szCs w:val="17"/>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240" w:right="40" w:hanging="622"/>
        <w:spacing w:after="0" w:line="275" w:lineRule="auto"/>
        <w:tabs>
          <w:tab w:leader="none" w:pos="1236"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and address the ability of Congress to determine how to allocate the available budget authority and pass appropriations bills to fund both U.S. government departments and agencies that are, and those that are not, subject to the caps;</w:t>
      </w:r>
    </w:p>
    <w:p>
      <w:pPr>
        <w:spacing w:after="0" w:line="68" w:lineRule="exact"/>
        <w:rPr>
          <w:rFonts w:ascii="Arial" w:cs="Arial" w:eastAsia="Arial" w:hAnsi="Arial"/>
          <w:sz w:val="16"/>
          <w:szCs w:val="16"/>
          <w:color w:val="auto"/>
        </w:rPr>
      </w:pPr>
    </w:p>
    <w:p>
      <w:pPr>
        <w:ind w:left="1240" w:right="440" w:hanging="622"/>
        <w:spacing w:after="0" w:line="277" w:lineRule="auto"/>
        <w:tabs>
          <w:tab w:leader="none" w:pos="12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40" w:hanging="622"/>
        <w:spacing w:after="0" w:line="272" w:lineRule="auto"/>
        <w:tabs>
          <w:tab w:leader="none" w:pos="12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and to craft a long-term agreement on the U.S. government's ability to incur indebtedness in excess of its current limits prior to December 3, 2021, the date on which legislation relating to the U.S. government's debt limit expires,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68" w:lineRule="exact"/>
        <w:rPr>
          <w:rFonts w:ascii="Arial" w:cs="Arial" w:eastAsia="Arial" w:hAnsi="Arial"/>
          <w:sz w:val="16"/>
          <w:szCs w:val="16"/>
          <w:color w:val="auto"/>
        </w:rPr>
      </w:pPr>
    </w:p>
    <w:p>
      <w:pPr>
        <w:ind w:left="1240" w:right="220" w:hanging="622"/>
        <w:spacing w:after="0" w:line="277"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in the completion of future U.S. government’s budget processes, which have in the past and could in the future delay procurement of the products, services, and solutions we provide;</w:t>
      </w:r>
    </w:p>
    <w:p>
      <w:pPr>
        <w:spacing w:after="0" w:line="61" w:lineRule="exact"/>
        <w:rPr>
          <w:rFonts w:ascii="Arial" w:cs="Arial" w:eastAsia="Arial" w:hAnsi="Arial"/>
          <w:sz w:val="17"/>
          <w:szCs w:val="17"/>
          <w:color w:val="auto"/>
        </w:rPr>
      </w:pPr>
    </w:p>
    <w:p>
      <w:pPr>
        <w:ind w:left="1240" w:right="20" w:hanging="622"/>
        <w:spacing w:after="0" w:line="260"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75" w:lineRule="exact"/>
        <w:rPr>
          <w:rFonts w:ascii="Arial" w:cs="Arial" w:eastAsia="Arial" w:hAnsi="Arial"/>
          <w:sz w:val="17"/>
          <w:szCs w:val="17"/>
          <w:color w:val="auto"/>
        </w:rPr>
      </w:pPr>
    </w:p>
    <w:p>
      <w:pPr>
        <w:ind w:left="1240" w:right="240" w:hanging="622"/>
        <w:spacing w:after="0" w:line="260"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extent, nature and effect of COVID-19, including the impact on federal budgets, current and pending procurements, supply chains, demand for services, deployment and productivity of our employees and the economic and societal impact of a pandemic, and the expected continued volatility in billable expenses, as well as the impact of our Company policy requiring full COVID-19 vaccinations of all employees, except for employees who qualify for medical or religious exemptions;</w:t>
      </w:r>
    </w:p>
    <w:p>
      <w:pPr>
        <w:spacing w:after="0" w:line="75" w:lineRule="exact"/>
        <w:rPr>
          <w:rFonts w:ascii="Arial" w:cs="Arial" w:eastAsia="Arial" w:hAnsi="Arial"/>
          <w:sz w:val="17"/>
          <w:szCs w:val="17"/>
          <w:color w:val="auto"/>
        </w:rPr>
      </w:pPr>
    </w:p>
    <w:p>
      <w:pPr>
        <w:ind w:left="1240" w:right="80" w:hanging="622"/>
        <w:spacing w:after="0" w:line="260"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5" w:lineRule="exact"/>
        <w:rPr>
          <w:rFonts w:ascii="Arial" w:cs="Arial" w:eastAsia="Arial" w:hAnsi="Arial"/>
          <w:sz w:val="17"/>
          <w:szCs w:val="17"/>
          <w:color w:val="auto"/>
        </w:rPr>
      </w:pPr>
    </w:p>
    <w:p>
      <w:pPr>
        <w:ind w:left="1240" w:right="440" w:hanging="622"/>
        <w:spacing w:after="0" w:line="277"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efforts by the U.S. government to address organizational conflicts of interest and related issues and the impact of those efforts on us and our competitors;</w:t>
      </w:r>
    </w:p>
    <w:p>
      <w:pPr>
        <w:spacing w:after="0" w:line="61" w:lineRule="exact"/>
        <w:rPr>
          <w:rFonts w:ascii="Arial" w:cs="Arial" w:eastAsia="Arial" w:hAnsi="Arial"/>
          <w:sz w:val="17"/>
          <w:szCs w:val="17"/>
          <w:color w:val="auto"/>
        </w:rPr>
      </w:pPr>
    </w:p>
    <w:p>
      <w:pPr>
        <w:ind w:left="1240" w:right="400" w:hanging="622"/>
        <w:spacing w:after="0" w:line="277"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1" w:lineRule="exact"/>
        <w:rPr>
          <w:rFonts w:ascii="Arial" w:cs="Arial" w:eastAsia="Arial" w:hAnsi="Arial"/>
          <w:sz w:val="17"/>
          <w:szCs w:val="17"/>
          <w:color w:val="auto"/>
        </w:rPr>
      </w:pPr>
    </w:p>
    <w:p>
      <w:pPr>
        <w:ind w:left="1240" w:right="480" w:hanging="622"/>
        <w:spacing w:after="0" w:line="264"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72" w:lineRule="exact"/>
        <w:rPr>
          <w:rFonts w:ascii="Arial" w:cs="Arial" w:eastAsia="Arial" w:hAnsi="Arial"/>
          <w:sz w:val="17"/>
          <w:szCs w:val="17"/>
          <w:color w:val="auto"/>
        </w:rPr>
      </w:pPr>
    </w:p>
    <w:p>
      <w:pPr>
        <w:ind w:left="1240" w:right="580" w:hanging="622"/>
        <w:spacing w:after="0" w:line="277"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1" w:lineRule="exact"/>
        <w:rPr>
          <w:rFonts w:ascii="Arial" w:cs="Arial" w:eastAsia="Arial" w:hAnsi="Arial"/>
          <w:sz w:val="17"/>
          <w:szCs w:val="17"/>
          <w:color w:val="auto"/>
        </w:rPr>
      </w:pPr>
    </w:p>
    <w:p>
      <w:pPr>
        <w:ind w:left="1240" w:right="120" w:hanging="622"/>
        <w:spacing w:after="0" w:line="277" w:lineRule="auto"/>
        <w:tabs>
          <w:tab w:leader="none" w:pos="12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U.S. government agencies awarding contracts on a technically acceptable/lowest cost basis, which could have a negative impact on our ability to win certain contracts;</w:t>
      </w:r>
    </w:p>
    <w:p>
      <w:pPr>
        <w:spacing w:after="0" w:line="61" w:lineRule="exact"/>
        <w:rPr>
          <w:rFonts w:ascii="Arial" w:cs="Arial" w:eastAsia="Arial" w:hAnsi="Arial"/>
          <w:sz w:val="17"/>
          <w:szCs w:val="17"/>
          <w:color w:val="auto"/>
        </w:rPr>
      </w:pPr>
    </w:p>
    <w:p>
      <w:pPr>
        <w:ind w:left="1240" w:right="100" w:hanging="622"/>
        <w:spacing w:after="0" w:line="346" w:lineRule="auto"/>
        <w:tabs>
          <w:tab w:leader="none" w:pos="1236" w:val="left"/>
        </w:tabs>
        <w:numPr>
          <w:ilvl w:val="0"/>
          <w:numId w:val="23"/>
        </w:numPr>
        <w:rPr>
          <w:rFonts w:ascii="Arial" w:cs="Arial" w:eastAsia="Arial" w:hAnsi="Arial"/>
          <w:sz w:val="15"/>
          <w:szCs w:val="15"/>
          <w:color w:val="auto"/>
        </w:rPr>
      </w:pPr>
      <w:r>
        <w:rPr>
          <w:rFonts w:ascii="Arial" w:cs="Arial" w:eastAsia="Arial" w:hAnsi="Arial"/>
          <w:sz w:val="15"/>
          <w:szCs w:val="15"/>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15" w:lineRule="exact"/>
        <w:rPr>
          <w:rFonts w:ascii="Arial" w:cs="Arial" w:eastAsia="Arial" w:hAnsi="Arial"/>
          <w:sz w:val="15"/>
          <w:szCs w:val="15"/>
          <w:color w:val="auto"/>
        </w:rPr>
      </w:pPr>
    </w:p>
    <w:p>
      <w:pPr>
        <w:ind w:left="1240" w:right="80" w:hanging="622"/>
        <w:spacing w:after="0" w:line="288" w:lineRule="auto"/>
        <w:tabs>
          <w:tab w:leader="none" w:pos="12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55" w:lineRule="exact"/>
        <w:rPr>
          <w:rFonts w:ascii="Arial" w:cs="Arial" w:eastAsia="Arial" w:hAnsi="Arial"/>
          <w:sz w:val="16"/>
          <w:szCs w:val="16"/>
          <w:color w:val="auto"/>
        </w:rPr>
      </w:pPr>
    </w:p>
    <w:p>
      <w:pPr>
        <w:ind w:left="1240" w:right="880" w:hanging="622"/>
        <w:spacing w:after="0" w:line="346" w:lineRule="auto"/>
        <w:tabs>
          <w:tab w:leader="none" w:pos="1236"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40" w:right="40" w:hanging="622"/>
        <w:spacing w:after="0" w:line="264"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72" w:lineRule="exact"/>
        <w:rPr>
          <w:rFonts w:ascii="Arial" w:cs="Arial" w:eastAsia="Arial" w:hAnsi="Arial"/>
          <w:sz w:val="17"/>
          <w:szCs w:val="17"/>
          <w:color w:val="auto"/>
        </w:rPr>
      </w:pPr>
    </w:p>
    <w:p>
      <w:pPr>
        <w:ind w:left="1240" w:hanging="622"/>
        <w:spacing w:after="0" w:line="264"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Sources of Revenue</w:t>
      </w:r>
    </w:p>
    <w:p>
      <w:pPr>
        <w:spacing w:after="0" w:line="112" w:lineRule="exact"/>
        <w:rPr>
          <w:sz w:val="20"/>
          <w:szCs w:val="20"/>
          <w:color w:val="auto"/>
        </w:rPr>
      </w:pPr>
    </w:p>
    <w:p>
      <w:pPr>
        <w:ind w:right="80" w:firstLine="385"/>
        <w:spacing w:after="0" w:line="271"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 of 2013, the Bipartisan Budget Act of 2015, the Bipartisan Budget Act of 2018, the Bipartisan Budget Act of 2019 and the CARES Act, which did not specify an amount of savings required to be achieved through sequestration after 2021 but apply an 8.3% reduction in defense spending in each year from 2021 to 2030.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Contract Types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generate revenue under the following three basic types of contracts:</w:t>
      </w:r>
    </w:p>
    <w:p>
      <w:pPr>
        <w:spacing w:after="0" w:line="112" w:lineRule="exact"/>
        <w:rPr>
          <w:sz w:val="20"/>
          <w:szCs w:val="20"/>
          <w:color w:val="auto"/>
        </w:rPr>
      </w:pPr>
    </w:p>
    <w:p>
      <w:pPr>
        <w:ind w:left="1840" w:right="20" w:hanging="607"/>
        <w:spacing w:after="0" w:line="272" w:lineRule="auto"/>
        <w:tabs>
          <w:tab w:leader="none" w:pos="1836"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1" w:lineRule="exact"/>
        <w:rPr>
          <w:rFonts w:ascii="Arial" w:cs="Arial" w:eastAsia="Arial" w:hAnsi="Arial"/>
          <w:sz w:val="16"/>
          <w:szCs w:val="16"/>
          <w:i w:val="1"/>
          <w:iCs w:val="1"/>
          <w:color w:val="auto"/>
        </w:rPr>
      </w:pPr>
    </w:p>
    <w:p>
      <w:pPr>
        <w:ind w:left="1840" w:right="60" w:hanging="607"/>
        <w:spacing w:after="0" w:line="300" w:lineRule="auto"/>
        <w:tabs>
          <w:tab w:leader="none" w:pos="1836" w:val="left"/>
        </w:tabs>
        <w:numPr>
          <w:ilvl w:val="0"/>
          <w:numId w:val="25"/>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Time-and-Materials Contracts. </w:t>
      </w:r>
      <w:r>
        <w:rPr>
          <w:rFonts w:ascii="Arial" w:cs="Arial" w:eastAsia="Arial" w:hAnsi="Arial"/>
          <w:sz w:val="15"/>
          <w:szCs w:val="15"/>
          <w:color w:val="auto"/>
        </w:rPr>
        <w:t>Under contracts in this category, we are paid a fixed hourly rate for each direct labor hour expended, and</w:t>
      </w:r>
      <w:r>
        <w:rPr>
          <w:rFonts w:ascii="Arial" w:cs="Arial" w:eastAsia="Arial" w:hAnsi="Arial"/>
          <w:sz w:val="15"/>
          <w:szCs w:val="15"/>
          <w:i w:val="1"/>
          <w:iCs w:val="1"/>
          <w:color w:val="auto"/>
        </w:rPr>
        <w:t xml:space="preserve"> </w:t>
      </w:r>
      <w:r>
        <w:rPr>
          <w:rFonts w:ascii="Arial" w:cs="Arial" w:eastAsia="Arial" w:hAnsi="Arial"/>
          <w:sz w:val="15"/>
          <w:szCs w:val="15"/>
          <w:color w:val="auto"/>
        </w:rPr>
        <w:t>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50" w:lineRule="exact"/>
        <w:rPr>
          <w:rFonts w:ascii="Arial" w:cs="Arial" w:eastAsia="Arial" w:hAnsi="Arial"/>
          <w:sz w:val="15"/>
          <w:szCs w:val="15"/>
          <w:i w:val="1"/>
          <w:iCs w:val="1"/>
          <w:color w:val="auto"/>
        </w:rPr>
      </w:pPr>
    </w:p>
    <w:p>
      <w:pPr>
        <w:ind w:left="1840" w:right="20" w:hanging="607"/>
        <w:spacing w:after="0" w:line="278" w:lineRule="auto"/>
        <w:tabs>
          <w:tab w:leader="none" w:pos="1836"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Fixed-Price Contracts. </w:t>
      </w:r>
      <w:r>
        <w:rPr>
          <w:rFonts w:ascii="Arial" w:cs="Arial" w:eastAsia="Arial" w:hAnsi="Arial"/>
          <w:sz w:val="16"/>
          <w:szCs w:val="16"/>
          <w:color w:val="auto"/>
        </w:rPr>
        <w:t>Under a fixed-price contract, we agree to perform the specified work for a predetermined price. To the extent our</w:t>
      </w:r>
      <w:r>
        <w:rPr>
          <w:rFonts w:ascii="Arial" w:cs="Arial" w:eastAsia="Arial" w:hAnsi="Arial"/>
          <w:sz w:val="16"/>
          <w:szCs w:val="16"/>
          <w:i w:val="1"/>
          <w:iCs w:val="1"/>
          <w:color w:val="auto"/>
        </w:rPr>
        <w:t xml:space="preserve"> </w:t>
      </w:r>
      <w:r>
        <w:rPr>
          <w:rFonts w:ascii="Arial" w:cs="Arial" w:eastAsia="Arial" w:hAnsi="Arial"/>
          <w:sz w:val="16"/>
          <w:szCs w:val="16"/>
          <w:color w:val="auto"/>
        </w:rPr>
        <w:t>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firstLine="385"/>
        <w:spacing w:after="0" w:line="272"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presents the percentage of total revenue for each type of contract: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0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900" w:type="dxa"/>
            <w:vAlign w:val="bottom"/>
          </w:tcPr>
          <w:p>
            <w:pPr>
              <w:spacing w:after="0"/>
              <w:rPr>
                <w:sz w:val="14"/>
                <w:szCs w:val="14"/>
                <w:color w:val="auto"/>
              </w:rPr>
            </w:pPr>
          </w:p>
        </w:tc>
        <w:tc>
          <w:tcPr>
            <w:tcW w:w="2040" w:type="dxa"/>
            <w:vAlign w:val="bottom"/>
            <w:gridSpan w:val="3"/>
          </w:tcPr>
          <w:p>
            <w:pPr>
              <w:jc w:val="center"/>
              <w:ind w:right="812"/>
              <w:spacing w:after="0"/>
              <w:rPr>
                <w:sz w:val="20"/>
                <w:szCs w:val="20"/>
                <w:color w:val="auto"/>
              </w:rPr>
            </w:pPr>
            <w:r>
              <w:rPr>
                <w:rFonts w:ascii="Arial" w:cs="Arial" w:eastAsia="Arial" w:hAnsi="Arial"/>
                <w:sz w:val="14"/>
                <w:szCs w:val="14"/>
                <w:b w:val="1"/>
                <w:bCs w:val="1"/>
                <w:color w:val="auto"/>
                <w:w w:val="88"/>
              </w:rPr>
              <w:t>Six Months Ended</w:t>
            </w:r>
          </w:p>
        </w:tc>
      </w:tr>
      <w:tr>
        <w:trPr>
          <w:trHeight w:val="178"/>
        </w:trPr>
        <w:tc>
          <w:tcPr>
            <w:tcW w:w="5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100" w:type="dxa"/>
            <w:vAlign w:val="bottom"/>
            <w:gridSpan w:val="4"/>
          </w:tcPr>
          <w:p>
            <w:pPr>
              <w:jc w:val="center"/>
              <w:ind w:right="1060"/>
              <w:spacing w:after="0"/>
              <w:rPr>
                <w:sz w:val="20"/>
                <w:szCs w:val="20"/>
                <w:color w:val="auto"/>
              </w:rPr>
            </w:pPr>
            <w:r>
              <w:rPr>
                <w:rFonts w:ascii="Arial" w:cs="Arial" w:eastAsia="Arial" w:hAnsi="Arial"/>
                <w:sz w:val="14"/>
                <w:szCs w:val="14"/>
                <w:b w:val="1"/>
                <w:bCs w:val="1"/>
                <w:color w:val="auto"/>
                <w:w w:val="87"/>
              </w:rPr>
              <w:t>September 30,</w:t>
            </w:r>
          </w:p>
        </w:tc>
        <w:tc>
          <w:tcPr>
            <w:tcW w:w="900" w:type="dxa"/>
            <w:vAlign w:val="bottom"/>
          </w:tcPr>
          <w:p>
            <w:pPr>
              <w:spacing w:after="0"/>
              <w:rPr>
                <w:sz w:val="15"/>
                <w:szCs w:val="15"/>
                <w:color w:val="auto"/>
              </w:rPr>
            </w:pPr>
          </w:p>
        </w:tc>
        <w:tc>
          <w:tcPr>
            <w:tcW w:w="2040" w:type="dxa"/>
            <w:vAlign w:val="bottom"/>
            <w:gridSpan w:val="3"/>
          </w:tcPr>
          <w:p>
            <w:pPr>
              <w:jc w:val="center"/>
              <w:ind w:right="832"/>
              <w:spacing w:after="0"/>
              <w:rPr>
                <w:sz w:val="20"/>
                <w:szCs w:val="20"/>
                <w:color w:val="auto"/>
              </w:rPr>
            </w:pPr>
            <w:r>
              <w:rPr>
                <w:rFonts w:ascii="Arial" w:cs="Arial" w:eastAsia="Arial" w:hAnsi="Arial"/>
                <w:sz w:val="14"/>
                <w:szCs w:val="14"/>
                <w:b w:val="1"/>
                <w:bCs w:val="1"/>
                <w:color w:val="auto"/>
                <w:w w:val="85"/>
              </w:rPr>
              <w:t>September 30,</w:t>
            </w:r>
          </w:p>
        </w:tc>
      </w:tr>
      <w:tr>
        <w:trPr>
          <w:trHeight w:val="172"/>
        </w:trPr>
        <w:tc>
          <w:tcPr>
            <w:tcW w:w="524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ind w:left="401"/>
              <w:spacing w:after="0"/>
              <w:rPr>
                <w:sz w:val="20"/>
                <w:szCs w:val="20"/>
                <w:color w:val="auto"/>
              </w:rPr>
            </w:pPr>
            <w:r>
              <w:rPr>
                <w:rFonts w:ascii="Arial" w:cs="Arial" w:eastAsia="Arial" w:hAnsi="Arial"/>
                <w:sz w:val="14"/>
                <w:szCs w:val="14"/>
                <w:b w:val="1"/>
                <w:bCs w:val="1"/>
                <w:color w:val="auto"/>
                <w:w w:val="89"/>
              </w:rPr>
              <w:t>2021</w:t>
            </w:r>
          </w:p>
        </w:tc>
        <w:tc>
          <w:tcPr>
            <w:tcW w:w="4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center"/>
              <w:ind w:left="439"/>
              <w:spacing w:after="0"/>
              <w:rPr>
                <w:sz w:val="20"/>
                <w:szCs w:val="20"/>
                <w:color w:val="auto"/>
              </w:rPr>
            </w:pPr>
            <w:r>
              <w:rPr>
                <w:rFonts w:ascii="Arial" w:cs="Arial" w:eastAsia="Arial" w:hAnsi="Arial"/>
                <w:sz w:val="14"/>
                <w:szCs w:val="14"/>
                <w:b w:val="1"/>
                <w:bCs w:val="1"/>
                <w:color w:val="auto"/>
                <w:w w:val="83"/>
              </w:rPr>
              <w:t>2021</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Cost-reimbursable</w:t>
            </w:r>
          </w:p>
        </w:tc>
        <w:tc>
          <w:tcPr>
            <w:tcW w:w="960" w:type="dxa"/>
            <w:vAlign w:val="bottom"/>
            <w:shd w:val="clear" w:color="auto" w:fill="CCEEFF"/>
          </w:tcPr>
          <w:p>
            <w:pPr>
              <w:jc w:val="center"/>
              <w:ind w:left="401"/>
              <w:spacing w:after="0"/>
              <w:rPr>
                <w:sz w:val="20"/>
                <w:szCs w:val="20"/>
                <w:color w:val="auto"/>
              </w:rPr>
            </w:pPr>
            <w:r>
              <w:rPr>
                <w:rFonts w:ascii="Arial" w:cs="Arial" w:eastAsia="Arial" w:hAnsi="Arial"/>
                <w:sz w:val="17"/>
                <w:szCs w:val="17"/>
                <w:color w:val="auto"/>
                <w:w w:val="93"/>
              </w:rPr>
              <w:t>53%</w:t>
            </w:r>
          </w:p>
        </w:tc>
        <w:tc>
          <w:tcPr>
            <w:tcW w:w="2000" w:type="dxa"/>
            <w:vAlign w:val="bottom"/>
            <w:gridSpan w:val="3"/>
            <w:shd w:val="clear" w:color="auto" w:fill="CCEEFF"/>
          </w:tcPr>
          <w:p>
            <w:pPr>
              <w:jc w:val="center"/>
              <w:ind w:left="479"/>
              <w:spacing w:after="0"/>
              <w:rPr>
                <w:sz w:val="20"/>
                <w:szCs w:val="20"/>
                <w:color w:val="auto"/>
              </w:rPr>
            </w:pPr>
            <w:r>
              <w:rPr>
                <w:rFonts w:ascii="Arial" w:cs="Arial" w:eastAsia="Arial" w:hAnsi="Arial"/>
                <w:sz w:val="17"/>
                <w:szCs w:val="17"/>
                <w:color w:val="auto"/>
                <w:w w:val="93"/>
              </w:rPr>
              <w:t>56%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39"/>
              <w:spacing w:after="0"/>
              <w:rPr>
                <w:sz w:val="20"/>
                <w:szCs w:val="20"/>
                <w:color w:val="auto"/>
              </w:rPr>
            </w:pPr>
            <w:r>
              <w:rPr>
                <w:rFonts w:ascii="Arial" w:cs="Arial" w:eastAsia="Arial" w:hAnsi="Arial"/>
                <w:sz w:val="17"/>
                <w:szCs w:val="17"/>
                <w:color w:val="auto"/>
                <w:w w:val="88"/>
              </w:rPr>
              <w:t>55%</w:t>
            </w:r>
          </w:p>
        </w:tc>
        <w:tc>
          <w:tcPr>
            <w:tcW w:w="2040" w:type="dxa"/>
            <w:vAlign w:val="bottom"/>
            <w:gridSpan w:val="3"/>
            <w:shd w:val="clear" w:color="auto" w:fill="CCEEFF"/>
          </w:tcPr>
          <w:p>
            <w:pPr>
              <w:jc w:val="center"/>
              <w:ind w:left="561"/>
              <w:spacing w:after="0"/>
              <w:rPr>
                <w:sz w:val="20"/>
                <w:szCs w:val="20"/>
                <w:color w:val="auto"/>
              </w:rPr>
            </w:pPr>
            <w:r>
              <w:rPr>
                <w:rFonts w:ascii="Arial" w:cs="Arial" w:eastAsia="Arial" w:hAnsi="Arial"/>
                <w:sz w:val="17"/>
                <w:szCs w:val="17"/>
                <w:color w:val="auto"/>
                <w:w w:val="93"/>
              </w:rPr>
              <w:t>56%</w:t>
            </w:r>
          </w:p>
        </w:tc>
      </w:tr>
      <w:tr>
        <w:trPr>
          <w:trHeight w:val="217"/>
        </w:trPr>
        <w:tc>
          <w:tcPr>
            <w:tcW w:w="5240" w:type="dxa"/>
            <w:vAlign w:val="bottom"/>
          </w:tcPr>
          <w:p>
            <w:pPr>
              <w:ind w:left="20"/>
              <w:spacing w:after="0"/>
              <w:rPr>
                <w:sz w:val="20"/>
                <w:szCs w:val="20"/>
                <w:color w:val="auto"/>
              </w:rPr>
            </w:pPr>
            <w:r>
              <w:rPr>
                <w:rFonts w:ascii="Arial" w:cs="Arial" w:eastAsia="Arial" w:hAnsi="Arial"/>
                <w:sz w:val="17"/>
                <w:szCs w:val="17"/>
                <w:color w:val="auto"/>
              </w:rPr>
              <w:t>Time-and-materials</w:t>
            </w:r>
          </w:p>
        </w:tc>
        <w:tc>
          <w:tcPr>
            <w:tcW w:w="960" w:type="dxa"/>
            <w:vAlign w:val="bottom"/>
          </w:tcPr>
          <w:p>
            <w:pPr>
              <w:jc w:val="center"/>
              <w:ind w:left="401"/>
              <w:spacing w:after="0"/>
              <w:rPr>
                <w:sz w:val="20"/>
                <w:szCs w:val="20"/>
                <w:color w:val="auto"/>
              </w:rPr>
            </w:pPr>
            <w:r>
              <w:rPr>
                <w:rFonts w:ascii="Arial" w:cs="Arial" w:eastAsia="Arial" w:hAnsi="Arial"/>
                <w:sz w:val="17"/>
                <w:szCs w:val="17"/>
                <w:color w:val="auto"/>
                <w:w w:val="93"/>
              </w:rPr>
              <w:t>24%</w:t>
            </w:r>
          </w:p>
        </w:tc>
        <w:tc>
          <w:tcPr>
            <w:tcW w:w="2000" w:type="dxa"/>
            <w:vAlign w:val="bottom"/>
            <w:gridSpan w:val="3"/>
          </w:tcPr>
          <w:p>
            <w:pPr>
              <w:jc w:val="center"/>
              <w:ind w:left="479"/>
              <w:spacing w:after="0"/>
              <w:rPr>
                <w:sz w:val="20"/>
                <w:szCs w:val="20"/>
                <w:color w:val="auto"/>
              </w:rPr>
            </w:pPr>
            <w:r>
              <w:rPr>
                <w:rFonts w:ascii="Arial" w:cs="Arial" w:eastAsia="Arial" w:hAnsi="Arial"/>
                <w:sz w:val="17"/>
                <w:szCs w:val="17"/>
                <w:color w:val="auto"/>
                <w:w w:val="93"/>
              </w:rPr>
              <w:t>25%</w:t>
            </w:r>
          </w:p>
        </w:tc>
        <w:tc>
          <w:tcPr>
            <w:tcW w:w="100" w:type="dxa"/>
            <w:vAlign w:val="bottom"/>
          </w:tcPr>
          <w:p>
            <w:pPr>
              <w:spacing w:after="0"/>
              <w:rPr>
                <w:sz w:val="18"/>
                <w:szCs w:val="18"/>
                <w:color w:val="auto"/>
              </w:rPr>
            </w:pPr>
          </w:p>
        </w:tc>
        <w:tc>
          <w:tcPr>
            <w:tcW w:w="900" w:type="dxa"/>
            <w:vAlign w:val="bottom"/>
          </w:tcPr>
          <w:p>
            <w:pPr>
              <w:jc w:val="center"/>
              <w:ind w:left="439"/>
              <w:spacing w:after="0"/>
              <w:rPr>
                <w:sz w:val="20"/>
                <w:szCs w:val="20"/>
                <w:color w:val="auto"/>
              </w:rPr>
            </w:pPr>
            <w:r>
              <w:rPr>
                <w:rFonts w:ascii="Arial" w:cs="Arial" w:eastAsia="Arial" w:hAnsi="Arial"/>
                <w:sz w:val="17"/>
                <w:szCs w:val="17"/>
                <w:color w:val="auto"/>
                <w:w w:val="88"/>
              </w:rPr>
              <w:t>24%</w:t>
            </w:r>
          </w:p>
        </w:tc>
        <w:tc>
          <w:tcPr>
            <w:tcW w:w="2040" w:type="dxa"/>
            <w:vAlign w:val="bottom"/>
            <w:gridSpan w:val="3"/>
          </w:tcPr>
          <w:p>
            <w:pPr>
              <w:jc w:val="center"/>
              <w:ind w:left="561"/>
              <w:spacing w:after="0"/>
              <w:rPr>
                <w:sz w:val="20"/>
                <w:szCs w:val="20"/>
                <w:color w:val="auto"/>
              </w:rPr>
            </w:pPr>
            <w:r>
              <w:rPr>
                <w:rFonts w:ascii="Arial" w:cs="Arial" w:eastAsia="Arial" w:hAnsi="Arial"/>
                <w:sz w:val="17"/>
                <w:szCs w:val="17"/>
                <w:color w:val="auto"/>
                <w:w w:val="93"/>
              </w:rPr>
              <w:t>25%</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Fixed-price</w:t>
            </w:r>
          </w:p>
        </w:tc>
        <w:tc>
          <w:tcPr>
            <w:tcW w:w="960" w:type="dxa"/>
            <w:vAlign w:val="bottom"/>
            <w:shd w:val="clear" w:color="auto" w:fill="CCEEFF"/>
          </w:tcPr>
          <w:p>
            <w:pPr>
              <w:jc w:val="center"/>
              <w:ind w:left="401"/>
              <w:spacing w:after="0"/>
              <w:rPr>
                <w:sz w:val="20"/>
                <w:szCs w:val="20"/>
                <w:color w:val="auto"/>
              </w:rPr>
            </w:pPr>
            <w:r>
              <w:rPr>
                <w:rFonts w:ascii="Arial" w:cs="Arial" w:eastAsia="Arial" w:hAnsi="Arial"/>
                <w:sz w:val="17"/>
                <w:szCs w:val="17"/>
                <w:color w:val="auto"/>
                <w:w w:val="93"/>
              </w:rPr>
              <w:t>23%</w:t>
            </w:r>
          </w:p>
        </w:tc>
        <w:tc>
          <w:tcPr>
            <w:tcW w:w="2000" w:type="dxa"/>
            <w:vAlign w:val="bottom"/>
            <w:gridSpan w:val="3"/>
            <w:shd w:val="clear" w:color="auto" w:fill="CCEEFF"/>
          </w:tcPr>
          <w:p>
            <w:pPr>
              <w:jc w:val="center"/>
              <w:ind w:left="479"/>
              <w:spacing w:after="0"/>
              <w:rPr>
                <w:sz w:val="20"/>
                <w:szCs w:val="20"/>
                <w:color w:val="auto"/>
              </w:rPr>
            </w:pPr>
            <w:r>
              <w:rPr>
                <w:rFonts w:ascii="Arial" w:cs="Arial" w:eastAsia="Arial" w:hAnsi="Arial"/>
                <w:sz w:val="17"/>
                <w:szCs w:val="17"/>
                <w:color w:val="auto"/>
                <w:w w:val="93"/>
              </w:rPr>
              <w:t>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9"/>
              <w:spacing w:after="0"/>
              <w:rPr>
                <w:sz w:val="20"/>
                <w:szCs w:val="20"/>
                <w:color w:val="auto"/>
              </w:rPr>
            </w:pPr>
            <w:r>
              <w:rPr>
                <w:rFonts w:ascii="Arial" w:cs="Arial" w:eastAsia="Arial" w:hAnsi="Arial"/>
                <w:sz w:val="17"/>
                <w:szCs w:val="17"/>
                <w:color w:val="auto"/>
                <w:w w:val="88"/>
              </w:rPr>
              <w:t>21%</w:t>
            </w:r>
          </w:p>
        </w:tc>
        <w:tc>
          <w:tcPr>
            <w:tcW w:w="2040" w:type="dxa"/>
            <w:vAlign w:val="bottom"/>
            <w:gridSpan w:val="3"/>
            <w:shd w:val="clear" w:color="auto" w:fill="CCEEFF"/>
          </w:tcPr>
          <w:p>
            <w:pPr>
              <w:jc w:val="center"/>
              <w:ind w:left="561"/>
              <w:spacing w:after="0"/>
              <w:rPr>
                <w:sz w:val="20"/>
                <w:szCs w:val="20"/>
                <w:color w:val="auto"/>
              </w:rPr>
            </w:pPr>
            <w:r>
              <w:rPr>
                <w:rFonts w:ascii="Arial" w:cs="Arial" w:eastAsia="Arial" w:hAnsi="Arial"/>
                <w:sz w:val="17"/>
                <w:szCs w:val="17"/>
                <w:color w:val="auto"/>
                <w:w w:val="93"/>
              </w:rPr>
              <w:t>19%</w:t>
            </w:r>
          </w:p>
        </w:tc>
      </w:tr>
    </w:tbl>
    <w:p>
      <w:pPr>
        <w:spacing w:after="0" w:line="34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Contract Diversity and Revenue Mix</w:t>
      </w:r>
    </w:p>
    <w:p>
      <w:pPr>
        <w:spacing w:after="0" w:line="112" w:lineRule="exact"/>
        <w:rPr>
          <w:sz w:val="20"/>
          <w:szCs w:val="20"/>
          <w:color w:val="auto"/>
        </w:rPr>
      </w:pPr>
    </w:p>
    <w:p>
      <w:pPr>
        <w:ind w:right="60" w:firstLine="385"/>
        <w:spacing w:after="0" w:line="256" w:lineRule="auto"/>
        <w:rPr>
          <w:sz w:val="20"/>
          <w:szCs w:val="20"/>
          <w:color w:val="auto"/>
        </w:rPr>
      </w:pPr>
      <w:r>
        <w:rPr>
          <w:rFonts w:ascii="Arial" w:cs="Arial" w:eastAsia="Arial" w:hAnsi="Arial"/>
          <w:sz w:val="17"/>
          <w:szCs w:val="17"/>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82" w:lineRule="exact"/>
        <w:rPr>
          <w:sz w:val="20"/>
          <w:szCs w:val="20"/>
          <w:color w:val="auto"/>
        </w:rPr>
      </w:pPr>
    </w:p>
    <w:p>
      <w:pPr>
        <w:ind w:right="40" w:firstLine="385"/>
        <w:spacing w:after="0" w:line="278"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Our People</w:t>
      </w:r>
    </w:p>
    <w:p>
      <w:pPr>
        <w:spacing w:after="0" w:line="112" w:lineRule="exact"/>
        <w:rPr>
          <w:sz w:val="20"/>
          <w:szCs w:val="20"/>
          <w:color w:val="auto"/>
        </w:rPr>
      </w:pPr>
    </w:p>
    <w:p>
      <w:pPr>
        <w:ind w:firstLine="385"/>
        <w:spacing w:after="0" w:line="278"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September 30, 2021 and 2020, we employed approximately 29,200 and 27,600 people, respectively, of which approximately 26,100 and 24,800, respectively, were consulting staff.</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Contract Backlog</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define backlog to include the following three components:</w:t>
      </w:r>
    </w:p>
    <w:p>
      <w:pPr>
        <w:spacing w:after="0" w:line="112" w:lineRule="exact"/>
        <w:rPr>
          <w:sz w:val="20"/>
          <w:szCs w:val="20"/>
          <w:color w:val="auto"/>
        </w:rPr>
      </w:pPr>
    </w:p>
    <w:p>
      <w:pPr>
        <w:ind w:left="1240" w:right="40" w:hanging="622"/>
        <w:spacing w:after="0" w:line="277" w:lineRule="auto"/>
        <w:tabs>
          <w:tab w:leader="none" w:pos="1236"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Funded Backlog. </w:t>
      </w:r>
      <w:r>
        <w:rPr>
          <w:rFonts w:ascii="Arial" w:cs="Arial" w:eastAsia="Arial" w:hAnsi="Arial"/>
          <w:sz w:val="17"/>
          <w:szCs w:val="17"/>
          <w:color w:val="auto"/>
        </w:rPr>
        <w:t>Funded backlog represents the revenue value of orders for services under existing contracts for which funding is appropriated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authorized less revenue previously recognized on these contracts.</w:t>
      </w:r>
    </w:p>
    <w:p>
      <w:pPr>
        <w:spacing w:after="0" w:line="61" w:lineRule="exact"/>
        <w:rPr>
          <w:rFonts w:ascii="Arial" w:cs="Arial" w:eastAsia="Arial" w:hAnsi="Arial"/>
          <w:sz w:val="17"/>
          <w:szCs w:val="17"/>
          <w:i w:val="1"/>
          <w:iCs w:val="1"/>
          <w:color w:val="auto"/>
        </w:rPr>
      </w:pPr>
    </w:p>
    <w:p>
      <w:pPr>
        <w:ind w:left="1240" w:right="120" w:hanging="622"/>
        <w:spacing w:after="0" w:line="277" w:lineRule="auto"/>
        <w:tabs>
          <w:tab w:leader="none" w:pos="1236"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Unfunded Backlog. </w:t>
      </w:r>
      <w:r>
        <w:rPr>
          <w:rFonts w:ascii="Arial" w:cs="Arial" w:eastAsia="Arial" w:hAnsi="Arial"/>
          <w:sz w:val="17"/>
          <w:szCs w:val="17"/>
          <w:color w:val="auto"/>
        </w:rPr>
        <w:t>Unfunded backlog represents the revenue value of orders (including optional orders) for services under existing contracts for</w:t>
      </w:r>
      <w:r>
        <w:rPr>
          <w:rFonts w:ascii="Arial" w:cs="Arial" w:eastAsia="Arial" w:hAnsi="Arial"/>
          <w:sz w:val="17"/>
          <w:szCs w:val="17"/>
          <w:i w:val="1"/>
          <w:iCs w:val="1"/>
          <w:color w:val="auto"/>
        </w:rPr>
        <w:t xml:space="preserve"> </w:t>
      </w:r>
      <w:r>
        <w:rPr>
          <w:rFonts w:ascii="Arial" w:cs="Arial" w:eastAsia="Arial" w:hAnsi="Arial"/>
          <w:sz w:val="17"/>
          <w:szCs w:val="17"/>
          <w:color w:val="auto"/>
        </w:rPr>
        <w:t>which funding has not been appropriated or otherwise authorized.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40" w:right="320" w:hanging="622"/>
        <w:spacing w:after="0" w:line="277" w:lineRule="auto"/>
        <w:tabs>
          <w:tab w:leader="none" w:pos="1236"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 that</w:t>
      </w:r>
      <w:r>
        <w:rPr>
          <w:rFonts w:ascii="Arial" w:cs="Arial" w:eastAsia="Arial" w:hAnsi="Arial"/>
          <w:sz w:val="17"/>
          <w:szCs w:val="17"/>
          <w:i w:val="1"/>
          <w:iCs w:val="1"/>
          <w:color w:val="auto"/>
        </w:rPr>
        <w:t xml:space="preserve"> </w:t>
      </w:r>
      <w:r>
        <w:rPr>
          <w:rFonts w:ascii="Arial" w:cs="Arial" w:eastAsia="Arial" w:hAnsi="Arial"/>
          <w:sz w:val="17"/>
          <w:szCs w:val="17"/>
          <w:color w:val="auto"/>
        </w:rPr>
        <w:t>may be exercised at our clients’ option and for which funding has not been appropriated or otherwise authorized.</w:t>
      </w:r>
    </w:p>
    <w:p>
      <w:pPr>
        <w:spacing w:after="0" w:line="62" w:lineRule="exact"/>
        <w:rPr>
          <w:sz w:val="20"/>
          <w:szCs w:val="20"/>
          <w:color w:val="auto"/>
        </w:rPr>
      </w:pPr>
    </w:p>
    <w:p>
      <w:pPr>
        <w:ind w:right="40" w:firstLine="385"/>
        <w:spacing w:after="0" w:line="277" w:lineRule="auto"/>
        <w:rPr>
          <w:sz w:val="20"/>
          <w:szCs w:val="20"/>
          <w:color w:val="auto"/>
        </w:rPr>
      </w:pPr>
      <w:r>
        <w:rPr>
          <w:rFonts w:ascii="Arial" w:cs="Arial" w:eastAsia="Arial" w:hAnsi="Arial"/>
          <w:sz w:val="17"/>
          <w:szCs w:val="17"/>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value of our contract backlog at the respective dates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220" w:type="dxa"/>
            <w:vAlign w:val="bottom"/>
          </w:tcPr>
          <w:p>
            <w:pPr>
              <w:jc w:val="right"/>
              <w:ind w:right="280"/>
              <w:spacing w:after="0"/>
              <w:rPr>
                <w:sz w:val="20"/>
                <w:szCs w:val="20"/>
                <w:color w:val="auto"/>
              </w:rPr>
            </w:pPr>
            <w:r>
              <w:rPr>
                <w:rFonts w:ascii="Arial" w:cs="Arial" w:eastAsia="Arial" w:hAnsi="Arial"/>
                <w:sz w:val="14"/>
                <w:szCs w:val="14"/>
                <w:b w:val="1"/>
                <w:bCs w:val="1"/>
                <w:color w:val="auto"/>
                <w:w w:val="87"/>
              </w:rPr>
              <w:t>September 30,</w:t>
            </w:r>
          </w:p>
        </w:tc>
      </w:tr>
      <w:tr>
        <w:trPr>
          <w:trHeight w:val="178"/>
        </w:trPr>
        <w:tc>
          <w:tcPr>
            <w:tcW w:w="8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r>
      <w:tr>
        <w:trPr>
          <w:trHeight w:val="172"/>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4"/>
                <w:szCs w:val="14"/>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Backlog:</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7"/>
        </w:trPr>
        <w:tc>
          <w:tcPr>
            <w:tcW w:w="8020" w:type="dxa"/>
            <w:vAlign w:val="bottom"/>
          </w:tcPr>
          <w:p>
            <w:pPr>
              <w:ind w:left="320"/>
              <w:spacing w:after="0"/>
              <w:rPr>
                <w:sz w:val="20"/>
                <w:szCs w:val="20"/>
                <w:color w:val="auto"/>
              </w:rPr>
            </w:pPr>
            <w:r>
              <w:rPr>
                <w:rFonts w:ascii="Arial" w:cs="Arial" w:eastAsia="Arial" w:hAnsi="Arial"/>
                <w:sz w:val="17"/>
                <w:szCs w:val="17"/>
                <w:color w:val="auto"/>
              </w:rPr>
              <w:t>Funded</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4,917</w:t>
            </w:r>
          </w:p>
        </w:tc>
        <w:tc>
          <w:tcPr>
            <w:tcW w:w="100" w:type="dxa"/>
            <w:vAlign w:val="bottom"/>
          </w:tcPr>
          <w:p>
            <w:pPr>
              <w:spacing w:after="0"/>
              <w:rPr>
                <w:sz w:val="18"/>
                <w:szCs w:val="18"/>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4,482</w:t>
            </w:r>
          </w:p>
        </w:tc>
      </w:tr>
      <w:tr>
        <w:trPr>
          <w:trHeight w:val="219"/>
        </w:trPr>
        <w:tc>
          <w:tcPr>
            <w:tcW w:w="8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Unfunded</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6,159</w:t>
            </w:r>
          </w:p>
        </w:tc>
      </w:tr>
      <w:tr>
        <w:trPr>
          <w:trHeight w:val="217"/>
        </w:trPr>
        <w:tc>
          <w:tcPr>
            <w:tcW w:w="80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Priced options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13,933</w:t>
            </w:r>
          </w:p>
        </w:tc>
      </w:tr>
      <w:tr>
        <w:trPr>
          <w:trHeight w:val="236"/>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backlog</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24,574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460" w:right="280" w:hanging="457"/>
        <w:spacing w:after="0" w:line="277" w:lineRule="auto"/>
        <w:tabs>
          <w:tab w:leader="none" w:pos="3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Backlog presented as of September 30, 2021 includes backlog acquired from the Company's acquisitions made during the six months ended September 30, 2021. Total backlog acquired was approximately $2.1 billion as of September 30, 2021.</w:t>
      </w:r>
    </w:p>
    <w:p>
      <w:pPr>
        <w:spacing w:after="0" w:line="228" w:lineRule="exact"/>
        <w:rPr>
          <w:sz w:val="20"/>
          <w:szCs w:val="20"/>
          <w:color w:val="auto"/>
        </w:rPr>
      </w:pPr>
    </w:p>
    <w:p>
      <w:pPr>
        <w:ind w:right="20" w:firstLine="385"/>
        <w:spacing w:after="0" w:line="292" w:lineRule="auto"/>
        <w:rPr>
          <w:sz w:val="20"/>
          <w:szCs w:val="20"/>
          <w:color w:val="auto"/>
        </w:rPr>
      </w:pPr>
      <w:r>
        <w:rPr>
          <w:rFonts w:ascii="Arial" w:cs="Arial" w:eastAsia="Arial" w:hAnsi="Arial"/>
          <w:sz w:val="15"/>
          <w:szCs w:val="15"/>
          <w:color w:val="auto"/>
        </w:rPr>
        <w:t>Our total backlog consists of remaining performance obligations, certain orders under contracts for which the period of performance has expired, and unexercised option period and other unexercised optional orders. As of September 30, 2021 and March 31, 2021, the Company had $8.1 billion and $6.7 billion of remaining performance obligations, respectively. We expect to recognize approximately 70% of the remaining performance obligations at September 30, 2021 as revenue over the next 12 months, and approximately 85% over the next 24 months. The remainder is expected to be recognized thereafter. However, given the uncertainties discussed below, as well as the risks described in "Item 1A. Risk Factors" of our Annual Report on Form 10-K for the fiscal year ended March 31, 2021 and Part II, "Item 1A. Risk Factors" of this Quarterly Report on Form 10-Q,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55" w:lineRule="exact"/>
        <w:rPr>
          <w:sz w:val="20"/>
          <w:szCs w:val="20"/>
          <w:color w:val="auto"/>
        </w:rPr>
      </w:pPr>
    </w:p>
    <w:p>
      <w:pPr>
        <w:ind w:firstLine="385"/>
        <w:spacing w:after="0" w:line="256"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revenue growth. To the extent that we are able to hire additional consulting staff and deploy them against funded backlog, we generally recognize increased revenue. Total backlog increased by 18.0% from September 30, 2020 to September 30, 2021. Additions to funded backlog during the twelve months ended September 30, 2021 totaled $8.4 billion in comparison to $7.9 billion for the comparable period in 2020,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9" w:lineRule="exact"/>
        <w:rPr>
          <w:sz w:val="20"/>
          <w:szCs w:val="20"/>
          <w:color w:val="auto"/>
        </w:rPr>
      </w:pPr>
    </w:p>
    <w:p>
      <w:pPr>
        <w:ind w:firstLine="385"/>
        <w:spacing w:after="0" w:line="271"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that funding will not be made available; and, in the case of priced options, the risk that our clients will not exercise their options.</w:t>
      </w:r>
    </w:p>
    <w:p>
      <w:pPr>
        <w:spacing w:after="0" w:line="112" w:lineRule="exact"/>
        <w:rPr>
          <w:sz w:val="20"/>
          <w:szCs w:val="20"/>
          <w:color w:val="auto"/>
        </w:rPr>
      </w:pPr>
    </w:p>
    <w:p>
      <w:pPr>
        <w:ind w:right="60" w:firstLine="385"/>
        <w:spacing w:after="0" w:line="258" w:lineRule="auto"/>
        <w:rPr>
          <w:sz w:val="20"/>
          <w:szCs w:val="20"/>
          <w:color w:val="auto"/>
        </w:rPr>
      </w:pPr>
      <w:r>
        <w:rPr>
          <w:rFonts w:ascii="Arial" w:cs="Arial" w:eastAsia="Arial" w:hAnsi="Arial"/>
          <w:sz w:val="17"/>
          <w:szCs w:val="17"/>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5.1% of total backlog as of September 30, 2021 and any of the four preceding fiscal quarters.</w:t>
      </w:r>
    </w:p>
    <w:p>
      <w:pPr>
        <w:spacing w:after="0" w:line="77" w:lineRule="exact"/>
        <w:rPr>
          <w:sz w:val="20"/>
          <w:szCs w:val="20"/>
          <w:color w:val="auto"/>
        </w:rPr>
      </w:pPr>
    </w:p>
    <w:p>
      <w:pPr>
        <w:ind w:right="20" w:firstLine="385"/>
        <w:spacing w:after="0" w:line="288" w:lineRule="auto"/>
        <w:rPr>
          <w:sz w:val="20"/>
          <w:szCs w:val="20"/>
          <w:color w:val="auto"/>
        </w:rPr>
      </w:pPr>
      <w:r>
        <w:rPr>
          <w:rFonts w:ascii="Arial" w:cs="Arial" w:eastAsia="Arial" w:hAnsi="Arial"/>
          <w:sz w:val="16"/>
          <w:szCs w:val="16"/>
          <w:color w:val="auto"/>
        </w:rPr>
        <w:t>We expect to recognize revenue from a substantial portion of funded backlog as of September 30, 2021 within the next twelve months. However, given the uncertainties discussed above, as well as the risks described in Part I, Item 1A, of our Annual Report on Form 10-K and in Part II, Item 1A. of this Quarterly Report on Form 10-Q, we can give no assurance that we will be able to convert our backlog into revenue in any particular period, if at all.</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Operating Costs and Expenses</w:t>
      </w:r>
    </w:p>
    <w:p>
      <w:pPr>
        <w:spacing w:after="0" w:line="112" w:lineRule="exact"/>
        <w:rPr>
          <w:sz w:val="20"/>
          <w:szCs w:val="20"/>
          <w:color w:val="auto"/>
        </w:rPr>
      </w:pPr>
    </w:p>
    <w:p>
      <w:pPr>
        <w:ind w:firstLine="385"/>
        <w:spacing w:after="0" w:line="288" w:lineRule="auto"/>
        <w:rPr>
          <w:sz w:val="20"/>
          <w:szCs w:val="20"/>
          <w:color w:val="auto"/>
        </w:rPr>
      </w:pPr>
      <w:r>
        <w:rPr>
          <w:rFonts w:ascii="Arial" w:cs="Arial" w:eastAsia="Arial" w:hAnsi="Arial"/>
          <w:sz w:val="16"/>
          <w:szCs w:val="16"/>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most significant operating costs and expenses are described below.</w:t>
      </w:r>
    </w:p>
    <w:p>
      <w:pPr>
        <w:spacing w:after="0" w:line="112" w:lineRule="exact"/>
        <w:rPr>
          <w:sz w:val="20"/>
          <w:szCs w:val="20"/>
          <w:color w:val="auto"/>
        </w:rPr>
      </w:pPr>
    </w:p>
    <w:p>
      <w:pPr>
        <w:ind w:left="1240" w:right="260" w:hanging="622"/>
        <w:spacing w:after="0" w:line="277" w:lineRule="auto"/>
        <w:tabs>
          <w:tab w:leader="none" w:pos="1236"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Cost of revenue includes direct labor, related employee benefits, and overhead. Overhead consists of indirect costs,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 labor relating to infrastructure, management and administration, and other expenses.</w:t>
      </w:r>
    </w:p>
    <w:p>
      <w:pPr>
        <w:spacing w:after="0" w:line="61" w:lineRule="exact"/>
        <w:rPr>
          <w:rFonts w:ascii="Arial" w:cs="Arial" w:eastAsia="Arial" w:hAnsi="Arial"/>
          <w:sz w:val="17"/>
          <w:szCs w:val="17"/>
          <w:color w:val="auto"/>
        </w:rPr>
      </w:pPr>
    </w:p>
    <w:p>
      <w:pPr>
        <w:ind w:left="1220" w:hanging="602"/>
        <w:spacing w:after="0"/>
        <w:tabs>
          <w:tab w:leader="none" w:pos="122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 xml:space="preserve">Billable Expenses. </w:t>
      </w:r>
      <w:r>
        <w:rPr>
          <w:rFonts w:ascii="Arial" w:cs="Arial" w:eastAsia="Arial" w:hAnsi="Arial"/>
          <w:sz w:val="15"/>
          <w:szCs w:val="15"/>
          <w:color w:val="auto"/>
        </w:rPr>
        <w:t>Billable expenses include direct subcontractor expenses, travel expenses, and other expenses incurred to perform on contracts.</w:t>
      </w:r>
    </w:p>
    <w:p>
      <w:pPr>
        <w:spacing w:after="0" w:line="135" w:lineRule="exact"/>
        <w:rPr>
          <w:rFonts w:ascii="Arial" w:cs="Arial" w:eastAsia="Arial" w:hAnsi="Arial"/>
          <w:sz w:val="15"/>
          <w:szCs w:val="15"/>
          <w:color w:val="auto"/>
        </w:rPr>
      </w:pPr>
    </w:p>
    <w:p>
      <w:pPr>
        <w:ind w:left="1240" w:right="560" w:hanging="622"/>
        <w:spacing w:after="0" w:line="277" w:lineRule="auto"/>
        <w:tabs>
          <w:tab w:leader="none" w:pos="1236"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include indirect labor of executive management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functions, marketing and bid and proposal costs, and other discretionary spending.</w:t>
      </w:r>
    </w:p>
    <w:p>
      <w:pPr>
        <w:spacing w:after="0" w:line="61" w:lineRule="exact"/>
        <w:rPr>
          <w:rFonts w:ascii="Arial" w:cs="Arial" w:eastAsia="Arial" w:hAnsi="Arial"/>
          <w:sz w:val="17"/>
          <w:szCs w:val="17"/>
          <w:color w:val="auto"/>
        </w:rPr>
      </w:pPr>
    </w:p>
    <w:p>
      <w:pPr>
        <w:ind w:left="1240" w:right="160" w:hanging="622"/>
        <w:spacing w:after="0" w:line="264" w:lineRule="auto"/>
        <w:tabs>
          <w:tab w:leader="none" w:pos="1236"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includes the depreciation of computers, leasehold improvements, furniture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Seasonality</w:t>
      </w:r>
    </w:p>
    <w:p>
      <w:pPr>
        <w:spacing w:after="0" w:line="112" w:lineRule="exact"/>
        <w:rPr>
          <w:sz w:val="20"/>
          <w:szCs w:val="20"/>
          <w:color w:val="auto"/>
        </w:rPr>
      </w:pPr>
    </w:p>
    <w:p>
      <w:pPr>
        <w:ind w:right="80" w:firstLine="385"/>
        <w:spacing w:after="0" w:line="295" w:lineRule="auto"/>
        <w:rPr>
          <w:sz w:val="20"/>
          <w:szCs w:val="20"/>
          <w:color w:val="auto"/>
        </w:rPr>
      </w:pPr>
      <w:r>
        <w:rPr>
          <w:rFonts w:ascii="Arial" w:cs="Arial" w:eastAsia="Arial" w:hAnsi="Arial"/>
          <w:sz w:val="15"/>
          <w:szCs w:val="15"/>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 Seasonality is just one of a number of factors, many of which are outside of our control, which may affect our results in any period.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 and Policies</w:t>
      </w:r>
    </w:p>
    <w:p>
      <w:pPr>
        <w:spacing w:after="0" w:line="116" w:lineRule="exact"/>
        <w:rPr>
          <w:sz w:val="20"/>
          <w:szCs w:val="20"/>
          <w:color w:val="auto"/>
        </w:rPr>
      </w:pPr>
    </w:p>
    <w:p>
      <w:pPr>
        <w:ind w:right="80" w:firstLine="385"/>
        <w:spacing w:after="0" w:line="288" w:lineRule="auto"/>
        <w:rPr>
          <w:sz w:val="20"/>
          <w:szCs w:val="20"/>
          <w:color w:val="auto"/>
        </w:rPr>
      </w:pPr>
      <w:r>
        <w:rPr>
          <w:rFonts w:ascii="Arial" w:cs="Arial" w:eastAsia="Arial" w:hAnsi="Arial"/>
          <w:sz w:val="16"/>
          <w:szCs w:val="16"/>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2021. There were no other material changes to our critical accounting policies, estimates or judgments that occurred in the quarterly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6" w:lineRule="exact"/>
        <w:rPr>
          <w:sz w:val="20"/>
          <w:szCs w:val="20"/>
          <w:color w:val="auto"/>
        </w:rPr>
      </w:pPr>
    </w:p>
    <w:p>
      <w:pPr>
        <w:ind w:right="360" w:firstLine="385"/>
        <w:spacing w:after="0" w:line="264" w:lineRule="auto"/>
        <w:rPr>
          <w:sz w:val="20"/>
          <w:szCs w:val="20"/>
          <w:color w:val="auto"/>
        </w:rPr>
      </w:pPr>
      <w:r>
        <w:rPr>
          <w:rFonts w:ascii="Arial" w:cs="Arial" w:eastAsia="Arial" w:hAnsi="Arial"/>
          <w:sz w:val="17"/>
          <w:szCs w:val="17"/>
          <w:color w:val="auto"/>
        </w:rPr>
        <w:t>The following table sets forth items from our condensed consolidated statements of operations for the periods indicated. Significant trends and changes are discussed within each section for the three and six months ended September 30, 2021. Trends and changes that are consistent for both the three and six month periods are discussed on a six-month period basis only.</w:t>
      </w:r>
    </w:p>
    <w:p>
      <w:pPr>
        <w:spacing w:after="0" w:line="399"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780" w:type="dxa"/>
            <w:vAlign w:val="bottom"/>
            <w:tcBorders>
              <w:right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tcBorders>
              <w:right w:val="single" w:sz="8" w:color="auto"/>
            </w:tcBorders>
            <w:gridSpan w:val="5"/>
          </w:tcPr>
          <w:p>
            <w:pPr>
              <w:jc w:val="right"/>
              <w:ind w:right="857"/>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100" w:type="dxa"/>
            <w:vAlign w:val="bottom"/>
            <w:vMerge w:val="restart"/>
          </w:tcPr>
          <w:p>
            <w:pPr>
              <w:ind w:left="620"/>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right"/>
              <w:ind w:right="200"/>
              <w:spacing w:after="0"/>
              <w:rPr>
                <w:sz w:val="20"/>
                <w:szCs w:val="20"/>
                <w:color w:val="auto"/>
              </w:rPr>
            </w:pPr>
            <w:r>
              <w:rPr>
                <w:rFonts w:ascii="Arial" w:cs="Arial" w:eastAsia="Arial" w:hAnsi="Arial"/>
                <w:sz w:val="14"/>
                <w:szCs w:val="14"/>
                <w:b w:val="1"/>
                <w:bCs w:val="1"/>
                <w:color w:val="auto"/>
                <w:w w:val="97"/>
              </w:rPr>
              <w:t>(Unaudited)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right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5"/>
              </w:rPr>
              <w:t>(Unaudited)</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ind w:right="18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right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2"/>
              </w:rPr>
              <w:t>(Unaudited)</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5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2,106,038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2,019,185</w:t>
            </w:r>
          </w:p>
        </w:tc>
        <w:tc>
          <w:tcPr>
            <w:tcW w:w="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4,095,104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3,975,638</w:t>
            </w:r>
          </w:p>
        </w:tc>
        <w:tc>
          <w:tcPr>
            <w:tcW w:w="60" w:type="dxa"/>
            <w:vAlign w:val="bottom"/>
            <w:shd w:val="clear" w:color="auto" w:fill="CCEEFF"/>
          </w:tcPr>
          <w:p>
            <w:pPr>
              <w:spacing w:after="0"/>
              <w:rPr>
                <w:sz w:val="19"/>
                <w:szCs w:val="19"/>
                <w:color w:val="auto"/>
              </w:rPr>
            </w:pPr>
          </w:p>
        </w:tc>
        <w:tc>
          <w:tcPr>
            <w:tcW w:w="1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3.0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7"/>
        </w:trPr>
        <w:tc>
          <w:tcPr>
            <w:tcW w:w="1500" w:type="dxa"/>
            <w:vAlign w:val="bottom"/>
          </w:tcPr>
          <w:p>
            <w:pPr>
              <w:ind w:left="400"/>
              <w:spacing w:after="0" w:line="167" w:lineRule="exact"/>
              <w:rPr>
                <w:sz w:val="20"/>
                <w:szCs w:val="20"/>
                <w:color w:val="auto"/>
              </w:rPr>
            </w:pPr>
            <w:r>
              <w:rPr>
                <w:rFonts w:ascii="Arial" w:cs="Arial" w:eastAsia="Arial" w:hAnsi="Arial"/>
                <w:sz w:val="17"/>
                <w:szCs w:val="17"/>
                <w:color w:val="auto"/>
                <w:w w:val="90"/>
              </w:rPr>
              <w:t>Operating costs</w:t>
            </w: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00" w:type="dxa"/>
            <w:vAlign w:val="bottom"/>
          </w:tcPr>
          <w:p>
            <w:pPr>
              <w:ind w:left="20"/>
              <w:spacing w:after="0"/>
              <w:rPr>
                <w:sz w:val="20"/>
                <w:szCs w:val="20"/>
                <w:color w:val="auto"/>
              </w:rPr>
            </w:pPr>
            <w:r>
              <w:rPr>
                <w:rFonts w:ascii="Arial" w:cs="Arial" w:eastAsia="Arial" w:hAnsi="Arial"/>
                <w:sz w:val="17"/>
                <w:szCs w:val="17"/>
                <w:color w:val="auto"/>
              </w:rPr>
              <w:t>and expenses:</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00" w:type="dxa"/>
            <w:vAlign w:val="bottom"/>
            <w:shd w:val="clear" w:color="auto" w:fill="CCEEFF"/>
          </w:tcPr>
          <w:p>
            <w:pPr>
              <w:ind w:left="600"/>
              <w:spacing w:after="0" w:line="167" w:lineRule="exact"/>
              <w:rPr>
                <w:sz w:val="20"/>
                <w:szCs w:val="20"/>
                <w:color w:val="auto"/>
              </w:rPr>
            </w:pPr>
            <w:r>
              <w:rPr>
                <w:rFonts w:ascii="Arial" w:cs="Arial" w:eastAsia="Arial" w:hAnsi="Arial"/>
                <w:sz w:val="17"/>
                <w:szCs w:val="17"/>
                <w:color w:val="auto"/>
              </w:rPr>
              <w:t>Cost of</w:t>
            </w:r>
          </w:p>
        </w:tc>
        <w:tc>
          <w:tcPr>
            <w:tcW w:w="5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947,689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942,597</w:t>
            </w:r>
          </w:p>
        </w:tc>
        <w:tc>
          <w:tcPr>
            <w:tcW w:w="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17"/>
              <w:spacing w:after="0"/>
              <w:rPr>
                <w:sz w:val="20"/>
                <w:szCs w:val="20"/>
                <w:color w:val="auto"/>
              </w:rPr>
            </w:pPr>
            <w:r>
              <w:rPr>
                <w:rFonts w:ascii="Arial" w:cs="Arial" w:eastAsia="Arial" w:hAnsi="Arial"/>
                <w:sz w:val="17"/>
                <w:szCs w:val="17"/>
                <w:color w:val="auto"/>
              </w:rPr>
              <w:t>0.5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1,910,408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1,891,499</w:t>
            </w:r>
          </w:p>
        </w:tc>
        <w:tc>
          <w:tcPr>
            <w:tcW w:w="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480"/>
              <w:spacing w:after="0"/>
              <w:rPr>
                <w:sz w:val="20"/>
                <w:szCs w:val="20"/>
                <w:color w:val="auto"/>
              </w:rPr>
            </w:pPr>
            <w:r>
              <w:rPr>
                <w:rFonts w:ascii="Arial" w:cs="Arial" w:eastAsia="Arial" w:hAnsi="Arial"/>
                <w:sz w:val="17"/>
                <w:szCs w:val="17"/>
                <w:color w:val="auto"/>
              </w:rPr>
              <w:t>1.0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w:t>
            </w:r>
          </w:p>
        </w:tc>
        <w:tc>
          <w:tcPr>
            <w:tcW w:w="5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600"/>
              <w:spacing w:after="0" w:line="167" w:lineRule="exact"/>
              <w:rPr>
                <w:sz w:val="20"/>
                <w:szCs w:val="20"/>
                <w:color w:val="auto"/>
              </w:rPr>
            </w:pPr>
            <w:r>
              <w:rPr>
                <w:rFonts w:ascii="Arial" w:cs="Arial" w:eastAsia="Arial" w:hAnsi="Arial"/>
                <w:sz w:val="17"/>
                <w:szCs w:val="17"/>
                <w:color w:val="auto"/>
              </w:rPr>
              <w:t>Billable</w:t>
            </w:r>
          </w:p>
        </w:tc>
        <w:tc>
          <w:tcPr>
            <w:tcW w:w="5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640,120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603,652</w:t>
            </w:r>
          </w:p>
        </w:tc>
        <w:tc>
          <w:tcPr>
            <w:tcW w:w="60" w:type="dxa"/>
            <w:vAlign w:val="bottom"/>
          </w:tcPr>
          <w:p>
            <w:pPr>
              <w:spacing w:after="0"/>
              <w:rPr>
                <w:sz w:val="14"/>
                <w:szCs w:val="14"/>
                <w:color w:val="auto"/>
              </w:rPr>
            </w:pPr>
          </w:p>
        </w:tc>
        <w:tc>
          <w:tcPr>
            <w:tcW w:w="1080" w:type="dxa"/>
            <w:vAlign w:val="bottom"/>
            <w:vMerge w:val="restart"/>
          </w:tcPr>
          <w:p>
            <w:pPr>
              <w:jc w:val="right"/>
              <w:ind w:right="317"/>
              <w:spacing w:after="0"/>
              <w:rPr>
                <w:sz w:val="20"/>
                <w:szCs w:val="20"/>
                <w:color w:val="auto"/>
              </w:rPr>
            </w:pPr>
            <w:r>
              <w:rPr>
                <w:rFonts w:ascii="Arial" w:cs="Arial" w:eastAsia="Arial" w:hAnsi="Arial"/>
                <w:sz w:val="17"/>
                <w:szCs w:val="17"/>
                <w:color w:val="auto"/>
              </w:rPr>
              <w:t>6.0</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1,195,665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1,152,729</w:t>
            </w:r>
          </w:p>
        </w:tc>
        <w:tc>
          <w:tcPr>
            <w:tcW w:w="60" w:type="dxa"/>
            <w:vAlign w:val="bottom"/>
          </w:tcPr>
          <w:p>
            <w:pPr>
              <w:spacing w:after="0"/>
              <w:rPr>
                <w:sz w:val="14"/>
                <w:szCs w:val="14"/>
                <w:color w:val="auto"/>
              </w:rPr>
            </w:pPr>
          </w:p>
        </w:tc>
        <w:tc>
          <w:tcPr>
            <w:tcW w:w="1100" w:type="dxa"/>
            <w:vAlign w:val="bottom"/>
            <w:vMerge w:val="restart"/>
          </w:tcPr>
          <w:p>
            <w:pPr>
              <w:ind w:left="480"/>
              <w:spacing w:after="0"/>
              <w:rPr>
                <w:sz w:val="20"/>
                <w:szCs w:val="20"/>
                <w:color w:val="auto"/>
              </w:rPr>
            </w:pPr>
            <w:r>
              <w:rPr>
                <w:rFonts w:ascii="Arial" w:cs="Arial" w:eastAsia="Arial" w:hAnsi="Arial"/>
                <w:sz w:val="17"/>
                <w:szCs w:val="17"/>
                <w:color w:val="auto"/>
              </w:rPr>
              <w:t>3.7</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500" w:type="dxa"/>
            <w:vAlign w:val="bottom"/>
          </w:tcPr>
          <w:p>
            <w:pPr>
              <w:ind w:left="220"/>
              <w:spacing w:after="0"/>
              <w:rPr>
                <w:sz w:val="20"/>
                <w:szCs w:val="20"/>
                <w:color w:val="auto"/>
              </w:rPr>
            </w:pPr>
            <w:r>
              <w:rPr>
                <w:rFonts w:ascii="Arial" w:cs="Arial" w:eastAsia="Arial" w:hAnsi="Arial"/>
                <w:sz w:val="17"/>
                <w:szCs w:val="17"/>
                <w:color w:val="auto"/>
              </w:rPr>
              <w:t>expenses</w:t>
            </w:r>
          </w:p>
        </w:tc>
        <w:tc>
          <w:tcPr>
            <w:tcW w:w="5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00" w:type="dxa"/>
            <w:vAlign w:val="bottom"/>
            <w:shd w:val="clear" w:color="auto" w:fill="CCEEFF"/>
          </w:tcPr>
          <w:p>
            <w:pPr>
              <w:ind w:left="600"/>
              <w:spacing w:after="0" w:line="167" w:lineRule="exact"/>
              <w:rPr>
                <w:sz w:val="20"/>
                <w:szCs w:val="20"/>
                <w:color w:val="auto"/>
              </w:rPr>
            </w:pPr>
            <w:r>
              <w:rPr>
                <w:rFonts w:ascii="Arial" w:cs="Arial" w:eastAsia="Arial" w:hAnsi="Arial"/>
                <w:sz w:val="17"/>
                <w:szCs w:val="17"/>
                <w:color w:val="auto"/>
                <w:w w:val="94"/>
              </w:rPr>
              <w:t>General and</w:t>
            </w: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color w:val="auto"/>
              </w:rPr>
              <w:t>administrative</w:t>
            </w:r>
          </w:p>
        </w:tc>
        <w:tc>
          <w:tcPr>
            <w:tcW w:w="5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262,260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244,700</w:t>
            </w:r>
          </w:p>
        </w:tc>
        <w:tc>
          <w:tcPr>
            <w:tcW w:w="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17"/>
              <w:spacing w:after="0"/>
              <w:rPr>
                <w:sz w:val="20"/>
                <w:szCs w:val="20"/>
                <w:color w:val="auto"/>
              </w:rPr>
            </w:pPr>
            <w:r>
              <w:rPr>
                <w:rFonts w:ascii="Arial" w:cs="Arial" w:eastAsia="Arial" w:hAnsi="Arial"/>
                <w:sz w:val="17"/>
                <w:szCs w:val="17"/>
                <w:color w:val="auto"/>
              </w:rPr>
              <w:t>7.2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564,060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490,555</w:t>
            </w:r>
          </w:p>
        </w:tc>
        <w:tc>
          <w:tcPr>
            <w:tcW w:w="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400"/>
              <w:spacing w:after="0"/>
              <w:rPr>
                <w:sz w:val="20"/>
                <w:szCs w:val="20"/>
                <w:color w:val="auto"/>
              </w:rPr>
            </w:pPr>
            <w:r>
              <w:rPr>
                <w:rFonts w:ascii="Arial" w:cs="Arial" w:eastAsia="Arial" w:hAnsi="Arial"/>
                <w:sz w:val="17"/>
                <w:szCs w:val="17"/>
                <w:color w:val="auto"/>
              </w:rPr>
              <w:t>15.0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expenses</w:t>
            </w:r>
          </w:p>
        </w:tc>
        <w:tc>
          <w:tcPr>
            <w:tcW w:w="5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600"/>
              <w:spacing w:after="0" w:line="167" w:lineRule="exact"/>
              <w:rPr>
                <w:sz w:val="20"/>
                <w:szCs w:val="20"/>
                <w:color w:val="auto"/>
              </w:rPr>
            </w:pPr>
            <w:r>
              <w:rPr>
                <w:rFonts w:ascii="Arial" w:cs="Arial" w:eastAsia="Arial" w:hAnsi="Arial"/>
                <w:sz w:val="17"/>
                <w:szCs w:val="17"/>
                <w:color w:val="auto"/>
                <w:w w:val="92"/>
              </w:rPr>
              <w:t>Depreciation</w:t>
            </w:r>
          </w:p>
        </w:tc>
        <w:tc>
          <w:tcPr>
            <w:tcW w:w="5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37,602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21,015</w:t>
            </w:r>
          </w:p>
        </w:tc>
        <w:tc>
          <w:tcPr>
            <w:tcW w:w="60" w:type="dxa"/>
            <w:vAlign w:val="bottom"/>
          </w:tcPr>
          <w:p>
            <w:pPr>
              <w:spacing w:after="0"/>
              <w:rPr>
                <w:sz w:val="14"/>
                <w:szCs w:val="14"/>
                <w:color w:val="auto"/>
              </w:rPr>
            </w:pPr>
          </w:p>
        </w:tc>
        <w:tc>
          <w:tcPr>
            <w:tcW w:w="1080" w:type="dxa"/>
            <w:vAlign w:val="bottom"/>
            <w:vMerge w:val="restart"/>
          </w:tcPr>
          <w:p>
            <w:pPr>
              <w:jc w:val="right"/>
              <w:ind w:right="297"/>
              <w:spacing w:after="0"/>
              <w:rPr>
                <w:sz w:val="20"/>
                <w:szCs w:val="20"/>
                <w:color w:val="auto"/>
              </w:rPr>
            </w:pPr>
            <w:r>
              <w:rPr>
                <w:rFonts w:ascii="Arial" w:cs="Arial" w:eastAsia="Arial" w:hAnsi="Arial"/>
                <w:sz w:val="17"/>
                <w:szCs w:val="17"/>
                <w:color w:val="auto"/>
              </w:rPr>
              <w:t>78.9</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65,347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41,747</w:t>
            </w:r>
          </w:p>
        </w:tc>
        <w:tc>
          <w:tcPr>
            <w:tcW w:w="60" w:type="dxa"/>
            <w:vAlign w:val="bottom"/>
          </w:tcPr>
          <w:p>
            <w:pPr>
              <w:spacing w:after="0"/>
              <w:rPr>
                <w:sz w:val="14"/>
                <w:szCs w:val="14"/>
                <w:color w:val="auto"/>
              </w:rPr>
            </w:pPr>
          </w:p>
        </w:tc>
        <w:tc>
          <w:tcPr>
            <w:tcW w:w="1100" w:type="dxa"/>
            <w:vAlign w:val="bottom"/>
            <w:vMerge w:val="restart"/>
          </w:tcPr>
          <w:p>
            <w:pPr>
              <w:ind w:left="400"/>
              <w:spacing w:after="0"/>
              <w:rPr>
                <w:sz w:val="20"/>
                <w:szCs w:val="20"/>
                <w:color w:val="auto"/>
              </w:rPr>
            </w:pPr>
            <w:r>
              <w:rPr>
                <w:rFonts w:ascii="Arial" w:cs="Arial" w:eastAsia="Arial" w:hAnsi="Arial"/>
                <w:sz w:val="17"/>
                <w:szCs w:val="17"/>
                <w:color w:val="auto"/>
              </w:rPr>
              <w:t>56.5</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5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and amortization</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840"/>
              <w:spacing w:after="0" w:line="148" w:lineRule="exact"/>
              <w:rPr>
                <w:sz w:val="20"/>
                <w:szCs w:val="20"/>
                <w:color w:val="auto"/>
              </w:rPr>
            </w:pPr>
            <w:r>
              <w:rPr>
                <w:rFonts w:ascii="Arial" w:cs="Arial" w:eastAsia="Arial" w:hAnsi="Arial"/>
                <w:sz w:val="17"/>
                <w:szCs w:val="17"/>
                <w:color w:val="auto"/>
              </w:rPr>
              <w:t>Total</w:t>
            </w:r>
          </w:p>
        </w:tc>
        <w:tc>
          <w:tcPr>
            <w:tcW w:w="5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440"/>
              <w:spacing w:after="0" w:line="167" w:lineRule="exact"/>
              <w:rPr>
                <w:sz w:val="20"/>
                <w:szCs w:val="20"/>
                <w:color w:val="auto"/>
              </w:rPr>
            </w:pPr>
            <w:r>
              <w:rPr>
                <w:rFonts w:ascii="Arial" w:cs="Arial" w:eastAsia="Arial" w:hAnsi="Arial"/>
                <w:sz w:val="17"/>
                <w:szCs w:val="17"/>
                <w:color w:val="auto"/>
                <w:w w:val="90"/>
              </w:rPr>
              <w:t>operating costs</w:t>
            </w:r>
          </w:p>
        </w:tc>
        <w:tc>
          <w:tcPr>
            <w:tcW w:w="5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1,887,671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1,811,964</w:t>
            </w:r>
          </w:p>
        </w:tc>
        <w:tc>
          <w:tcPr>
            <w:tcW w:w="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317"/>
              <w:spacing w:after="0"/>
              <w:rPr>
                <w:sz w:val="20"/>
                <w:szCs w:val="20"/>
                <w:color w:val="auto"/>
              </w:rPr>
            </w:pPr>
            <w:r>
              <w:rPr>
                <w:rFonts w:ascii="Arial" w:cs="Arial" w:eastAsia="Arial" w:hAnsi="Arial"/>
                <w:sz w:val="17"/>
                <w:szCs w:val="17"/>
                <w:color w:val="auto"/>
              </w:rPr>
              <w:t>4.2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3,735,480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3,576,530</w:t>
            </w:r>
          </w:p>
        </w:tc>
        <w:tc>
          <w:tcPr>
            <w:tcW w:w="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480"/>
              <w:spacing w:after="0"/>
              <w:rPr>
                <w:sz w:val="20"/>
                <w:szCs w:val="20"/>
                <w:color w:val="auto"/>
              </w:rPr>
            </w:pPr>
            <w:r>
              <w:rPr>
                <w:rFonts w:ascii="Arial" w:cs="Arial" w:eastAsia="Arial" w:hAnsi="Arial"/>
                <w:sz w:val="17"/>
                <w:szCs w:val="17"/>
                <w:color w:val="auto"/>
              </w:rPr>
              <w:t>4.4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50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8"/>
              </w:rPr>
              <w:t>and expenses</w:t>
            </w: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1500" w:type="dxa"/>
            <w:vAlign w:val="bottom"/>
          </w:tcPr>
          <w:p>
            <w:pPr>
              <w:ind w:left="400"/>
              <w:spacing w:after="0" w:line="147" w:lineRule="exact"/>
              <w:rPr>
                <w:sz w:val="20"/>
                <w:szCs w:val="20"/>
                <w:color w:val="auto"/>
              </w:rPr>
            </w:pPr>
            <w:r>
              <w:rPr>
                <w:rFonts w:ascii="Arial" w:cs="Arial" w:eastAsia="Arial" w:hAnsi="Arial"/>
                <w:sz w:val="17"/>
                <w:szCs w:val="17"/>
                <w:color w:val="auto"/>
              </w:rPr>
              <w:t>Operating</w:t>
            </w:r>
          </w:p>
        </w:tc>
        <w:tc>
          <w:tcPr>
            <w:tcW w:w="5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218,367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207,221</w:t>
            </w:r>
          </w:p>
        </w:tc>
        <w:tc>
          <w:tcPr>
            <w:tcW w:w="60" w:type="dxa"/>
            <w:vAlign w:val="bottom"/>
          </w:tcPr>
          <w:p>
            <w:pPr>
              <w:spacing w:after="0"/>
              <w:rPr>
                <w:sz w:val="12"/>
                <w:szCs w:val="12"/>
                <w:color w:val="auto"/>
              </w:rPr>
            </w:pPr>
          </w:p>
        </w:tc>
        <w:tc>
          <w:tcPr>
            <w:tcW w:w="1080" w:type="dxa"/>
            <w:vAlign w:val="bottom"/>
            <w:vMerge w:val="restart"/>
          </w:tcPr>
          <w:p>
            <w:pPr>
              <w:jc w:val="right"/>
              <w:ind w:right="317"/>
              <w:spacing w:after="0"/>
              <w:rPr>
                <w:sz w:val="20"/>
                <w:szCs w:val="20"/>
                <w:color w:val="auto"/>
              </w:rPr>
            </w:pPr>
            <w:r>
              <w:rPr>
                <w:rFonts w:ascii="Arial" w:cs="Arial" w:eastAsia="Arial" w:hAnsi="Arial"/>
                <w:sz w:val="17"/>
                <w:szCs w:val="17"/>
                <w:color w:val="auto"/>
              </w:rPr>
              <w:t>5.4</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359,624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399,108</w:t>
            </w:r>
          </w:p>
        </w:tc>
        <w:tc>
          <w:tcPr>
            <w:tcW w:w="60" w:type="dxa"/>
            <w:vAlign w:val="bottom"/>
          </w:tcPr>
          <w:p>
            <w:pPr>
              <w:spacing w:after="0"/>
              <w:rPr>
                <w:sz w:val="12"/>
                <w:szCs w:val="12"/>
                <w:color w:val="auto"/>
              </w:rPr>
            </w:pPr>
          </w:p>
        </w:tc>
        <w:tc>
          <w:tcPr>
            <w:tcW w:w="1100" w:type="dxa"/>
            <w:vAlign w:val="bottom"/>
            <w:vMerge w:val="restart"/>
          </w:tcPr>
          <w:p>
            <w:pPr>
              <w:ind w:left="400"/>
              <w:spacing w:after="0"/>
              <w:rPr>
                <w:sz w:val="20"/>
                <w:szCs w:val="20"/>
                <w:color w:val="auto"/>
              </w:rPr>
            </w:pPr>
            <w:r>
              <w:rPr>
                <w:rFonts w:ascii="Arial" w:cs="Arial" w:eastAsia="Arial" w:hAnsi="Arial"/>
                <w:sz w:val="17"/>
                <w:szCs w:val="17"/>
                <w:color w:val="auto"/>
              </w:rPr>
              <w:t>(9.9)</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500" w:type="dxa"/>
            <w:vAlign w:val="bottom"/>
          </w:tcPr>
          <w:p>
            <w:pPr>
              <w:ind w:left="20"/>
              <w:spacing w:after="0"/>
              <w:rPr>
                <w:sz w:val="20"/>
                <w:szCs w:val="20"/>
                <w:color w:val="auto"/>
              </w:rPr>
            </w:pPr>
            <w:r>
              <w:rPr>
                <w:rFonts w:ascii="Arial" w:cs="Arial" w:eastAsia="Arial" w:hAnsi="Arial"/>
                <w:sz w:val="17"/>
                <w:szCs w:val="17"/>
                <w:color w:val="auto"/>
              </w:rPr>
              <w:t>income</w:t>
            </w:r>
          </w:p>
        </w:tc>
        <w:tc>
          <w:tcPr>
            <w:tcW w:w="5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00" w:type="dxa"/>
            <w:vAlign w:val="bottom"/>
            <w:shd w:val="clear" w:color="auto" w:fill="CCEEFF"/>
          </w:tcPr>
          <w:p>
            <w:pPr>
              <w:ind w:left="400"/>
              <w:spacing w:after="0" w:line="167" w:lineRule="exact"/>
              <w:rPr>
                <w:sz w:val="20"/>
                <w:szCs w:val="20"/>
                <w:color w:val="auto"/>
              </w:rPr>
            </w:pPr>
            <w:r>
              <w:rPr>
                <w:rFonts w:ascii="Arial" w:cs="Arial" w:eastAsia="Arial" w:hAnsi="Arial"/>
                <w:sz w:val="17"/>
                <w:szCs w:val="17"/>
                <w:color w:val="auto"/>
              </w:rPr>
              <w:t>Interest</w:t>
            </w:r>
          </w:p>
        </w:tc>
        <w:tc>
          <w:tcPr>
            <w:tcW w:w="5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(24,254)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(19,787)</w:t>
            </w:r>
          </w:p>
        </w:tc>
        <w:tc>
          <w:tcPr>
            <w:tcW w:w="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297"/>
              <w:spacing w:after="0"/>
              <w:rPr>
                <w:sz w:val="20"/>
                <w:szCs w:val="20"/>
                <w:color w:val="auto"/>
              </w:rPr>
            </w:pPr>
            <w:r>
              <w:rPr>
                <w:rFonts w:ascii="Arial" w:cs="Arial" w:eastAsia="Arial" w:hAnsi="Arial"/>
                <w:sz w:val="17"/>
                <w:szCs w:val="17"/>
                <w:color w:val="auto"/>
              </w:rPr>
              <w:t>22.6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(45,524)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(40,022)</w:t>
            </w:r>
          </w:p>
        </w:tc>
        <w:tc>
          <w:tcPr>
            <w:tcW w:w="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400"/>
              <w:spacing w:after="0"/>
              <w:rPr>
                <w:sz w:val="20"/>
                <w:szCs w:val="20"/>
                <w:color w:val="auto"/>
              </w:rPr>
            </w:pPr>
            <w:r>
              <w:rPr>
                <w:rFonts w:ascii="Arial" w:cs="Arial" w:eastAsia="Arial" w:hAnsi="Arial"/>
                <w:sz w:val="17"/>
                <w:szCs w:val="17"/>
                <w:color w:val="auto"/>
              </w:rPr>
              <w:t>13.7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w:t>
            </w:r>
          </w:p>
        </w:tc>
        <w:tc>
          <w:tcPr>
            <w:tcW w:w="5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400"/>
              <w:spacing w:after="0" w:line="167" w:lineRule="exact"/>
              <w:rPr>
                <w:sz w:val="20"/>
                <w:szCs w:val="20"/>
                <w:color w:val="auto"/>
              </w:rPr>
            </w:pPr>
            <w:r>
              <w:rPr>
                <w:rFonts w:ascii="Arial" w:cs="Arial" w:eastAsia="Arial" w:hAnsi="Arial"/>
                <w:sz w:val="17"/>
                <w:szCs w:val="17"/>
                <w:color w:val="auto"/>
              </w:rPr>
              <w:t>Other income</w:t>
            </w:r>
          </w:p>
        </w:tc>
        <w:tc>
          <w:tcPr>
            <w:tcW w:w="5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6,848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(12,034)</w:t>
            </w:r>
          </w:p>
        </w:tc>
        <w:tc>
          <w:tcPr>
            <w:tcW w:w="60" w:type="dxa"/>
            <w:vAlign w:val="bottom"/>
          </w:tcPr>
          <w:p>
            <w:pPr>
              <w:spacing w:after="0"/>
              <w:rPr>
                <w:sz w:val="14"/>
                <w:szCs w:val="14"/>
                <w:color w:val="auto"/>
              </w:rPr>
            </w:pPr>
          </w:p>
        </w:tc>
        <w:tc>
          <w:tcPr>
            <w:tcW w:w="136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NM</w:t>
            </w:r>
          </w:p>
        </w:tc>
        <w:tc>
          <w:tcPr>
            <w:tcW w:w="5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6,315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(12,870)</w:t>
            </w:r>
          </w:p>
        </w:tc>
        <w:tc>
          <w:tcPr>
            <w:tcW w:w="60" w:type="dxa"/>
            <w:vAlign w:val="bottom"/>
          </w:tcPr>
          <w:p>
            <w:pPr>
              <w:spacing w:after="0"/>
              <w:rPr>
                <w:sz w:val="14"/>
                <w:szCs w:val="14"/>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7"/>
        </w:trPr>
        <w:tc>
          <w:tcPr>
            <w:tcW w:w="1500" w:type="dxa"/>
            <w:vAlign w:val="bottom"/>
          </w:tcPr>
          <w:p>
            <w:pPr>
              <w:ind w:left="20"/>
              <w:spacing w:after="0"/>
              <w:rPr>
                <w:sz w:val="20"/>
                <w:szCs w:val="20"/>
                <w:color w:val="auto"/>
              </w:rPr>
            </w:pPr>
            <w:r>
              <w:rPr>
                <w:rFonts w:ascii="Arial" w:cs="Arial" w:eastAsia="Arial" w:hAnsi="Arial"/>
                <w:sz w:val="17"/>
                <w:szCs w:val="17"/>
                <w:color w:val="auto"/>
              </w:rPr>
              <w:t>(expense), net</w:t>
            </w:r>
          </w:p>
        </w:tc>
        <w:tc>
          <w:tcPr>
            <w:tcW w:w="5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500" w:type="dxa"/>
            <w:vAlign w:val="bottom"/>
            <w:tcBorders>
              <w:top w:val="single" w:sz="8" w:color="CCEEFF"/>
            </w:tcBorders>
            <w:shd w:val="clear" w:color="auto" w:fill="CCEEFF"/>
          </w:tcPr>
          <w:p>
            <w:pPr>
              <w:ind w:left="400"/>
              <w:spacing w:after="0" w:line="148" w:lineRule="exact"/>
              <w:rPr>
                <w:sz w:val="20"/>
                <w:szCs w:val="20"/>
                <w:color w:val="auto"/>
              </w:rPr>
            </w:pPr>
            <w:r>
              <w:rPr>
                <w:rFonts w:ascii="Arial" w:cs="Arial" w:eastAsia="Arial" w:hAnsi="Arial"/>
                <w:sz w:val="17"/>
                <w:szCs w:val="17"/>
                <w:color w:val="auto"/>
                <w:w w:val="99"/>
              </w:rPr>
              <w:t>Income before</w:t>
            </w:r>
          </w:p>
        </w:tc>
        <w:tc>
          <w:tcPr>
            <w:tcW w:w="5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200,961</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175,400</w:t>
            </w:r>
          </w:p>
        </w:tc>
        <w:tc>
          <w:tcPr>
            <w:tcW w:w="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vMerge w:val="restart"/>
            <w:shd w:val="clear" w:color="auto" w:fill="CCEEFF"/>
          </w:tcPr>
          <w:p>
            <w:pPr>
              <w:jc w:val="right"/>
              <w:ind w:right="297"/>
              <w:spacing w:after="0"/>
              <w:rPr>
                <w:sz w:val="20"/>
                <w:szCs w:val="20"/>
                <w:color w:val="auto"/>
              </w:rPr>
            </w:pPr>
            <w:r>
              <w:rPr>
                <w:rFonts w:ascii="Arial" w:cs="Arial" w:eastAsia="Arial" w:hAnsi="Arial"/>
                <w:sz w:val="17"/>
                <w:szCs w:val="17"/>
                <w:color w:val="auto"/>
              </w:rPr>
              <w:t>14.6</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320,415</w:t>
            </w: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346,216</w:t>
            </w:r>
          </w:p>
        </w:tc>
        <w:tc>
          <w:tcPr>
            <w:tcW w:w="6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ind w:left="400"/>
              <w:spacing w:after="0"/>
              <w:rPr>
                <w:sz w:val="20"/>
                <w:szCs w:val="20"/>
                <w:color w:val="auto"/>
              </w:rPr>
            </w:pPr>
            <w:r>
              <w:rPr>
                <w:rFonts w:ascii="Arial" w:cs="Arial" w:eastAsia="Arial" w:hAnsi="Arial"/>
                <w:sz w:val="17"/>
                <w:szCs w:val="17"/>
                <w:color w:val="auto"/>
              </w:rPr>
              <w:t>(7.5)</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5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400"/>
              <w:spacing w:after="0" w:line="167" w:lineRule="exact"/>
              <w:rPr>
                <w:sz w:val="20"/>
                <w:szCs w:val="20"/>
                <w:color w:val="auto"/>
              </w:rPr>
            </w:pPr>
            <w:r>
              <w:rPr>
                <w:rFonts w:ascii="Arial" w:cs="Arial" w:eastAsia="Arial" w:hAnsi="Arial"/>
                <w:sz w:val="17"/>
                <w:szCs w:val="17"/>
                <w:color w:val="auto"/>
              </w:rPr>
              <w:t>Income tax</w:t>
            </w:r>
          </w:p>
        </w:tc>
        <w:tc>
          <w:tcPr>
            <w:tcW w:w="5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46,127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39,319</w:t>
            </w:r>
          </w:p>
        </w:tc>
        <w:tc>
          <w:tcPr>
            <w:tcW w:w="60" w:type="dxa"/>
            <w:vAlign w:val="bottom"/>
          </w:tcPr>
          <w:p>
            <w:pPr>
              <w:spacing w:after="0"/>
              <w:rPr>
                <w:sz w:val="14"/>
                <w:szCs w:val="14"/>
                <w:color w:val="auto"/>
              </w:rPr>
            </w:pPr>
          </w:p>
        </w:tc>
        <w:tc>
          <w:tcPr>
            <w:tcW w:w="1080" w:type="dxa"/>
            <w:vAlign w:val="bottom"/>
            <w:vMerge w:val="restart"/>
          </w:tcPr>
          <w:p>
            <w:pPr>
              <w:jc w:val="right"/>
              <w:ind w:right="297"/>
              <w:spacing w:after="0"/>
              <w:rPr>
                <w:sz w:val="20"/>
                <w:szCs w:val="20"/>
                <w:color w:val="auto"/>
              </w:rPr>
            </w:pPr>
            <w:r>
              <w:rPr>
                <w:rFonts w:ascii="Arial" w:cs="Arial" w:eastAsia="Arial" w:hAnsi="Arial"/>
                <w:sz w:val="17"/>
                <w:szCs w:val="17"/>
                <w:color w:val="auto"/>
              </w:rPr>
              <w:t>17.3</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73,479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color w:val="auto"/>
              </w:rPr>
              <w:t>80,806</w:t>
            </w:r>
          </w:p>
        </w:tc>
        <w:tc>
          <w:tcPr>
            <w:tcW w:w="60" w:type="dxa"/>
            <w:vAlign w:val="bottom"/>
          </w:tcPr>
          <w:p>
            <w:pPr>
              <w:spacing w:after="0"/>
              <w:rPr>
                <w:sz w:val="14"/>
                <w:szCs w:val="14"/>
                <w:color w:val="auto"/>
              </w:rPr>
            </w:pPr>
          </w:p>
        </w:tc>
        <w:tc>
          <w:tcPr>
            <w:tcW w:w="1100" w:type="dxa"/>
            <w:vAlign w:val="bottom"/>
            <w:vMerge w:val="restart"/>
          </w:tcPr>
          <w:p>
            <w:pPr>
              <w:ind w:left="400"/>
              <w:spacing w:after="0"/>
              <w:rPr>
                <w:sz w:val="20"/>
                <w:szCs w:val="20"/>
                <w:color w:val="auto"/>
              </w:rPr>
            </w:pPr>
            <w:r>
              <w:rPr>
                <w:rFonts w:ascii="Arial" w:cs="Arial" w:eastAsia="Arial" w:hAnsi="Arial"/>
                <w:sz w:val="17"/>
                <w:szCs w:val="17"/>
                <w:color w:val="auto"/>
              </w:rPr>
              <w:t>(9.1)</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expense</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5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Net income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154,834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136,081</w:t>
            </w:r>
          </w:p>
        </w:tc>
        <w:tc>
          <w:tcPr>
            <w:tcW w:w="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7"/>
                <w:szCs w:val="17"/>
                <w:color w:val="auto"/>
              </w:rPr>
              <w:t>13.8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246,936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265,410</w:t>
            </w:r>
          </w:p>
        </w:tc>
        <w:tc>
          <w:tcPr>
            <w:tcW w:w="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rPr>
              <w:t>(7.0)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NM - Not meaningful</w:t>
      </w:r>
      <w:r>
        <w:rPr>
          <w:rFonts w:ascii="Arial" w:cs="Arial" w:eastAsia="Arial" w:hAnsi="Arial"/>
          <w:sz w:val="17"/>
          <w:szCs w:val="17"/>
          <w:i w:val="1"/>
          <w:iCs w:val="1"/>
          <w:color w:val="auto"/>
        </w:rPr>
        <w:t>.</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Revenue</w:t>
      </w:r>
    </w:p>
    <w:p>
      <w:pPr>
        <w:spacing w:after="0" w:line="99" w:lineRule="exact"/>
        <w:rPr>
          <w:sz w:val="20"/>
          <w:szCs w:val="20"/>
          <w:color w:val="auto"/>
        </w:rPr>
      </w:pPr>
    </w:p>
    <w:p>
      <w:pPr>
        <w:ind w:right="100" w:firstLine="385"/>
        <w:spacing w:after="0" w:line="227" w:lineRule="auto"/>
        <w:rPr>
          <w:sz w:val="20"/>
          <w:szCs w:val="20"/>
          <w:color w:val="auto"/>
        </w:rPr>
      </w:pPr>
      <w:r>
        <w:rPr>
          <w:rFonts w:ascii="Arial" w:cs="Arial" w:eastAsia="Arial" w:hAnsi="Arial"/>
          <w:sz w:val="17"/>
          <w:szCs w:val="17"/>
          <w:color w:val="auto"/>
        </w:rPr>
        <w:t>Revenue increased to $2,106.0 million from $2,019.2 million, or a 4.3% increase, for the three months ended September 30, 2021 as compared to the three months ended September 30, 2020, and increased to $4,095.1 million from $3,975.6 million, or a 3.0% increase, for the six months ended September 30, 2021 as compared to the six months ended September 30, 2020. The increases were primarily driven by solid operational performance and the revenue impact of acquisitions during the three and six months ended September 30, 2021 of approximately $90.0 million and $106.0 million, respectively. This was partially offset by higher than normal staff utilization in the comparable prior year period. Total headcount as of September 30, 2021 increased approximately 1,590 as compared to September 30, 2020.</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Cost of Revenue</w:t>
      </w:r>
    </w:p>
    <w:p>
      <w:pPr>
        <w:ind w:right="100" w:firstLine="385"/>
        <w:spacing w:after="0" w:line="237" w:lineRule="auto"/>
        <w:rPr>
          <w:sz w:val="20"/>
          <w:szCs w:val="20"/>
          <w:color w:val="auto"/>
        </w:rPr>
      </w:pPr>
      <w:r>
        <w:rPr>
          <w:rFonts w:ascii="Arial" w:cs="Arial" w:eastAsia="Arial" w:hAnsi="Arial"/>
          <w:sz w:val="16"/>
          <w:szCs w:val="16"/>
          <w:color w:val="auto"/>
        </w:rPr>
        <w:t>Cost of revenue as a percentage of revenue was 45.0% and 46.7% for the three months ended September 30, 2021 and 2020, respectively, and 46.7% and 47.6% for the six months ended September 30, 2021 and 2020, respectively. The decrease in cost of revenue as a percentage of revenue was due to our growth in revenue outpacing our growth in cost of revenue, primarily due to profitable contract level performance and mix, which includes the effect of acquisitions during the quarter. Cost of revenue increased to $947.7 million from $942.6 million, or a 0.5% increase, for the three months ended September 30, 2021 as compared to the three months ended September 30, 2020, and increased to $1,910.4 million from $1,891.5 million, or a 1.0% increase, for the six months ended September 30, 2021 as compared to the six months ended September 30, 2020. The increases were primarily due to increases in salaries and salary-related benefits in the three and six months ended September 30, 2021 of $46.7 million and $81.7 million, respectively, driven by increased headcount and annual base salary increases, partially offset by decreases in other direct costs of $48.7 million and $75.4 million, respectively.</w:t>
      </w: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Billable Expenses</w:t>
      </w:r>
    </w:p>
    <w:p>
      <w:pPr>
        <w:spacing w:after="0" w:line="112" w:lineRule="exact"/>
        <w:rPr>
          <w:sz w:val="20"/>
          <w:szCs w:val="20"/>
          <w:color w:val="auto"/>
        </w:rPr>
      </w:pPr>
    </w:p>
    <w:p>
      <w:pPr>
        <w:ind w:firstLine="385"/>
        <w:spacing w:after="0" w:line="275" w:lineRule="auto"/>
        <w:rPr>
          <w:sz w:val="20"/>
          <w:szCs w:val="20"/>
          <w:color w:val="auto"/>
        </w:rPr>
      </w:pPr>
      <w:r>
        <w:rPr>
          <w:rFonts w:ascii="Arial" w:cs="Arial" w:eastAsia="Arial" w:hAnsi="Arial"/>
          <w:sz w:val="16"/>
          <w:szCs w:val="16"/>
          <w:color w:val="auto"/>
        </w:rPr>
        <w:t>Billable expenses as a percentage of revenue were 30.4% and 29.9% for the three months ended September 30, 2021 and 2020, respectively, and 29.2% and 29.0% for the six months ended September 30, 2021 and 2020, respectively. Billable expenses increased to $640.1 million from $603.7 million, or a 6.0% increase, for the three months ended September 30, 2021 as compared to the three months ended September 30, 2020, and increased to $1,195.7 million from $1,152.7 million, or a 3.7% increase, for the six months ended September 30, 2021 as compared to the six months ended September 30, 2020. Increases were primarily attributable to increases in expenses from contracts that require the Company to incur other direct expenses and travel on behalf of clients as compared to the prior year period, partially offset by a decrease in the use of subcontractors driven by client demand and timing of client needs.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2" w:lineRule="exact"/>
        <w:rPr>
          <w:sz w:val="20"/>
          <w:szCs w:val="20"/>
          <w:color w:val="auto"/>
        </w:rPr>
      </w:pPr>
    </w:p>
    <w:p>
      <w:pPr>
        <w:ind w:firstLine="385"/>
        <w:spacing w:after="0" w:line="255" w:lineRule="auto"/>
        <w:rPr>
          <w:sz w:val="20"/>
          <w:szCs w:val="20"/>
          <w:color w:val="auto"/>
        </w:rPr>
      </w:pPr>
      <w:r>
        <w:rPr>
          <w:rFonts w:ascii="Arial" w:cs="Arial" w:eastAsia="Arial" w:hAnsi="Arial"/>
          <w:sz w:val="17"/>
          <w:szCs w:val="17"/>
          <w:color w:val="auto"/>
        </w:rPr>
        <w:t>General and administrative expenses as a percentage of revenue were 12.5% and 12.1% for the three months ended September 30, 2021 and 2020, respectively, and 13.8% and 12.3% for the six months ended September 30, 2021 and 2020, respectively. General and administrative expenses increased to $262.3 million from $244.7 million, or a 7.2% increase, for the three months ended September 30, 2021 as compared to the three months ended September 30, 2020 and increased to $564.1 million from $490.6 million, or a 15.0% increase, for the six months ended September 30, 2021 as compared to the six months ended September 30, 2020. The increases were primarily due to $13.7 million and $80.5 million of acquisition costs associated with our acquisitions of Liberty and Tracepoint incurred during the three and six months ended September 30, 2021, respectively. In addition, salaries and salary-related benefits in the three and six months ended September 30, 2021 increased $11.6 million and $17.9 million, respectively, partially offset by decreases in other business expenses and professional fees.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Depreciation and Amortization</w:t>
      </w:r>
    </w:p>
    <w:p>
      <w:pPr>
        <w:spacing w:after="0" w:line="112" w:lineRule="exact"/>
        <w:rPr>
          <w:sz w:val="20"/>
          <w:szCs w:val="20"/>
          <w:color w:val="auto"/>
        </w:rPr>
      </w:pPr>
    </w:p>
    <w:p>
      <w:pPr>
        <w:ind w:right="200" w:firstLine="385"/>
        <w:spacing w:after="0" w:line="281" w:lineRule="auto"/>
        <w:rPr>
          <w:sz w:val="20"/>
          <w:szCs w:val="20"/>
          <w:color w:val="auto"/>
        </w:rPr>
      </w:pPr>
      <w:r>
        <w:rPr>
          <w:rFonts w:ascii="Arial" w:cs="Arial" w:eastAsia="Arial" w:hAnsi="Arial"/>
          <w:sz w:val="16"/>
          <w:szCs w:val="16"/>
          <w:color w:val="auto"/>
        </w:rPr>
        <w:t>Depreciation and amortization increased to $37.6 million from $21.0 million, or a 78.9% increase, for the three months ended September 30, 2021 as compared to the three months ended September 30, 2020, and increased to $65.3 million from $41.7 million, or a 56.5% increase, for the six months ended September 30, 2021 as compared to the six months ended September 30, 2020, primarily due to increases in intangible amortization related to the acquisitions in fiscal 2022, and depreciation expense resulting from the implementation of our new financial management systems on April 1, 2021.</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Interest Expense</w:t>
      </w:r>
    </w:p>
    <w:p>
      <w:pPr>
        <w:spacing w:after="0" w:line="112" w:lineRule="exact"/>
        <w:rPr>
          <w:sz w:val="20"/>
          <w:szCs w:val="20"/>
          <w:color w:val="auto"/>
        </w:rPr>
      </w:pPr>
    </w:p>
    <w:p>
      <w:pPr>
        <w:ind w:right="40" w:firstLine="385"/>
        <w:spacing w:after="0" w:line="260" w:lineRule="auto"/>
        <w:rPr>
          <w:sz w:val="20"/>
          <w:szCs w:val="20"/>
          <w:color w:val="auto"/>
        </w:rPr>
      </w:pPr>
      <w:r>
        <w:rPr>
          <w:rFonts w:ascii="Arial" w:cs="Arial" w:eastAsia="Arial" w:hAnsi="Arial"/>
          <w:sz w:val="17"/>
          <w:szCs w:val="17"/>
          <w:color w:val="auto"/>
        </w:rPr>
        <w:t>Interest expense increased to $24.3 million from $19.8 million, or a 22.6% increase, for the three months ended September 30, 2021 as compared to the three months ended September 30, 2020, and increased to $45.5 million from $40.0 million, or a 13.7% increase, for the six months ended September 30, 2021 as compared to the six months ended September 30, 2020, respectively, primarily due to increased expense related to the Senior Notes due 2029 (as defined below) and the Senior Notes due 2028 (as defined below).</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Other Income (Expense), net</w:t>
      </w:r>
    </w:p>
    <w:p>
      <w:pPr>
        <w:spacing w:after="0" w:line="112" w:lineRule="exact"/>
        <w:rPr>
          <w:sz w:val="20"/>
          <w:szCs w:val="20"/>
          <w:color w:val="auto"/>
        </w:rPr>
      </w:pPr>
    </w:p>
    <w:p>
      <w:pPr>
        <w:ind w:right="40" w:firstLine="385"/>
        <w:spacing w:after="0" w:line="300" w:lineRule="auto"/>
        <w:rPr>
          <w:sz w:val="20"/>
          <w:szCs w:val="20"/>
          <w:color w:val="auto"/>
        </w:rPr>
      </w:pPr>
      <w:r>
        <w:rPr>
          <w:rFonts w:ascii="Arial" w:cs="Arial" w:eastAsia="Arial" w:hAnsi="Arial"/>
          <w:sz w:val="15"/>
          <w:szCs w:val="15"/>
          <w:color w:val="auto"/>
        </w:rPr>
        <w:t>Other income (expense), net increased to a $6.8 million net other income from a $12.0 million net other expense for the three months ended September 30, 2021 as compared to the three months ended September 30, 2020, respectively, and increased to a $6.3 million net other income from a $12.9 million net other expense for the six months ended September 30, 2021 as compared to the six months ended September 30, 2020, respectively. The increases were primarily due to the $13.2 million loss on debt extinguishment resulting from the redemption of the 2017 Senior Notes recognized in the second quarter of fiscal 2021, and the $5.7 million gain from the Company’s remeasurement of its previously held equity method investment in Tracepoint in the second quarter of fiscal 2022.</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Income Tax Expense</w:t>
      </w:r>
    </w:p>
    <w:p>
      <w:pPr>
        <w:spacing w:after="0" w:line="112" w:lineRule="exact"/>
        <w:rPr>
          <w:sz w:val="20"/>
          <w:szCs w:val="20"/>
          <w:color w:val="auto"/>
        </w:rPr>
      </w:pPr>
    </w:p>
    <w:p>
      <w:pPr>
        <w:ind w:right="40" w:firstLine="385"/>
        <w:spacing w:after="0" w:line="275" w:lineRule="auto"/>
        <w:rPr>
          <w:sz w:val="20"/>
          <w:szCs w:val="20"/>
          <w:color w:val="auto"/>
        </w:rPr>
      </w:pPr>
      <w:r>
        <w:rPr>
          <w:rFonts w:ascii="Arial" w:cs="Arial" w:eastAsia="Arial" w:hAnsi="Arial"/>
          <w:sz w:val="16"/>
          <w:szCs w:val="16"/>
          <w:color w:val="auto"/>
        </w:rPr>
        <w:t>Income tax expense increased to $46.1 million from $39.3 million, or a 17.3% increase, for the three months ended September 30, 2021 as compared to the three months ended September 30, 2020, respectively, and decreased to $73.5 million from $80.8 million, or a 9.1% decrease, for the six months ended September 30, 2021 as compared to the six months ended September 30, 2020, respectively. The changes were primarily due to changes in pre-tax income as compared to the prior year period, in addition to discrete items recorded in the prior year period not recurring in the current period. The effective tax rate increased to 23.0% for the three months ended September 30, 2021 from 22.4% for the three months ended September 30, 2020, and decreased to 22.9% for the six months ended September 30, 2021 from 23.3% for the six months ended September 30, 2020.</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presents selected financial information as of September 30, 2021 and March 31, 2021 and for the first six months of fiscal 2022 and 2021:</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520" w:type="dxa"/>
            <w:vAlign w:val="bottom"/>
          </w:tcPr>
          <w:p>
            <w:pPr>
              <w:spacing w:after="0"/>
              <w:rPr>
                <w:sz w:val="14"/>
                <w:szCs w:val="14"/>
                <w:color w:val="auto"/>
              </w:rPr>
            </w:pPr>
          </w:p>
        </w:tc>
        <w:tc>
          <w:tcPr>
            <w:tcW w:w="1340" w:type="dxa"/>
            <w:vAlign w:val="bottom"/>
          </w:tcPr>
          <w:p>
            <w:pPr>
              <w:jc w:val="center"/>
              <w:ind w:right="461"/>
              <w:spacing w:after="0"/>
              <w:rPr>
                <w:sz w:val="20"/>
                <w:szCs w:val="20"/>
                <w:color w:val="auto"/>
              </w:rPr>
            </w:pPr>
            <w:r>
              <w:rPr>
                <w:rFonts w:ascii="Arial" w:cs="Arial" w:eastAsia="Arial" w:hAnsi="Arial"/>
                <w:sz w:val="14"/>
                <w:szCs w:val="14"/>
                <w:b w:val="1"/>
                <w:bCs w:val="1"/>
                <w:color w:val="auto"/>
                <w:w w:val="92"/>
              </w:rPr>
              <w:t>March 31,</w:t>
            </w:r>
          </w:p>
        </w:tc>
      </w:tr>
      <w:tr>
        <w:trPr>
          <w:trHeight w:val="178"/>
        </w:trPr>
        <w:tc>
          <w:tcPr>
            <w:tcW w:w="7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61"/>
              <w:spacing w:after="0"/>
              <w:rPr>
                <w:sz w:val="20"/>
                <w:szCs w:val="20"/>
                <w:color w:val="auto"/>
              </w:rPr>
            </w:pPr>
            <w:r>
              <w:rPr>
                <w:rFonts w:ascii="Arial" w:cs="Arial" w:eastAsia="Arial" w:hAnsi="Arial"/>
                <w:sz w:val="14"/>
                <w:szCs w:val="14"/>
                <w:b w:val="1"/>
                <w:bCs w:val="1"/>
                <w:color w:val="auto"/>
                <w:w w:val="89"/>
              </w:rPr>
              <w:t>2021</w:t>
            </w:r>
          </w:p>
        </w:tc>
      </w:tr>
      <w:tr>
        <w:trPr>
          <w:trHeight w:val="167"/>
        </w:trPr>
        <w:tc>
          <w:tcPr>
            <w:tcW w:w="7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center"/>
              <w:ind w:right="245"/>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1"/>
        </w:trPr>
        <w:tc>
          <w:tcPr>
            <w:tcW w:w="7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89"/>
              </w:rPr>
              <w:t>(In thousands)</w:t>
            </w:r>
          </w:p>
        </w:tc>
        <w:tc>
          <w:tcPr>
            <w:tcW w:w="1340" w:type="dxa"/>
            <w:vAlign w:val="bottom"/>
          </w:tcPr>
          <w:p>
            <w:pPr>
              <w:spacing w:after="0"/>
              <w:rPr>
                <w:sz w:val="15"/>
                <w:szCs w:val="15"/>
                <w:color w:val="auto"/>
              </w:rPr>
            </w:pPr>
          </w:p>
        </w:tc>
      </w:tr>
      <w:tr>
        <w:trPr>
          <w:trHeight w:val="224"/>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788,697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990,955</w:t>
            </w:r>
          </w:p>
        </w:tc>
      </w:tr>
      <w:tr>
        <w:trPr>
          <w:trHeight w:val="217"/>
        </w:trPr>
        <w:tc>
          <w:tcPr>
            <w:tcW w:w="742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300" w:type="dxa"/>
            <w:vAlign w:val="bottom"/>
          </w:tcPr>
          <w:p>
            <w:pPr>
              <w:spacing w:after="0"/>
              <w:rPr>
                <w:sz w:val="18"/>
                <w:szCs w:val="18"/>
                <w:color w:val="auto"/>
              </w:rPr>
            </w:pPr>
          </w:p>
        </w:tc>
        <w:tc>
          <w:tcPr>
            <w:tcW w:w="1540" w:type="dxa"/>
            <w:vAlign w:val="bottom"/>
          </w:tcPr>
          <w:p>
            <w:pPr>
              <w:jc w:val="right"/>
              <w:ind w:right="5"/>
              <w:spacing w:after="0"/>
              <w:rPr>
                <w:sz w:val="20"/>
                <w:szCs w:val="20"/>
                <w:color w:val="auto"/>
              </w:rPr>
            </w:pPr>
            <w:r>
              <w:rPr>
                <w:rFonts w:ascii="Arial" w:cs="Arial" w:eastAsia="Arial" w:hAnsi="Arial"/>
                <w:sz w:val="17"/>
                <w:szCs w:val="17"/>
                <w:color w:val="auto"/>
              </w:rPr>
              <w:t>2,832,462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7"/>
                <w:szCs w:val="17"/>
                <w:color w:val="auto"/>
              </w:rPr>
              <w:t>2,356,596</w:t>
            </w:r>
          </w:p>
        </w:tc>
      </w:tr>
      <w:tr>
        <w:trPr>
          <w:trHeight w:val="373"/>
        </w:trPr>
        <w:tc>
          <w:tcPr>
            <w:tcW w:w="7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88"/>
              </w:rPr>
              <w:t>Six Months Ended</w:t>
            </w:r>
          </w:p>
        </w:tc>
        <w:tc>
          <w:tcPr>
            <w:tcW w:w="1340" w:type="dxa"/>
            <w:vAlign w:val="bottom"/>
          </w:tcPr>
          <w:p>
            <w:pPr>
              <w:spacing w:after="0"/>
              <w:rPr>
                <w:sz w:val="24"/>
                <w:szCs w:val="24"/>
                <w:color w:val="auto"/>
              </w:rPr>
            </w:pPr>
          </w:p>
        </w:tc>
      </w:tr>
      <w:tr>
        <w:trPr>
          <w:trHeight w:val="178"/>
        </w:trPr>
        <w:tc>
          <w:tcPr>
            <w:tcW w:w="7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center"/>
              <w:ind w:left="945"/>
              <w:spacing w:after="0"/>
              <w:rPr>
                <w:sz w:val="20"/>
                <w:szCs w:val="20"/>
                <w:color w:val="auto"/>
              </w:rPr>
            </w:pPr>
            <w:r>
              <w:rPr>
                <w:rFonts w:ascii="Arial" w:cs="Arial" w:eastAsia="Arial" w:hAnsi="Arial"/>
                <w:sz w:val="14"/>
                <w:szCs w:val="14"/>
                <w:b w:val="1"/>
                <w:bCs w:val="1"/>
                <w:color w:val="auto"/>
                <w:w w:val="85"/>
              </w:rPr>
              <w:t>September 30,</w:t>
            </w:r>
          </w:p>
        </w:tc>
        <w:tc>
          <w:tcPr>
            <w:tcW w:w="1340" w:type="dxa"/>
            <w:vAlign w:val="bottom"/>
            <w:tcBorders>
              <w:bottom w:val="single" w:sz="8" w:color="auto"/>
            </w:tcBorders>
          </w:tcPr>
          <w:p>
            <w:pPr>
              <w:spacing w:after="0"/>
              <w:rPr>
                <w:sz w:val="15"/>
                <w:szCs w:val="15"/>
                <w:color w:val="auto"/>
              </w:rPr>
            </w:pPr>
          </w:p>
        </w:tc>
      </w:tr>
      <w:tr>
        <w:trPr>
          <w:trHeight w:val="172"/>
        </w:trPr>
        <w:tc>
          <w:tcPr>
            <w:tcW w:w="7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461"/>
              <w:spacing w:after="0"/>
              <w:rPr>
                <w:sz w:val="20"/>
                <w:szCs w:val="20"/>
                <w:color w:val="auto"/>
              </w:rPr>
            </w:pPr>
            <w:r>
              <w:rPr>
                <w:rFonts w:ascii="Arial" w:cs="Arial" w:eastAsia="Arial" w:hAnsi="Arial"/>
                <w:sz w:val="14"/>
                <w:szCs w:val="14"/>
                <w:b w:val="1"/>
                <w:bCs w:val="1"/>
                <w:color w:val="auto"/>
                <w:w w:val="89"/>
              </w:rPr>
              <w:t>2020</w:t>
            </w:r>
          </w:p>
        </w:tc>
      </w:tr>
      <w:tr>
        <w:trPr>
          <w:trHeight w:val="167"/>
        </w:trPr>
        <w:tc>
          <w:tcPr>
            <w:tcW w:w="7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jc w:val="center"/>
              <w:ind w:right="245"/>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jc w:val="center"/>
              <w:ind w:right="481"/>
              <w:spacing w:after="0"/>
              <w:rPr>
                <w:sz w:val="20"/>
                <w:szCs w:val="20"/>
                <w:color w:val="auto"/>
              </w:rPr>
            </w:pPr>
            <w:r>
              <w:rPr>
                <w:rFonts w:ascii="Arial" w:cs="Arial" w:eastAsia="Arial" w:hAnsi="Arial"/>
                <w:sz w:val="14"/>
                <w:szCs w:val="14"/>
                <w:b w:val="1"/>
                <w:bCs w:val="1"/>
                <w:color w:val="auto"/>
                <w:w w:val="89"/>
              </w:rPr>
              <w:t>(Unaudited)</w:t>
            </w:r>
          </w:p>
        </w:tc>
      </w:tr>
      <w:tr>
        <w:trPr>
          <w:trHeight w:val="181"/>
        </w:trPr>
        <w:tc>
          <w:tcPr>
            <w:tcW w:w="7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89"/>
              </w:rPr>
              <w:t>(In thousands)</w:t>
            </w:r>
          </w:p>
        </w:tc>
        <w:tc>
          <w:tcPr>
            <w:tcW w:w="1340" w:type="dxa"/>
            <w:vAlign w:val="bottom"/>
          </w:tcPr>
          <w:p>
            <w:pPr>
              <w:spacing w:after="0"/>
              <w:rPr>
                <w:sz w:val="15"/>
                <w:szCs w:val="15"/>
                <w:color w:val="auto"/>
              </w:rPr>
            </w:pPr>
          </w:p>
        </w:tc>
      </w:tr>
      <w:tr>
        <w:trPr>
          <w:trHeight w:val="224"/>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459,746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566,024</w:t>
            </w:r>
          </w:p>
        </w:tc>
      </w:tr>
      <w:tr>
        <w:trPr>
          <w:trHeight w:val="217"/>
        </w:trPr>
        <w:tc>
          <w:tcPr>
            <w:tcW w:w="74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(811,256)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(38,084)</w:t>
            </w: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149,252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5,349</w:t>
            </w:r>
          </w:p>
        </w:tc>
      </w:tr>
      <w:tr>
        <w:trPr>
          <w:trHeight w:val="210"/>
        </w:trPr>
        <w:tc>
          <w:tcPr>
            <w:tcW w:w="7420" w:type="dxa"/>
            <w:vAlign w:val="bottom"/>
          </w:tcPr>
          <w:p>
            <w:pPr>
              <w:ind w:left="20"/>
              <w:spacing w:after="0"/>
              <w:rPr>
                <w:sz w:val="20"/>
                <w:szCs w:val="20"/>
                <w:color w:val="auto"/>
              </w:rPr>
            </w:pPr>
            <w:r>
              <w:rPr>
                <w:rFonts w:ascii="Arial" w:cs="Arial" w:eastAsia="Arial" w:hAnsi="Arial"/>
                <w:sz w:val="17"/>
                <w:szCs w:val="17"/>
                <w:color w:val="auto"/>
              </w:rPr>
              <w:t>Total (decrease) increase in cash and cash equivalents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(202,258)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533,289</w:t>
            </w: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right="100" w:firstLine="385"/>
        <w:spacing w:after="0" w:line="260" w:lineRule="auto"/>
        <w:rPr>
          <w:sz w:val="20"/>
          <w:szCs w:val="20"/>
          <w:color w:val="auto"/>
        </w:rPr>
      </w:pPr>
      <w:r>
        <w:rPr>
          <w:rFonts w:ascii="Arial" w:cs="Arial" w:eastAsia="Arial" w:hAnsi="Arial"/>
          <w:sz w:val="17"/>
          <w:szCs w:val="17"/>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the opinion of management, we will be able to meet our liquidity and cash needs through a combination of cash flows from operating activities, available cash balances, and available borrowing under the Revolving Credit Facility.</w:t>
      </w:r>
    </w:p>
    <w:p>
      <w:pPr>
        <w:spacing w:after="0" w:line="76" w:lineRule="exact"/>
        <w:rPr>
          <w:sz w:val="20"/>
          <w:szCs w:val="20"/>
          <w:color w:val="auto"/>
        </w:rPr>
      </w:pPr>
    </w:p>
    <w:p>
      <w:pPr>
        <w:ind w:right="200" w:firstLine="385"/>
        <w:spacing w:after="0" w:line="305" w:lineRule="auto"/>
        <w:rPr>
          <w:sz w:val="20"/>
          <w:szCs w:val="20"/>
          <w:color w:val="auto"/>
        </w:rPr>
      </w:pPr>
      <w:r>
        <w:rPr>
          <w:rFonts w:ascii="Arial" w:cs="Arial" w:eastAsia="Arial" w:hAnsi="Arial"/>
          <w:sz w:val="15"/>
          <w:szCs w:val="15"/>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46" w:lineRule="exact"/>
        <w:rPr>
          <w:sz w:val="20"/>
          <w:szCs w:val="20"/>
          <w:color w:val="auto"/>
        </w:rPr>
      </w:pPr>
    </w:p>
    <w:p>
      <w:pPr>
        <w:ind w:firstLine="385"/>
        <w:spacing w:after="0" w:line="294" w:lineRule="auto"/>
        <w:rPr>
          <w:sz w:val="20"/>
          <w:szCs w:val="20"/>
          <w:color w:val="auto"/>
        </w:rPr>
      </w:pPr>
      <w:r>
        <w:rPr>
          <w:rFonts w:ascii="Arial" w:cs="Arial" w:eastAsia="Arial" w:hAnsi="Arial"/>
          <w:sz w:val="15"/>
          <w:szCs w:val="15"/>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the Revolving Credit Facility will be sufficient to meet our anticipated cash requirements for the next twelve months, which primarily include:</w:t>
      </w:r>
    </w:p>
    <w:p>
      <w:pPr>
        <w:spacing w:after="0" w:line="53" w:lineRule="exact"/>
        <w:rPr>
          <w:sz w:val="20"/>
          <w:szCs w:val="20"/>
          <w:color w:val="auto"/>
        </w:rPr>
      </w:pPr>
    </w:p>
    <w:p>
      <w:pPr>
        <w:ind w:left="1220" w:hanging="602"/>
        <w:spacing w:after="0"/>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operating expenses, including salaries;</w:t>
      </w:r>
    </w:p>
    <w:p>
      <w:pPr>
        <w:spacing w:after="0" w:line="112" w:lineRule="exact"/>
        <w:rPr>
          <w:rFonts w:ascii="Arial" w:cs="Arial" w:eastAsia="Arial" w:hAnsi="Arial"/>
          <w:sz w:val="17"/>
          <w:szCs w:val="17"/>
          <w:color w:val="auto"/>
        </w:rPr>
      </w:pPr>
    </w:p>
    <w:p>
      <w:pPr>
        <w:ind w:left="1220" w:hanging="602"/>
        <w:spacing w:after="0"/>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working capital requirements to fund the growth of our business;</w:t>
      </w:r>
    </w:p>
    <w:p>
      <w:pPr>
        <w:spacing w:after="0" w:line="112" w:lineRule="exact"/>
        <w:rPr>
          <w:rFonts w:ascii="Arial" w:cs="Arial" w:eastAsia="Arial" w:hAnsi="Arial"/>
          <w:sz w:val="17"/>
          <w:szCs w:val="17"/>
          <w:color w:val="auto"/>
        </w:rPr>
      </w:pPr>
    </w:p>
    <w:p>
      <w:pPr>
        <w:ind w:left="1240" w:right="140" w:hanging="622"/>
        <w:spacing w:after="0" w:line="277" w:lineRule="auto"/>
        <w:tabs>
          <w:tab w:leader="none" w:pos="12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capital expenditures which primarily relate to the purchase of computers, business systems, furniture and leasehold improvements to support our operations;</w:t>
      </w:r>
    </w:p>
    <w:p>
      <w:pPr>
        <w:spacing w:after="0" w:line="61" w:lineRule="exact"/>
        <w:rPr>
          <w:rFonts w:ascii="Arial" w:cs="Arial" w:eastAsia="Arial" w:hAnsi="Arial"/>
          <w:sz w:val="17"/>
          <w:szCs w:val="17"/>
          <w:color w:val="auto"/>
        </w:rPr>
      </w:pPr>
    </w:p>
    <w:p>
      <w:pPr>
        <w:ind w:left="1220" w:hanging="602"/>
        <w:spacing w:after="0"/>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implementation and operation of new financial management systems;</w:t>
      </w:r>
    </w:p>
    <w:p>
      <w:pPr>
        <w:spacing w:after="0" w:line="112" w:lineRule="exact"/>
        <w:rPr>
          <w:rFonts w:ascii="Arial" w:cs="Arial" w:eastAsia="Arial" w:hAnsi="Arial"/>
          <w:sz w:val="17"/>
          <w:szCs w:val="17"/>
          <w:color w:val="auto"/>
        </w:rPr>
      </w:pPr>
    </w:p>
    <w:p>
      <w:pPr>
        <w:ind w:left="1220" w:hanging="602"/>
        <w:spacing w:after="0"/>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commitments and other discretionary investments;</w:t>
      </w:r>
    </w:p>
    <w:p>
      <w:pPr>
        <w:spacing w:after="0" w:line="112" w:lineRule="exact"/>
        <w:rPr>
          <w:rFonts w:ascii="Arial" w:cs="Arial" w:eastAsia="Arial" w:hAnsi="Arial"/>
          <w:sz w:val="17"/>
          <w:szCs w:val="17"/>
          <w:color w:val="auto"/>
        </w:rPr>
      </w:pPr>
    </w:p>
    <w:p>
      <w:pPr>
        <w:ind w:left="1240" w:right="200" w:hanging="622"/>
        <w:spacing w:after="0" w:line="277" w:lineRule="auto"/>
        <w:tabs>
          <w:tab w:leader="none" w:pos="12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debt service requirements for borrowings under our Secured Credit Facility and interest payments for the Senior Notes due 2029 and the Senior Notes due 2028; and</w:t>
      </w:r>
    </w:p>
    <w:p>
      <w:pPr>
        <w:spacing w:after="0" w:line="61" w:lineRule="exact"/>
        <w:rPr>
          <w:rFonts w:ascii="Arial" w:cs="Arial" w:eastAsia="Arial" w:hAnsi="Arial"/>
          <w:sz w:val="17"/>
          <w:szCs w:val="17"/>
          <w:color w:val="auto"/>
        </w:rPr>
      </w:pPr>
    </w:p>
    <w:p>
      <w:pPr>
        <w:ind w:left="1220" w:hanging="602"/>
        <w:spacing w:after="0"/>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cash taxes to be paid.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40" w:firstLine="385"/>
        <w:spacing w:after="0" w:line="264" w:lineRule="auto"/>
        <w:rPr>
          <w:sz w:val="20"/>
          <w:szCs w:val="20"/>
          <w:color w:val="auto"/>
        </w:rPr>
      </w:pPr>
      <w:r>
        <w:rPr>
          <w:rFonts w:ascii="Arial" w:cs="Arial" w:eastAsia="Arial" w:hAnsi="Arial"/>
          <w:sz w:val="17"/>
          <w:szCs w:val="17"/>
          <w:color w:val="auto"/>
        </w:rPr>
        <w:t>Our ability to fund our operating needs depends, in part, on our ability to continue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Cash Flows</w:t>
      </w:r>
    </w:p>
    <w:p>
      <w:pPr>
        <w:spacing w:after="0" w:line="112" w:lineRule="exact"/>
        <w:rPr>
          <w:sz w:val="20"/>
          <w:szCs w:val="20"/>
          <w:color w:val="auto"/>
        </w:rPr>
      </w:pPr>
    </w:p>
    <w:p>
      <w:pPr>
        <w:ind w:right="40" w:firstLine="385"/>
        <w:spacing w:after="0" w:line="275"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68" w:lineRule="exact"/>
        <w:rPr>
          <w:sz w:val="20"/>
          <w:szCs w:val="20"/>
          <w:color w:val="auto"/>
        </w:rPr>
      </w:pPr>
    </w:p>
    <w:p>
      <w:pPr>
        <w:ind w:right="60" w:firstLine="385"/>
        <w:spacing w:after="0" w:line="297" w:lineRule="auto"/>
        <w:rPr>
          <w:sz w:val="20"/>
          <w:szCs w:val="20"/>
          <w:color w:val="auto"/>
        </w:rPr>
      </w:pPr>
      <w:r>
        <w:rPr>
          <w:rFonts w:ascii="Arial" w:cs="Arial" w:eastAsia="Arial" w:hAnsi="Arial"/>
          <w:sz w:val="15"/>
          <w:szCs w:val="15"/>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Operating Cash Flow</w:t>
      </w:r>
    </w:p>
    <w:p>
      <w:pPr>
        <w:spacing w:after="0" w:line="112" w:lineRule="exact"/>
        <w:rPr>
          <w:sz w:val="20"/>
          <w:szCs w:val="20"/>
          <w:color w:val="auto"/>
        </w:rPr>
      </w:pPr>
    </w:p>
    <w:p>
      <w:pPr>
        <w:ind w:firstLine="231"/>
        <w:spacing w:after="0" w:line="272" w:lineRule="auto"/>
        <w:rPr>
          <w:sz w:val="20"/>
          <w:szCs w:val="20"/>
          <w:color w:val="auto"/>
        </w:rPr>
      </w:pPr>
      <w:r>
        <w:rPr>
          <w:rFonts w:ascii="Arial" w:cs="Arial" w:eastAsia="Arial" w:hAnsi="Arial"/>
          <w:sz w:val="16"/>
          <w:szCs w:val="16"/>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as well as any impact on the budget and debt ceiling pending Congressional negotiations, including any impact as a result of new legislation extending the date on which the U.S. government's debt limit expires to December 3, 2021, may also affect our business as customers and suppliers may decide to downsize, defer, or cancel contracts, which could negatively affect the operating cash flows. Net cash provided by operations was $459.7 million for the six months ended September 30, 2021 compared to $566.0 million in the prior year period. The decrease in operating cash flows was primarily driven by lower collections on accounts receivable, largely attributable to timing around receivables associated with the integration of our new enterprise financial system, as well as approximately $80.5 million of acquisition costs incurred and paid during fiscal 2022, primarily associated with our acquisition of Liberty. These impacts were partially offset by lower disbursements in the first half of fiscal 2022.</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Investing Cash Flow</w:t>
      </w:r>
    </w:p>
    <w:p>
      <w:pPr>
        <w:spacing w:after="0" w:line="112" w:lineRule="exact"/>
        <w:rPr>
          <w:sz w:val="20"/>
          <w:szCs w:val="20"/>
          <w:color w:val="auto"/>
        </w:rPr>
      </w:pPr>
    </w:p>
    <w:p>
      <w:pPr>
        <w:jc w:val="both"/>
        <w:ind w:right="80" w:firstLine="385"/>
        <w:spacing w:after="0" w:line="287" w:lineRule="auto"/>
        <w:rPr>
          <w:sz w:val="20"/>
          <w:szCs w:val="20"/>
          <w:color w:val="auto"/>
        </w:rPr>
      </w:pPr>
      <w:r>
        <w:rPr>
          <w:rFonts w:ascii="Arial" w:cs="Arial" w:eastAsia="Arial" w:hAnsi="Arial"/>
          <w:sz w:val="15"/>
          <w:szCs w:val="15"/>
          <w:color w:val="auto"/>
        </w:rPr>
        <w:t>Net cash used in investing activities was $811.3 million in the six months ended September 30, 2021 compared to $38.1 million in the prior year period. The increase in net cash used in investing activities was primarily due to the Company's acquisitions of Liberty and Tracepoint, partially offset by a decrease in capital expenditures over the prior period, driven by lower spend related to the implementation of our new financial management systems on April 1, 2021 as compared to the prior year period, as well as lower facilities expenses reflecting the investment in technology and tools needed to support the virtual work environment.</w:t>
      </w:r>
    </w:p>
    <w:p>
      <w:pPr>
        <w:spacing w:after="0" w:line="4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Financing Cash Flow</w:t>
      </w:r>
    </w:p>
    <w:p>
      <w:pPr>
        <w:spacing w:after="0" w:line="112" w:lineRule="exact"/>
        <w:rPr>
          <w:sz w:val="20"/>
          <w:szCs w:val="20"/>
          <w:color w:val="auto"/>
        </w:rPr>
      </w:pPr>
    </w:p>
    <w:p>
      <w:pPr>
        <w:ind w:right="140" w:firstLine="385"/>
        <w:spacing w:after="0" w:line="278" w:lineRule="auto"/>
        <w:rPr>
          <w:sz w:val="20"/>
          <w:szCs w:val="20"/>
          <w:color w:val="auto"/>
        </w:rPr>
      </w:pPr>
      <w:r>
        <w:rPr>
          <w:rFonts w:ascii="Arial" w:cs="Arial" w:eastAsia="Arial" w:hAnsi="Arial"/>
          <w:sz w:val="16"/>
          <w:szCs w:val="16"/>
          <w:color w:val="auto"/>
        </w:rPr>
        <w:t>Net cash provided by financing activities was $149.3 million in the six months ended September 30, 2021 compared to $5.3 million in the prior year period. The increase in net cash provided by financing activities was primarily due to an increase in net proceeds of $152.2 million received from the fiscal 2022 issuance of the Senior Notes due 2029 as compared to the proceeds received from the fiscal 2021 issuance of the Senior Notes due 2028 and a $20.9 million decrease in payments on the Company's term loans over the prior year period. This was partially offset by a $100.0 million draw on the Revolving Credit Facility in the prior year and an increase in share repurchases of $116.1 million as compared to the prior year period.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Dividends and Share Repurchases</w:t>
      </w:r>
    </w:p>
    <w:p>
      <w:pPr>
        <w:spacing w:after="0" w:line="112" w:lineRule="exact"/>
        <w:rPr>
          <w:sz w:val="20"/>
          <w:szCs w:val="20"/>
          <w:color w:val="auto"/>
        </w:rPr>
      </w:pPr>
    </w:p>
    <w:p>
      <w:pPr>
        <w:ind w:right="480" w:firstLine="385"/>
        <w:spacing w:after="0" w:line="277" w:lineRule="auto"/>
        <w:rPr>
          <w:sz w:val="20"/>
          <w:szCs w:val="20"/>
          <w:color w:val="auto"/>
        </w:rPr>
      </w:pPr>
      <w:r>
        <w:rPr>
          <w:rFonts w:ascii="Arial" w:cs="Arial" w:eastAsia="Arial" w:hAnsi="Arial"/>
          <w:sz w:val="17"/>
          <w:szCs w:val="17"/>
          <w:color w:val="auto"/>
        </w:rPr>
        <w:t>On October 29, 2021, the Company announced a regular quarterly cash dividend in the amount of $0.37 per share. The quarterly dividend is payable on December 2, 2021 to stockholders of record on November 15, 2021.</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385"/>
        <w:spacing w:after="0" w:line="264" w:lineRule="auto"/>
        <w:rPr>
          <w:sz w:val="20"/>
          <w:szCs w:val="20"/>
          <w:color w:val="auto"/>
        </w:rPr>
      </w:pPr>
      <w:r>
        <w:rPr>
          <w:rFonts w:ascii="Arial" w:cs="Arial" w:eastAsia="Arial" w:hAnsi="Arial"/>
          <w:sz w:val="17"/>
          <w:szCs w:val="17"/>
          <w:color w:val="auto"/>
        </w:rPr>
        <w:t>During the three and six months ended September 30, 2021, quarterly cash dividends of $0.37 and $0.74 per share, respectively, were declared and paid totaling $51.2 million and $101.9 million, respectively. During the three and six months ended September 30, 2020, quarterly cash dividends of $0.31 and $0.62 per share, respectively, were declared and paid totaling $43.0 million and $86.8 million.</w:t>
      </w:r>
    </w:p>
    <w:p>
      <w:pPr>
        <w:spacing w:after="0" w:line="73" w:lineRule="exact"/>
        <w:rPr>
          <w:sz w:val="20"/>
          <w:szCs w:val="20"/>
          <w:color w:val="auto"/>
        </w:rPr>
      </w:pPr>
    </w:p>
    <w:p>
      <w:pPr>
        <w:ind w:right="20" w:firstLine="385"/>
        <w:spacing w:after="0" w:line="242" w:lineRule="auto"/>
        <w:rPr>
          <w:sz w:val="20"/>
          <w:szCs w:val="20"/>
          <w:color w:val="auto"/>
        </w:rPr>
      </w:pPr>
      <w:r>
        <w:rPr>
          <w:rFonts w:ascii="Arial" w:cs="Arial" w:eastAsia="Arial" w:hAnsi="Arial"/>
          <w:sz w:val="17"/>
          <w:szCs w:val="17"/>
          <w:color w:val="auto"/>
        </w:rPr>
        <w:t>On December 12, 2011, the Board of Directors approved a share repurchase program, which was most recently increased to $1,710.0 million on January 27, 2021. The Company may repurchase shares pursuant to the program by means of open market repurchases, directly negotiated repurchases or through agents acting pursuant to negotiated repurchase agreements. During the first half of fiscal 2022, the Company purchased 2.4 million shares of the Company's Class A Common Stock for an aggregate of $203.7 million. As of September 30, 2021, the Company had approximately $387.8 million of remaining capacity under its repurchase program.</w:t>
      </w:r>
    </w:p>
    <w:p>
      <w:pPr>
        <w:spacing w:after="0" w:line="79" w:lineRule="exact"/>
        <w:rPr>
          <w:sz w:val="20"/>
          <w:szCs w:val="20"/>
          <w:color w:val="auto"/>
        </w:rPr>
      </w:pPr>
    </w:p>
    <w:p>
      <w:pPr>
        <w:ind w:right="160" w:firstLine="385"/>
        <w:spacing w:after="0" w:line="264" w:lineRule="auto"/>
        <w:rPr>
          <w:sz w:val="20"/>
          <w:szCs w:val="20"/>
          <w:color w:val="auto"/>
        </w:rPr>
      </w:pPr>
      <w:r>
        <w:rPr>
          <w:rFonts w:ascii="Arial" w:cs="Arial" w:eastAsia="Arial" w:hAnsi="Arial"/>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Indebtedness</w:t>
      </w:r>
    </w:p>
    <w:p>
      <w:pPr>
        <w:spacing w:after="0" w:line="87"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5"/>
          <w:szCs w:val="15"/>
          <w:color w:val="auto"/>
        </w:rPr>
        <w:t>On June 24, 2021, Booz Allen Hamilton Inc. ("Booz Allen Hamilton"), Booz Allen Hamilton Investor Corporation, and certain wholly-owned subsidiaries of Booz Allen Hamilton, entered into the eighth amendment (the "Eighth Amendment") to the Credit Agreement dated as of July 31, 2012, as amended (the "Existing Credit Agreement" and, as amended, the "Credit Agreement"), with certain institutional lenders and Bank of America, N.A., as Administrative Agent and Collateral Agent. The Eighth Amendment added an additional tier in the pricing grid and extended the maturity applicable to both the Term Loan A (the "Term Loan A") and revolving credit facility (the "Revolving Credit Facility") to June 24, 2026, increased the aggregate principal amount of the Revolving Credit Facility and the letter of credit sublimit thereunder, and made certain other amendments to the financial covenants and other terms under the Existing Credit Agreement. The interest rate and maturity date applicable to the Term Loan B (the "Term Loan B" and, together with the Term Loan A, the "Term Loans") remained unchanged.</w:t>
      </w:r>
    </w:p>
    <w:p>
      <w:pPr>
        <w:spacing w:after="0" w:line="184" w:lineRule="exact"/>
        <w:rPr>
          <w:sz w:val="20"/>
          <w:szCs w:val="20"/>
          <w:color w:val="auto"/>
        </w:rPr>
      </w:pPr>
    </w:p>
    <w:p>
      <w:pPr>
        <w:ind w:firstLine="385"/>
        <w:spacing w:after="0" w:line="257" w:lineRule="auto"/>
        <w:rPr>
          <w:sz w:val="20"/>
          <w:szCs w:val="20"/>
          <w:color w:val="auto"/>
        </w:rPr>
      </w:pPr>
      <w:r>
        <w:rPr>
          <w:rFonts w:ascii="Arial" w:cs="Arial" w:eastAsia="Arial" w:hAnsi="Arial"/>
          <w:sz w:val="15"/>
          <w:szCs w:val="15"/>
          <w:color w:val="auto"/>
        </w:rPr>
        <w:t>As of September 30, 2021, the Credit Agreement provided Booz Allen Hamilton with a $1,273.6 million Term Loan A, a $382.3 million Term Loan B, and $1,000.0 million in New Revolving Commitments with a sub-limit for letters of credit of $200.0 million (collectively, the "Secured Credit Facility"). As of September 30, 2021, the maturity date of Term Loan B was November 26, 2026. Booz Allen Hamilton’s obligations and the guarantors’ guarantees under the Credit Agreement (the "Guarantee")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$909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senior secured leverage remains less than or equal to 3.50:1.00.</w:t>
      </w:r>
    </w:p>
    <w:p>
      <w:pPr>
        <w:spacing w:after="0" w:line="56" w:lineRule="exact"/>
        <w:rPr>
          <w:sz w:val="20"/>
          <w:szCs w:val="20"/>
          <w:color w:val="auto"/>
        </w:rPr>
      </w:pPr>
    </w:p>
    <w:p>
      <w:pPr>
        <w:ind w:right="40" w:firstLine="385"/>
        <w:spacing w:after="0"/>
        <w:rPr>
          <w:sz w:val="20"/>
          <w:szCs w:val="20"/>
          <w:color w:val="auto"/>
        </w:rPr>
      </w:pPr>
      <w:r>
        <w:rPr>
          <w:rFonts w:ascii="Arial" w:cs="Arial" w:eastAsia="Arial" w:hAnsi="Arial"/>
          <w:sz w:val="16"/>
          <w:szCs w:val="16"/>
          <w:color w:val="auto"/>
        </w:rPr>
        <w:t>At Booz Allen Hamilton's option, borrowings under the Term Loan A and the Revolving Credit Facility bear interest based either on LIBOR (adjusted for maximum reserves, and subject to a floor of zero) for the applicable interest period or a base rate equal to the highest of (i) the administrative agent’s prime corporate rate, (ii) the overnight federal funds rate plus 0.50%, and (iii)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1.125% to 2.00% for LIBOR loans and 0.125% to 1.00% for base rate loans, in each case based on Booz Allen Hamilton’s consolidated total net leverage ratio. Unused commitments under the Revolving Credit Facility are subject to a quarterly fee ranging from 0.175% to 0.35% based on Booz Allen Hamilton’s consolidated total net leverage ratio. Booz Allen Hamilton also agreed to pay customary letter of credit and agency fees. The applicable margin for Term Loan B is 1.75% for LIBOR loans and 0.75% for base rate loans.</w:t>
      </w:r>
    </w:p>
    <w:p>
      <w:pPr>
        <w:spacing w:after="0" w:line="66" w:lineRule="exact"/>
        <w:rPr>
          <w:sz w:val="20"/>
          <w:szCs w:val="20"/>
          <w:color w:val="auto"/>
        </w:rPr>
      </w:pPr>
    </w:p>
    <w:p>
      <w:pPr>
        <w:ind w:right="200" w:firstLine="385"/>
        <w:spacing w:after="0" w:line="270" w:lineRule="auto"/>
        <w:rPr>
          <w:sz w:val="20"/>
          <w:szCs w:val="20"/>
          <w:color w:val="auto"/>
        </w:rPr>
      </w:pPr>
      <w:r>
        <w:rPr>
          <w:rFonts w:ascii="Arial" w:cs="Arial" w:eastAsia="Arial" w:hAnsi="Arial"/>
          <w:sz w:val="15"/>
          <w:szCs w:val="15"/>
          <w:color w:val="auto"/>
        </w:rPr>
        <w:t>Booz Allen Hamilton occasionally borrows under the Revolving Credit Facility in anticipation of cash demands. For the three months ended September 30, 2021, Booz Allen Hamilton did not access its Revolving Credit Facility. For the six months ended September 30, 2021, Booz Allen Hamilton accessed $60.0 million of its Revolving Credit Facility, which was repaid in June 2021. For the three and six months ended September 30, 2020, Booz Allen Hamilton did not access its Revolving Credit Facility. As of September 30, 2021 and March 31, 2021, there was no outstanding balance on the Revolving Credit Facility.</w:t>
      </w:r>
    </w:p>
    <w:p>
      <w:pPr>
        <w:spacing w:after="0" w:line="57" w:lineRule="exact"/>
        <w:rPr>
          <w:sz w:val="20"/>
          <w:szCs w:val="20"/>
          <w:color w:val="auto"/>
        </w:rPr>
      </w:pPr>
    </w:p>
    <w:p>
      <w:pPr>
        <w:ind w:right="220" w:firstLine="385"/>
        <w:spacing w:after="0" w:line="277" w:lineRule="auto"/>
        <w:rPr>
          <w:sz w:val="20"/>
          <w:szCs w:val="20"/>
          <w:color w:val="auto"/>
        </w:rPr>
      </w:pPr>
      <w:r>
        <w:rPr>
          <w:rFonts w:ascii="Arial" w:cs="Arial" w:eastAsia="Arial" w:hAnsi="Arial"/>
          <w:sz w:val="17"/>
          <w:szCs w:val="17"/>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right="80" w:firstLine="385"/>
        <w:spacing w:after="0" w:line="277" w:lineRule="auto"/>
        <w:rPr>
          <w:sz w:val="20"/>
          <w:szCs w:val="20"/>
          <w:color w:val="auto"/>
        </w:rPr>
      </w:pPr>
      <w:r>
        <w:rPr>
          <w:rFonts w:ascii="Arial" w:cs="Arial" w:eastAsia="Arial" w:hAnsi="Arial"/>
          <w:sz w:val="17"/>
          <w:szCs w:val="17"/>
          <w:color w:val="auto"/>
        </w:rPr>
        <w:t>As of September 30, 2021 and March 31, 2021, Booz Allen Hamilton was contingently liable under open standby letters of credit and bank guarantees issued by its banks in favor of third parties that totaled $8.2 million and $9.8 million,</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respectively. These letters of credit and bank guarantees primarily support insurance and bid and performance obligations. For both September 30, 2021 and March 31, 2021, approximately $0.9 million, of these instruments reduced the available borrowings under the Revolving Credit Facility. The remainder is guaranteed under a separate $20.0 million facility of which $12.7 million and $11.1 million, respectively, was available to Booz Allen Hamilton at September 30, 2021 and March 31, 2021. As of September 30, 2021, Booz Allen Hamilton had $999.1 million of capacity available for additional borrowings under the Revolving Credit Facility.</w:t>
      </w:r>
    </w:p>
    <w:p>
      <w:pPr>
        <w:spacing w:after="0" w:line="77" w:lineRule="exact"/>
        <w:rPr>
          <w:sz w:val="20"/>
          <w:szCs w:val="20"/>
          <w:color w:val="auto"/>
        </w:rPr>
      </w:pPr>
    </w:p>
    <w:p>
      <w:pPr>
        <w:ind w:firstLine="385"/>
        <w:spacing w:after="0" w:line="287" w:lineRule="auto"/>
        <w:rPr>
          <w:sz w:val="20"/>
          <w:szCs w:val="20"/>
          <w:color w:val="auto"/>
        </w:rPr>
      </w:pPr>
      <w:r>
        <w:rPr>
          <w:rFonts w:ascii="Arial" w:cs="Arial" w:eastAsia="Arial" w:hAnsi="Arial"/>
          <w:sz w:val="15"/>
          <w:szCs w:val="15"/>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 (vi) 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w:t>
      </w:r>
    </w:p>
    <w:p>
      <w:pPr>
        <w:spacing w:after="0" w:line="3" w:lineRule="exact"/>
        <w:rPr>
          <w:sz w:val="20"/>
          <w:szCs w:val="20"/>
          <w:color w:val="auto"/>
        </w:rPr>
      </w:pPr>
    </w:p>
    <w:p>
      <w:pPr>
        <w:ind w:right="120" w:firstLine="3"/>
        <w:spacing w:after="0" w:line="255" w:lineRule="auto"/>
        <w:tabs>
          <w:tab w:leader="none" w:pos="242" w:val="left"/>
        </w:tabs>
        <w:numPr>
          <w:ilvl w:val="0"/>
          <w:numId w:val="31"/>
        </w:numPr>
        <w:rPr>
          <w:rFonts w:ascii="Arial" w:cs="Arial" w:eastAsia="Arial" w:hAnsi="Arial"/>
          <w:sz w:val="17"/>
          <w:szCs w:val="17"/>
          <w:color w:val="auto"/>
        </w:rPr>
      </w:pPr>
      <w:r>
        <w:rPr>
          <w:rFonts w:ascii="Arial" w:cs="Arial" w:eastAsia="Arial" w:hAnsi="Arial"/>
          <w:sz w:val="17"/>
          <w:szCs w:val="17"/>
          <w:color w:val="auto"/>
        </w:rPr>
        <w:t>certain material judgments; (h) actual or asserted invalidity of the Guarantee and collateral agreements or the other security documents or failure of the guarantees or perfected liens thereunder; and (i) a change of control. Booz Allen Hamilton is required to meet certain financial covenants at each quarter end, namely consolidated net total leverage and consolidated net interest coverage ratios. As of September 30, 2021 and March 31, 2021, we were compliant with these covenants.</w:t>
      </w:r>
    </w:p>
    <w:p>
      <w:pPr>
        <w:spacing w:after="0" w:line="81" w:lineRule="exact"/>
        <w:rPr>
          <w:sz w:val="20"/>
          <w:szCs w:val="20"/>
          <w:color w:val="auto"/>
        </w:rPr>
      </w:pPr>
    </w:p>
    <w:p>
      <w:pPr>
        <w:ind w:right="20" w:firstLine="385"/>
        <w:spacing w:after="0" w:line="288" w:lineRule="auto"/>
        <w:rPr>
          <w:sz w:val="20"/>
          <w:szCs w:val="20"/>
          <w:color w:val="auto"/>
        </w:rPr>
      </w:pPr>
      <w:r>
        <w:rPr>
          <w:rFonts w:ascii="Arial" w:cs="Arial" w:eastAsia="Arial" w:hAnsi="Arial"/>
          <w:sz w:val="16"/>
          <w:szCs w:val="16"/>
          <w:color w:val="auto"/>
        </w:rPr>
        <w:t>For the three months ended September 30, 2021 and 2020, interest payments of $5.6 million and $5.8 million were made for Term Loan A, respectively, and $1.8 million and $1.9 million were made for Term Loan B, respectively. For the six months ended September 30, 2021 and 2020, interest payments of $10.5 million and $12.7 million were made for Term Loan A, respectively, and $3.6 million and $4.1 million were made for Term Loan B, respectively.</w:t>
      </w:r>
    </w:p>
    <w:p>
      <w:pPr>
        <w:spacing w:after="0" w:line="56" w:lineRule="exact"/>
        <w:rPr>
          <w:sz w:val="20"/>
          <w:szCs w:val="20"/>
          <w:color w:val="auto"/>
        </w:rPr>
      </w:pPr>
    </w:p>
    <w:p>
      <w:pPr>
        <w:jc w:val="both"/>
        <w:ind w:right="140" w:firstLine="385"/>
        <w:spacing w:after="0" w:line="258" w:lineRule="auto"/>
        <w:rPr>
          <w:sz w:val="20"/>
          <w:szCs w:val="20"/>
          <w:color w:val="auto"/>
        </w:rPr>
      </w:pPr>
      <w:r>
        <w:rPr>
          <w:rFonts w:ascii="Arial" w:cs="Arial" w:eastAsia="Arial" w:hAnsi="Arial"/>
          <w:sz w:val="17"/>
          <w:szCs w:val="17"/>
          <w:color w:val="auto"/>
        </w:rPr>
        <w:t>Borrowings under the Term Loans and, if used, the Revolving Credit Facility, incur interest at a variable rate. In accordance with Booz Allen Hamilton's risk management strategy, Booz Allen Hamilton executed a series of interest rate swaps. As of September 30, 2021, Booz Allen Hamilton had interest rate swaps with an aggregate notional amount of $700.0 million. These instruments hedge the variability of cash outflows for interest payments on the Term Loans and Revolving Credit Facility. The Company's objectives in using cash flow hedges are to reduce volatility due to interest rate movements and to add stability to interest expense (See Note 9 to our condensed consolidated financial statements).</w:t>
      </w:r>
    </w:p>
    <w:p>
      <w:pPr>
        <w:spacing w:after="0" w:line="65" w:lineRule="exact"/>
        <w:rPr>
          <w:sz w:val="20"/>
          <w:szCs w:val="20"/>
          <w:color w:val="auto"/>
        </w:rPr>
      </w:pPr>
    </w:p>
    <w:p>
      <w:pPr>
        <w:ind w:firstLine="385"/>
        <w:spacing w:after="0" w:line="226" w:lineRule="auto"/>
        <w:rPr>
          <w:sz w:val="20"/>
          <w:szCs w:val="20"/>
          <w:color w:val="auto"/>
        </w:rPr>
      </w:pPr>
      <w:r>
        <w:rPr>
          <w:rFonts w:ascii="Arial" w:cs="Arial" w:eastAsia="Arial" w:hAnsi="Arial"/>
          <w:sz w:val="17"/>
          <w:szCs w:val="17"/>
          <w:color w:val="auto"/>
        </w:rPr>
        <w:t>On June 17, 2021, Booz Allen Hamilton issued $500.0 million aggregate principal amounts of its 4.000% Senior Notes due July 1, 2029 (the “Senior Notes due 2029”) under an Indenture, dated as of June 17, 2021, among Booz Allen Hamilton, certain subsidiaries of Booz Allen Hamilton, as guarantors (the “Subsidiary Guarantors”), and Wilmington Trust, National Association (in such capacity, the “Trustee”), as supplemented by the First Supplemental Indenture, dated as of June 17, 2021, among Booz Allen Hamilton, the Subsidiary Guarantors and the Trustee. The Senior Notes due 2029 and the related guarantees are Booz Allen Hamilton’s and each Subsidiary Guarantors’ senior unsecured obligations and rank equally in right of payment with all of Booz Allen Hamilton’s and the Subsidiary Guarantors’ existing and future senior indebtedness and rank senior in right of payment to any of Booz Allen Hamilton’s and the Subsidiary Guarantors’ future subordinated indebtedness. The net proceeds from the sale of the Senior Notes due 2029 were used to fund the acquisition of Liberty and to pay related fees and expenses.</w:t>
      </w:r>
    </w:p>
    <w:p>
      <w:pPr>
        <w:spacing w:after="0" w:line="194" w:lineRule="exact"/>
        <w:rPr>
          <w:sz w:val="20"/>
          <w:szCs w:val="20"/>
          <w:color w:val="auto"/>
        </w:rPr>
      </w:pPr>
    </w:p>
    <w:p>
      <w:pPr>
        <w:ind w:right="2960" w:firstLine="385"/>
        <w:spacing w:after="0" w:line="255" w:lineRule="auto"/>
        <w:rPr>
          <w:sz w:val="20"/>
          <w:szCs w:val="20"/>
          <w:color w:val="auto"/>
        </w:rPr>
      </w:pPr>
      <w:r>
        <w:rPr>
          <w:rFonts w:ascii="Arial" w:cs="Arial" w:eastAsia="Arial" w:hAnsi="Arial"/>
          <w:sz w:val="17"/>
          <w:szCs w:val="17"/>
          <w:color w:val="auto"/>
        </w:rPr>
        <w:t>Interest is payable on the Senior Notes due 2029 semi-annually in cash in arrears on July 1 and January 1 of each year, beginning on January 1, 2022. In connection with the issuance of the Senior Notes due 2029, the Company recognized $6.5 million of issuance costs, which were recorded as an offset against the carrying value of debt and will be amortized to interest expense over the term of the Senior Notes due 2029.</w:t>
      </w:r>
    </w:p>
    <w:p>
      <w:pPr>
        <w:spacing w:after="0" w:line="79" w:lineRule="exact"/>
        <w:rPr>
          <w:sz w:val="20"/>
          <w:szCs w:val="20"/>
          <w:color w:val="auto"/>
        </w:rPr>
      </w:pPr>
    </w:p>
    <w:p>
      <w:pPr>
        <w:ind w:right="20" w:firstLine="385"/>
        <w:spacing w:after="0" w:line="256" w:lineRule="auto"/>
        <w:rPr>
          <w:sz w:val="20"/>
          <w:szCs w:val="20"/>
          <w:color w:val="auto"/>
        </w:rPr>
      </w:pPr>
      <w:r>
        <w:rPr>
          <w:rFonts w:ascii="Arial" w:cs="Arial" w:eastAsia="Arial" w:hAnsi="Arial"/>
          <w:sz w:val="17"/>
          <w:szCs w:val="17"/>
          <w:color w:val="auto"/>
        </w:rPr>
        <w:t>On August 24, 2020, Booz Allen Hamilton issued $700.0 million aggregate principal amount of its 3.875% Senior Notes due 2028 (the “Senior Notes due 2028”). Interest is payable on the Senior Notes due 2028 semi-annually on March 1 and September 1 of each year, beginning on March 1, 2021, and the principal is due at maturity on September 1, 2028. In connection with the issuance of the Senior Notes due 2028, the Company recognized $9.2 million of issuance costs, which were recorded as an offset against the carrying value of the debt and will be amortized to interest expense over the term of the Senior Notes due 2028. Booz Allen Hamilton used a portion of the net proceeds from the sale of the Senior Notes due 2028 to redeem in full $350 million aggregate principal amount of the outstanding Senior Notes due 2025 and used the remaining net proceeds from the sale of the Senior Notes due 2028 for working capital and other general corporate purposes.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Structure and Resources</w:t>
      </w:r>
    </w:p>
    <w:p>
      <w:pPr>
        <w:spacing w:after="0" w:line="116" w:lineRule="exact"/>
        <w:rPr>
          <w:sz w:val="20"/>
          <w:szCs w:val="20"/>
          <w:color w:val="auto"/>
        </w:rPr>
      </w:pPr>
    </w:p>
    <w:p>
      <w:pPr>
        <w:ind w:right="180" w:firstLine="385"/>
        <w:spacing w:after="0" w:line="305" w:lineRule="auto"/>
        <w:rPr>
          <w:sz w:val="20"/>
          <w:szCs w:val="20"/>
          <w:color w:val="auto"/>
        </w:rPr>
      </w:pPr>
      <w:r>
        <w:rPr>
          <w:rFonts w:ascii="Arial" w:cs="Arial" w:eastAsia="Arial" w:hAnsi="Arial"/>
          <w:sz w:val="15"/>
          <w:szCs w:val="15"/>
          <w:color w:val="auto"/>
        </w:rPr>
        <w:t>Our stockholders’ equity amounted to $1,048.1 million as of September 30, 2021, a decrease of $23.1 million compared to stockholders’ equity of $1,071.2 million as of March 31, 2021. The decrease was primarily due to $217.0 million in treasury stock resulting from the repurchase of shares of our Class A Common Stock, and $101.8 million in quarterly dividend payments for the six months ended September 30, 2021, partially offset by net income of $246.9 million, stock-based compensation expense of $28.4 million, and issuance of common stock of 10.3 million during the six months ended September 30, 2021.</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16" w:lineRule="exact"/>
        <w:rPr>
          <w:sz w:val="20"/>
          <w:szCs w:val="20"/>
          <w:color w:val="auto"/>
        </w:rPr>
      </w:pPr>
    </w:p>
    <w:p>
      <w:pPr>
        <w:ind w:right="60" w:firstLine="385"/>
        <w:spacing w:after="0" w:line="278" w:lineRule="auto"/>
        <w:rPr>
          <w:sz w:val="20"/>
          <w:szCs w:val="20"/>
          <w:color w:val="auto"/>
        </w:rPr>
      </w:pPr>
      <w:r>
        <w:rPr>
          <w:rFonts w:ascii="Arial" w:cs="Arial" w:eastAsia="Arial" w:hAnsi="Arial"/>
          <w:sz w:val="16"/>
          <w:szCs w:val="16"/>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expenditures. Our capital expenditures for the six months ended September 30, 2021 and 2020 were $29.7 million and $38.1 million, respectively. The decrease in capital expenditures was primarily driven by lower spend related to the implementation of our new financial management systems on April 1, 2021 as compared to the prior year period, as well as lower facilities expenses reflecting the investment in technology and tools needed to support the virtual work environment.</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116" w:lineRule="exact"/>
        <w:rPr>
          <w:sz w:val="20"/>
          <w:szCs w:val="20"/>
          <w:color w:val="auto"/>
        </w:rPr>
      </w:pPr>
    </w:p>
    <w:p>
      <w:pPr>
        <w:ind w:right="40" w:firstLine="385"/>
        <w:spacing w:after="0" w:line="277" w:lineRule="auto"/>
        <w:rPr>
          <w:sz w:val="20"/>
          <w:szCs w:val="20"/>
          <w:color w:val="auto"/>
        </w:rPr>
      </w:pPr>
      <w:r>
        <w:rPr>
          <w:rFonts w:ascii="Arial" w:cs="Arial" w:eastAsia="Arial" w:hAnsi="Arial"/>
          <w:sz w:val="17"/>
          <w:szCs w:val="17"/>
          <w:color w:val="auto"/>
        </w:rPr>
        <w:t>We are subject to a number of reviews, investigations, claims, lawsuits, and other uncertainties related to our business. For a discussion of these items, refer to Note 17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Regarding Forward Looking Statements</w:t>
      </w:r>
    </w:p>
    <w:p>
      <w:pPr>
        <w:spacing w:after="0" w:line="116" w:lineRule="exact"/>
        <w:rPr>
          <w:sz w:val="20"/>
          <w:szCs w:val="20"/>
          <w:color w:val="auto"/>
        </w:rPr>
      </w:pPr>
    </w:p>
    <w:p>
      <w:pPr>
        <w:ind w:right="20" w:firstLine="385"/>
        <w:spacing w:after="0" w:line="295" w:lineRule="auto"/>
        <w:rPr>
          <w:sz w:val="20"/>
          <w:szCs w:val="20"/>
          <w:color w:val="auto"/>
        </w:rPr>
      </w:pPr>
      <w:r>
        <w:rPr>
          <w:rFonts w:ascii="Arial" w:cs="Arial" w:eastAsia="Arial" w:hAnsi="Arial"/>
          <w:sz w:val="15"/>
          <w:szCs w:val="15"/>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54" w:lineRule="exact"/>
        <w:rPr>
          <w:sz w:val="20"/>
          <w:szCs w:val="20"/>
          <w:color w:val="auto"/>
        </w:rPr>
      </w:pPr>
    </w:p>
    <w:p>
      <w:pPr>
        <w:ind w:left="620" w:right="240" w:hanging="310"/>
        <w:spacing w:after="0" w:line="258" w:lineRule="auto"/>
        <w:tabs>
          <w:tab w:leader="none" w:pos="6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issue that compromises our relationships with the U.S. government or damages our professional reputation, including negative publicity concerning government contractors in general or us in particular;</w:t>
      </w:r>
    </w:p>
    <w:p>
      <w:pPr>
        <w:spacing w:after="0" w:line="1" w:lineRule="exact"/>
        <w:rPr>
          <w:rFonts w:ascii="Arial" w:cs="Arial" w:eastAsia="Arial" w:hAnsi="Arial"/>
          <w:sz w:val="17"/>
          <w:szCs w:val="17"/>
          <w:color w:val="auto"/>
        </w:rPr>
      </w:pPr>
    </w:p>
    <w:p>
      <w:pPr>
        <w:ind w:left="620" w:hanging="310"/>
        <w:spacing w:after="0" w:line="312" w:lineRule="auto"/>
        <w:tabs>
          <w:tab w:leader="none" w:pos="615" w:val="left"/>
        </w:tabs>
        <w:numPr>
          <w:ilvl w:val="0"/>
          <w:numId w:val="32"/>
        </w:numPr>
        <w:rPr>
          <w:rFonts w:ascii="Arial" w:cs="Arial" w:eastAsia="Arial" w:hAnsi="Arial"/>
          <w:sz w:val="15"/>
          <w:szCs w:val="15"/>
          <w:color w:val="auto"/>
        </w:rPr>
      </w:pPr>
      <w:r>
        <w:rPr>
          <w:rFonts w:ascii="Arial" w:cs="Arial" w:eastAsia="Arial" w:hAnsi="Arial"/>
          <w:sz w:val="15"/>
          <w:szCs w:val="15"/>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U.S. administration transition;</w:t>
      </w:r>
    </w:p>
    <w:p>
      <w:pPr>
        <w:spacing w:after="0" w:line="27" w:lineRule="exact"/>
        <w:rPr>
          <w:rFonts w:ascii="Arial" w:cs="Arial" w:eastAsia="Arial" w:hAnsi="Arial"/>
          <w:sz w:val="15"/>
          <w:szCs w:val="15"/>
          <w:color w:val="auto"/>
        </w:rPr>
      </w:pPr>
    </w:p>
    <w:p>
      <w:pPr>
        <w:ind w:left="620" w:right="100" w:hanging="310"/>
        <w:spacing w:after="0" w:line="277" w:lineRule="auto"/>
        <w:tabs>
          <w:tab w:leader="none" w:pos="6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61" w:lineRule="exact"/>
        <w:rPr>
          <w:rFonts w:ascii="Arial" w:cs="Arial" w:eastAsia="Arial" w:hAnsi="Arial"/>
          <w:sz w:val="17"/>
          <w:szCs w:val="17"/>
          <w:color w:val="auto"/>
        </w:rPr>
      </w:pPr>
    </w:p>
    <w:p>
      <w:pPr>
        <w:ind w:left="620" w:right="40" w:hanging="310"/>
        <w:spacing w:after="0" w:line="260" w:lineRule="auto"/>
        <w:tabs>
          <w:tab w:leader="none" w:pos="6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delayed funding of our contracts due to uncertainty relating to funding of the U.S. government and a possible failure of Congressional efforts to approve such funding and to craft a long-term agreement on the U.S. government’s ability to incur indebtedness in excess of its current limits, prior to December 3, 2021, the date on which legislation relating to the U.S. government's debt limit expires, or changes in the pattern or timing of government funding and spending;</w:t>
      </w:r>
    </w:p>
    <w:p>
      <w:pPr>
        <w:spacing w:after="0" w:line="75" w:lineRule="exact"/>
        <w:rPr>
          <w:rFonts w:ascii="Arial" w:cs="Arial" w:eastAsia="Arial" w:hAnsi="Arial"/>
          <w:sz w:val="17"/>
          <w:szCs w:val="17"/>
          <w:color w:val="auto"/>
        </w:rPr>
      </w:pPr>
    </w:p>
    <w:p>
      <w:pPr>
        <w:ind w:left="620" w:hanging="310"/>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U.S. government shutdowns, as a result of the failure by elected officials to fund the government;</w:t>
      </w:r>
    </w:p>
    <w:p>
      <w:pPr>
        <w:spacing w:after="0" w:line="112" w:lineRule="exact"/>
        <w:rPr>
          <w:rFonts w:ascii="Arial" w:cs="Arial" w:eastAsia="Arial" w:hAnsi="Arial"/>
          <w:sz w:val="17"/>
          <w:szCs w:val="17"/>
          <w:color w:val="auto"/>
        </w:rPr>
      </w:pPr>
    </w:p>
    <w:p>
      <w:pPr>
        <w:ind w:left="620" w:right="80" w:hanging="310"/>
        <w:spacing w:after="0" w:line="277" w:lineRule="auto"/>
        <w:tabs>
          <w:tab w:leader="none" w:pos="6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61" w:lineRule="exact"/>
        <w:rPr>
          <w:rFonts w:ascii="Arial" w:cs="Arial" w:eastAsia="Arial" w:hAnsi="Arial"/>
          <w:sz w:val="17"/>
          <w:szCs w:val="17"/>
          <w:color w:val="auto"/>
        </w:rPr>
      </w:pPr>
    </w:p>
    <w:p>
      <w:pPr>
        <w:ind w:left="620" w:right="220" w:hanging="310"/>
        <w:spacing w:after="0" w:line="264" w:lineRule="auto"/>
        <w:tabs>
          <w:tab w:leader="none" w:pos="6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effects of COVID-19, and other pandemics or widespread health epidemics, including disruptions to our workforce and the impact on government spending and demand for our solutions, as well as the impact of our Company policy requiring full COVID-19 vaccinations of all employees, except for employees who qualify for medical or religious exemptions;</w:t>
      </w:r>
    </w:p>
    <w:p>
      <w:pPr>
        <w:spacing w:after="0" w:line="72" w:lineRule="exact"/>
        <w:rPr>
          <w:rFonts w:ascii="Arial" w:cs="Arial" w:eastAsia="Arial" w:hAnsi="Arial"/>
          <w:sz w:val="17"/>
          <w:szCs w:val="17"/>
          <w:color w:val="auto"/>
        </w:rPr>
      </w:pPr>
    </w:p>
    <w:p>
      <w:pPr>
        <w:ind w:left="620" w:right="440" w:hanging="310"/>
        <w:spacing w:after="0" w:line="277" w:lineRule="auto"/>
        <w:tabs>
          <w:tab w:leader="none" w:pos="6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compete effectively in the competitive bidding process and delays or losses of contract awards caused by competitors' protests of major contract awards received by us;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right="440" w:hanging="310"/>
        <w:spacing w:after="0" w:line="277"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variable purchasing patterns under U.S. government General Services Administration Multiple Award schedule contracts, or GSA schedules, blanket purchase agreements and indefinite delivery, indefinite quantity, or IDIQ contracts;</w:t>
      </w:r>
    </w:p>
    <w:p>
      <w:pPr>
        <w:spacing w:after="0" w:line="61" w:lineRule="exact"/>
        <w:rPr>
          <w:rFonts w:ascii="Arial" w:cs="Arial" w:eastAsia="Arial" w:hAnsi="Arial"/>
          <w:sz w:val="17"/>
          <w:szCs w:val="17"/>
          <w:color w:val="auto"/>
        </w:rPr>
      </w:pPr>
    </w:p>
    <w:p>
      <w:pPr>
        <w:ind w:left="620" w:hanging="31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loss of GSA schedules or our position as prime contractor on government-wide acquisition contract vehicles, or GWACs;</w:t>
      </w:r>
    </w:p>
    <w:p>
      <w:pPr>
        <w:spacing w:after="0" w:line="112" w:lineRule="exact"/>
        <w:rPr>
          <w:rFonts w:ascii="Arial" w:cs="Arial" w:eastAsia="Arial" w:hAnsi="Arial"/>
          <w:sz w:val="17"/>
          <w:szCs w:val="17"/>
          <w:color w:val="auto"/>
        </w:rPr>
      </w:pPr>
    </w:p>
    <w:p>
      <w:pPr>
        <w:ind w:left="620" w:hanging="310"/>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the mix of our contracts and our ability to accurately estimate or otherwise recover expenses, time, and resources for our contracts;</w:t>
      </w:r>
    </w:p>
    <w:p>
      <w:pPr>
        <w:spacing w:after="0" w:line="123" w:lineRule="exact"/>
        <w:rPr>
          <w:rFonts w:ascii="Arial" w:cs="Arial" w:eastAsia="Arial" w:hAnsi="Arial"/>
          <w:sz w:val="16"/>
          <w:szCs w:val="16"/>
          <w:color w:val="auto"/>
        </w:rPr>
      </w:pPr>
    </w:p>
    <w:p>
      <w:pPr>
        <w:ind w:left="620" w:hanging="31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estimates used in recognizing revenue;</w:t>
      </w:r>
    </w:p>
    <w:p>
      <w:pPr>
        <w:spacing w:after="0" w:line="112" w:lineRule="exact"/>
        <w:rPr>
          <w:rFonts w:ascii="Arial" w:cs="Arial" w:eastAsia="Arial" w:hAnsi="Arial"/>
          <w:sz w:val="17"/>
          <w:szCs w:val="17"/>
          <w:color w:val="auto"/>
        </w:rPr>
      </w:pPr>
    </w:p>
    <w:p>
      <w:pPr>
        <w:ind w:left="620" w:right="180" w:hanging="310"/>
        <w:spacing w:after="0" w:line="277"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realize the full value of and replenish our backlog, generate revenue under certain of our contracts, and the timing of our receipt of revenue under contracts included in backlog;</w:t>
      </w:r>
    </w:p>
    <w:p>
      <w:pPr>
        <w:spacing w:after="0" w:line="61" w:lineRule="exact"/>
        <w:rPr>
          <w:rFonts w:ascii="Arial" w:cs="Arial" w:eastAsia="Arial" w:hAnsi="Arial"/>
          <w:sz w:val="17"/>
          <w:szCs w:val="17"/>
          <w:color w:val="auto"/>
        </w:rPr>
      </w:pPr>
    </w:p>
    <w:p>
      <w:pPr>
        <w:ind w:left="620" w:right="560" w:hanging="310"/>
        <w:spacing w:after="0" w:line="277"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internal system or service failures and security breaches, including, but not limited to, those resulting from external or internal cyber attacks on our network and internal systems;</w:t>
      </w:r>
    </w:p>
    <w:p>
      <w:pPr>
        <w:spacing w:after="0" w:line="61" w:lineRule="exact"/>
        <w:rPr>
          <w:rFonts w:ascii="Arial" w:cs="Arial" w:eastAsia="Arial" w:hAnsi="Arial"/>
          <w:sz w:val="17"/>
          <w:szCs w:val="17"/>
          <w:color w:val="auto"/>
        </w:rPr>
      </w:pPr>
    </w:p>
    <w:p>
      <w:pPr>
        <w:ind w:left="620" w:hanging="31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risks related to the implementation and operation of new financial management systems;</w:t>
      </w:r>
    </w:p>
    <w:p>
      <w:pPr>
        <w:spacing w:after="0" w:line="112" w:lineRule="exact"/>
        <w:rPr>
          <w:rFonts w:ascii="Arial" w:cs="Arial" w:eastAsia="Arial" w:hAnsi="Arial"/>
          <w:sz w:val="17"/>
          <w:szCs w:val="17"/>
          <w:color w:val="auto"/>
        </w:rPr>
      </w:pPr>
    </w:p>
    <w:p>
      <w:pPr>
        <w:ind w:left="620" w:hanging="31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inability to attract, train, or retain employees with the requisite skills and experience;</w:t>
      </w:r>
    </w:p>
    <w:p>
      <w:pPr>
        <w:spacing w:after="0" w:line="112" w:lineRule="exact"/>
        <w:rPr>
          <w:rFonts w:ascii="Arial" w:cs="Arial" w:eastAsia="Arial" w:hAnsi="Arial"/>
          <w:sz w:val="17"/>
          <w:szCs w:val="17"/>
          <w:color w:val="auto"/>
        </w:rPr>
      </w:pPr>
    </w:p>
    <w:p>
      <w:pPr>
        <w:ind w:left="620" w:hanging="310"/>
        <w:spacing w:after="0" w:line="277"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inability to timely hire, assimilate and effectively utilize our employees, ensure that employees obtain and maintain necessary security clearances and/or effectively manage our cost structure;</w:t>
      </w:r>
    </w:p>
    <w:p>
      <w:pPr>
        <w:spacing w:after="0" w:line="61" w:lineRule="exact"/>
        <w:rPr>
          <w:rFonts w:ascii="Arial" w:cs="Arial" w:eastAsia="Arial" w:hAnsi="Arial"/>
          <w:sz w:val="17"/>
          <w:szCs w:val="17"/>
          <w:color w:val="auto"/>
        </w:rPr>
      </w:pPr>
    </w:p>
    <w:p>
      <w:pPr>
        <w:ind w:left="620" w:hanging="31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loss of members of senior management or failure to develop new leaders;</w:t>
      </w:r>
    </w:p>
    <w:p>
      <w:pPr>
        <w:spacing w:after="0" w:line="112" w:lineRule="exact"/>
        <w:rPr>
          <w:rFonts w:ascii="Arial" w:cs="Arial" w:eastAsia="Arial" w:hAnsi="Arial"/>
          <w:sz w:val="17"/>
          <w:szCs w:val="17"/>
          <w:color w:val="auto"/>
        </w:rPr>
      </w:pPr>
    </w:p>
    <w:p>
      <w:pPr>
        <w:ind w:left="620" w:right="160" w:hanging="310"/>
        <w:spacing w:after="0" w:line="277"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misconduct or other improper activities from our employees or subcontractors, including the improper use or release of our clients' sensitive or classified information;</w:t>
      </w:r>
    </w:p>
    <w:p>
      <w:pPr>
        <w:spacing w:after="0" w:line="61" w:lineRule="exact"/>
        <w:rPr>
          <w:rFonts w:ascii="Arial" w:cs="Arial" w:eastAsia="Arial" w:hAnsi="Arial"/>
          <w:sz w:val="17"/>
          <w:szCs w:val="17"/>
          <w:color w:val="auto"/>
        </w:rPr>
      </w:pPr>
    </w:p>
    <w:p>
      <w:pPr>
        <w:ind w:left="620" w:hanging="31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increased competition from other companies in our industry;</w:t>
      </w:r>
    </w:p>
    <w:p>
      <w:pPr>
        <w:spacing w:after="0" w:line="112" w:lineRule="exact"/>
        <w:rPr>
          <w:rFonts w:ascii="Arial" w:cs="Arial" w:eastAsia="Arial" w:hAnsi="Arial"/>
          <w:sz w:val="17"/>
          <w:szCs w:val="17"/>
          <w:color w:val="auto"/>
        </w:rPr>
      </w:pPr>
    </w:p>
    <w:p>
      <w:pPr>
        <w:ind w:left="620" w:right="320" w:hanging="310"/>
        <w:spacing w:after="0" w:line="277"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to maintain strong relationships with other contractors, or the failure of contractors with which we have entered into a sub- or prime- contractor relationship to meet their obligations to us or our clients;</w:t>
      </w:r>
    </w:p>
    <w:p>
      <w:pPr>
        <w:spacing w:after="0" w:line="61" w:lineRule="exact"/>
        <w:rPr>
          <w:rFonts w:ascii="Arial" w:cs="Arial" w:eastAsia="Arial" w:hAnsi="Arial"/>
          <w:sz w:val="17"/>
          <w:szCs w:val="17"/>
          <w:color w:val="auto"/>
        </w:rPr>
      </w:pPr>
    </w:p>
    <w:p>
      <w:pPr>
        <w:ind w:left="620" w:right="80" w:hanging="310"/>
        <w:spacing w:after="0" w:line="264"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2" w:lineRule="exact"/>
        <w:rPr>
          <w:rFonts w:ascii="Arial" w:cs="Arial" w:eastAsia="Arial" w:hAnsi="Arial"/>
          <w:sz w:val="17"/>
          <w:szCs w:val="17"/>
          <w:color w:val="auto"/>
        </w:rPr>
      </w:pPr>
    </w:p>
    <w:p>
      <w:pPr>
        <w:ind w:left="620" w:hanging="31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to comply with special U.S. government laws and regulations relating to our international operations;</w:t>
      </w:r>
    </w:p>
    <w:p>
      <w:pPr>
        <w:spacing w:after="0" w:line="112" w:lineRule="exact"/>
        <w:rPr>
          <w:rFonts w:ascii="Arial" w:cs="Arial" w:eastAsia="Arial" w:hAnsi="Arial"/>
          <w:sz w:val="17"/>
          <w:szCs w:val="17"/>
          <w:color w:val="auto"/>
        </w:rPr>
      </w:pPr>
    </w:p>
    <w:p>
      <w:pPr>
        <w:ind w:left="620" w:hanging="310"/>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risks associated with increased competition, new relationships, clients, capabilities, and service offerings in our U.S. and international businesses;</w:t>
      </w:r>
    </w:p>
    <w:p>
      <w:pPr>
        <w:spacing w:after="0" w:line="123" w:lineRule="exact"/>
        <w:rPr>
          <w:rFonts w:ascii="Arial" w:cs="Arial" w:eastAsia="Arial" w:hAnsi="Arial"/>
          <w:sz w:val="16"/>
          <w:szCs w:val="16"/>
          <w:color w:val="auto"/>
        </w:rPr>
      </w:pPr>
    </w:p>
    <w:p>
      <w:pPr>
        <w:ind w:left="620" w:right="560" w:hanging="310"/>
        <w:spacing w:after="0" w:line="277"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risks related to changes to our operating structure, capabilities, or strategy intended to address client needs, grow our business or respond to market developments;</w:t>
      </w:r>
    </w:p>
    <w:p>
      <w:pPr>
        <w:spacing w:after="0" w:line="61" w:lineRule="exact"/>
        <w:rPr>
          <w:rFonts w:ascii="Arial" w:cs="Arial" w:eastAsia="Arial" w:hAnsi="Arial"/>
          <w:sz w:val="17"/>
          <w:szCs w:val="17"/>
          <w:color w:val="auto"/>
        </w:rPr>
      </w:pPr>
    </w:p>
    <w:p>
      <w:pPr>
        <w:ind w:left="620" w:hanging="310"/>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123" w:lineRule="exact"/>
        <w:rPr>
          <w:rFonts w:ascii="Arial" w:cs="Arial" w:eastAsia="Arial" w:hAnsi="Arial"/>
          <w:sz w:val="16"/>
          <w:szCs w:val="16"/>
          <w:color w:val="auto"/>
        </w:rPr>
      </w:pPr>
    </w:p>
    <w:p>
      <w:pPr>
        <w:ind w:left="620" w:hanging="31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risks related to completed and future acquisitions, including our ability to realize the expected benefits from such acquisitions;</w:t>
      </w:r>
    </w:p>
    <w:p>
      <w:pPr>
        <w:spacing w:after="0" w:line="112" w:lineRule="exact"/>
        <w:rPr>
          <w:rFonts w:ascii="Arial" w:cs="Arial" w:eastAsia="Arial" w:hAnsi="Arial"/>
          <w:sz w:val="17"/>
          <w:szCs w:val="17"/>
          <w:color w:val="auto"/>
        </w:rPr>
      </w:pPr>
    </w:p>
    <w:p>
      <w:pPr>
        <w:ind w:left="620" w:hanging="310"/>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incurrence of additional tax liabilities, including as a result of changes in tax laws or management judgments involving complex tax matters;</w:t>
      </w:r>
    </w:p>
    <w:p>
      <w:pPr>
        <w:spacing w:after="0" w:line="123" w:lineRule="exact"/>
        <w:rPr>
          <w:rFonts w:ascii="Arial" w:cs="Arial" w:eastAsia="Arial" w:hAnsi="Arial"/>
          <w:sz w:val="16"/>
          <w:szCs w:val="16"/>
          <w:color w:val="auto"/>
        </w:rPr>
      </w:pPr>
    </w:p>
    <w:p>
      <w:pPr>
        <w:ind w:left="620" w:hanging="31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risks inherent in the government contracting environment;</w:t>
      </w:r>
    </w:p>
    <w:p>
      <w:pPr>
        <w:spacing w:after="0" w:line="112" w:lineRule="exact"/>
        <w:rPr>
          <w:rFonts w:ascii="Arial" w:cs="Arial" w:eastAsia="Arial" w:hAnsi="Arial"/>
          <w:sz w:val="17"/>
          <w:szCs w:val="17"/>
          <w:color w:val="auto"/>
        </w:rPr>
      </w:pPr>
    </w:p>
    <w:p>
      <w:pPr>
        <w:ind w:left="620" w:right="120" w:hanging="310"/>
        <w:spacing w:after="0" w:line="264"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spacing w:after="0" w:line="72" w:lineRule="exact"/>
        <w:rPr>
          <w:rFonts w:ascii="Arial" w:cs="Arial" w:eastAsia="Arial" w:hAnsi="Arial"/>
          <w:sz w:val="17"/>
          <w:szCs w:val="17"/>
          <w:color w:val="auto"/>
        </w:rPr>
      </w:pPr>
    </w:p>
    <w:p>
      <w:pPr>
        <w:ind w:left="620" w:hanging="310"/>
        <w:spacing w:after="0" w:line="277"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61" w:lineRule="exact"/>
        <w:rPr>
          <w:rFonts w:ascii="Arial" w:cs="Arial" w:eastAsia="Arial" w:hAnsi="Arial"/>
          <w:sz w:val="17"/>
          <w:szCs w:val="17"/>
          <w:color w:val="auto"/>
        </w:rPr>
      </w:pPr>
    </w:p>
    <w:p>
      <w:pPr>
        <w:ind w:left="620" w:hanging="31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size of our addressable markets and the amount of U.S. government spending on private contractors;</w:t>
      </w:r>
    </w:p>
    <w:p>
      <w:pPr>
        <w:spacing w:after="0" w:line="112" w:lineRule="exact"/>
        <w:rPr>
          <w:rFonts w:ascii="Arial" w:cs="Arial" w:eastAsia="Arial" w:hAnsi="Arial"/>
          <w:sz w:val="17"/>
          <w:szCs w:val="17"/>
          <w:color w:val="auto"/>
        </w:rPr>
      </w:pPr>
    </w:p>
    <w:p>
      <w:pPr>
        <w:ind w:left="620" w:hanging="310"/>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risks related to our indebtedness and credit facilities which contain financial and operating covenants;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right="100" w:hanging="310"/>
        <w:spacing w:after="0" w:line="277" w:lineRule="auto"/>
        <w:tabs>
          <w:tab w:leader="none" w:pos="6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61" w:lineRule="exact"/>
        <w:rPr>
          <w:rFonts w:ascii="Arial" w:cs="Arial" w:eastAsia="Arial" w:hAnsi="Arial"/>
          <w:sz w:val="17"/>
          <w:szCs w:val="17"/>
          <w:color w:val="auto"/>
        </w:rPr>
      </w:pPr>
    </w:p>
    <w:p>
      <w:pPr>
        <w:ind w:left="620" w:hanging="310"/>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risks and factors listed under “Item 1A. Risk Factors” and elsewhere in this Quarterly Report.</w:t>
      </w:r>
    </w:p>
    <w:p>
      <w:pPr>
        <w:spacing w:after="0" w:line="112" w:lineRule="exact"/>
        <w:rPr>
          <w:sz w:val="20"/>
          <w:szCs w:val="20"/>
          <w:color w:val="auto"/>
        </w:rPr>
      </w:pPr>
    </w:p>
    <w:p>
      <w:pPr>
        <w:ind w:right="120" w:firstLine="385"/>
        <w:spacing w:after="0" w:line="264" w:lineRule="auto"/>
        <w:rPr>
          <w:sz w:val="20"/>
          <w:szCs w:val="20"/>
          <w:color w:val="auto"/>
        </w:rPr>
      </w:pPr>
      <w:r>
        <w:rPr>
          <w:rFonts w:ascii="Arial" w:cs="Arial" w:eastAsia="Arial" w:hAnsi="Arial"/>
          <w:sz w:val="17"/>
          <w:szCs w:val="17"/>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6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16" w:lineRule="exact"/>
        <w:rPr>
          <w:sz w:val="20"/>
          <w:szCs w:val="20"/>
          <w:color w:val="auto"/>
        </w:rPr>
      </w:pPr>
    </w:p>
    <w:p>
      <w:pPr>
        <w:ind w:right="20" w:firstLine="385"/>
        <w:spacing w:after="0" w:line="315" w:lineRule="auto"/>
        <w:rPr>
          <w:sz w:val="20"/>
          <w:szCs w:val="20"/>
          <w:color w:val="auto"/>
        </w:rPr>
      </w:pPr>
      <w:r>
        <w:rPr>
          <w:rFonts w:ascii="Arial" w:cs="Arial" w:eastAsia="Arial" w:hAnsi="Arial"/>
          <w:sz w:val="15"/>
          <w:szCs w:val="15"/>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2021 filed with the Securities and Exchange Commission on May 21, 2021.</w:t>
      </w:r>
    </w:p>
    <w:p>
      <w:pPr>
        <w:spacing w:after="0" w:line="137"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16" w:lineRule="exact"/>
        <w:rPr>
          <w:sz w:val="20"/>
          <w:szCs w:val="20"/>
          <w:color w:val="auto"/>
        </w:rPr>
      </w:pPr>
    </w:p>
    <w:p>
      <w:pPr>
        <w:ind w:right="80" w:firstLine="385"/>
        <w:spacing w:after="0" w:line="260" w:lineRule="auto"/>
        <w:rPr>
          <w:sz w:val="20"/>
          <w:szCs w:val="20"/>
          <w:color w:val="auto"/>
        </w:rPr>
      </w:pPr>
      <w:r>
        <w:rPr>
          <w:rFonts w:ascii="Arial" w:cs="Arial" w:eastAsia="Arial" w:hAnsi="Arial"/>
          <w:sz w:val="17"/>
          <w:szCs w:val="17"/>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6" w:lineRule="exact"/>
        <w:rPr>
          <w:sz w:val="20"/>
          <w:szCs w:val="20"/>
          <w:color w:val="auto"/>
        </w:rPr>
      </w:pPr>
    </w:p>
    <w:p>
      <w:pPr>
        <w:ind w:firstLine="385"/>
        <w:spacing w:after="0" w:line="256" w:lineRule="auto"/>
        <w:rPr>
          <w:sz w:val="20"/>
          <w:szCs w:val="20"/>
          <w:color w:val="auto"/>
        </w:rPr>
      </w:pPr>
      <w:r>
        <w:rPr>
          <w:rFonts w:ascii="Arial" w:cs="Arial" w:eastAsia="Arial" w:hAnsi="Arial"/>
          <w:sz w:val="17"/>
          <w:szCs w:val="17"/>
          <w:color w:val="auto"/>
        </w:rPr>
        <w:t>During the first quarter of fiscal 2022, the Company implemented new accounting and procurement systems. As part of the implementation, we have designed new internal controls and modified and/or enhanced existing internal controls in order to align with the new systems and business processes. The Company does not believe this implementation has had or will have a material adverse effect on the Company's internal control over financial reporting in the future. Except as disclosed above, there have not been any additional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9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6" w:lineRule="exact"/>
        <w:rPr>
          <w:sz w:val="20"/>
          <w:szCs w:val="20"/>
          <w:color w:val="auto"/>
        </w:rPr>
      </w:pPr>
    </w:p>
    <w:p>
      <w:pPr>
        <w:ind w:firstLine="385"/>
        <w:spacing w:after="0" w:line="291" w:lineRule="auto"/>
        <w:rPr>
          <w:sz w:val="20"/>
          <w:szCs w:val="20"/>
          <w:color w:val="auto"/>
        </w:rPr>
      </w:pPr>
      <w:r>
        <w:rPr>
          <w:rFonts w:ascii="Arial" w:cs="Arial" w:eastAsia="Arial" w:hAnsi="Arial"/>
          <w:sz w:val="15"/>
          <w:szCs w:val="15"/>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2021 and March 31, 2021, there were no material amounts accrued in the condensed consolidated financial statements related to these proceedings.</w:t>
      </w:r>
    </w:p>
    <w:p>
      <w:pPr>
        <w:spacing w:after="0" w:line="58" w:lineRule="exact"/>
        <w:rPr>
          <w:sz w:val="20"/>
          <w:szCs w:val="20"/>
          <w:color w:val="auto"/>
        </w:rPr>
      </w:pPr>
    </w:p>
    <w:p>
      <w:pPr>
        <w:ind w:right="40" w:firstLine="385"/>
        <w:spacing w:after="0" w:line="292" w:lineRule="auto"/>
        <w:rPr>
          <w:sz w:val="20"/>
          <w:szCs w:val="20"/>
          <w:color w:val="auto"/>
        </w:rPr>
      </w:pPr>
      <w:r>
        <w:rPr>
          <w:rFonts w:ascii="Arial" w:cs="Arial" w:eastAsia="Arial" w:hAnsi="Arial"/>
          <w:sz w:val="15"/>
          <w:szCs w:val="15"/>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On May 12, 2021, the Company was informed that the DOJ has closed its criminal investigation.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55" w:lineRule="exact"/>
        <w:rPr>
          <w:sz w:val="20"/>
          <w:szCs w:val="20"/>
          <w:color w:val="auto"/>
        </w:rPr>
      </w:pPr>
    </w:p>
    <w:p>
      <w:pPr>
        <w:ind w:right="20" w:firstLine="385"/>
        <w:spacing w:after="0" w:line="272"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72" w:lineRule="exact"/>
        <w:rPr>
          <w:sz w:val="20"/>
          <w:szCs w:val="20"/>
          <w:color w:val="auto"/>
        </w:rPr>
      </w:pPr>
    </w:p>
    <w:p>
      <w:pPr>
        <w:ind w:right="40" w:firstLine="385"/>
        <w:spacing w:after="0" w:line="255" w:lineRule="auto"/>
        <w:rPr>
          <w:sz w:val="20"/>
          <w:szCs w:val="20"/>
          <w:color w:val="auto"/>
        </w:rPr>
      </w:pPr>
      <w:r>
        <w:rPr>
          <w:rFonts w:ascii="Arial" w:cs="Arial" w:eastAsia="Arial" w:hAnsi="Arial"/>
          <w:sz w:val="17"/>
          <w:szCs w:val="17"/>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November 23, 2020, and May 24, 2021,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6" w:lineRule="exact"/>
        <w:rPr>
          <w:sz w:val="20"/>
          <w:szCs w:val="20"/>
          <w:color w:val="auto"/>
        </w:rPr>
      </w:pPr>
    </w:p>
    <w:p>
      <w:pPr>
        <w:ind w:firstLine="385"/>
        <w:spacing w:after="0" w:line="260" w:lineRule="auto"/>
        <w:rPr>
          <w:sz w:val="20"/>
          <w:szCs w:val="20"/>
          <w:color w:val="auto"/>
        </w:rPr>
      </w:pPr>
      <w:r>
        <w:rPr>
          <w:rFonts w:ascii="Arial" w:cs="Arial" w:eastAsia="Arial" w:hAnsi="Arial"/>
          <w:sz w:val="17"/>
          <w:szCs w:val="17"/>
          <w:color w:val="auto"/>
        </w:rPr>
        <w:t>Part I, Item 1A, of our Annual Report on Form 10-K for the fiscal year ended March 31, 2021 filed with the Securities and Exchange Commission on May 21, 2021 includes a discussion of our risk factors. The information presented below updates, and should be read in conjunction with, the risk factors and information disclosed in our Annual Report on Form 10-K. Except as set forth below, there have been no material changes to the risk factors previously disclosed in our Annual Report on 10-K.</w:t>
      </w:r>
    </w:p>
    <w:p>
      <w:pPr>
        <w:spacing w:after="0" w:line="76" w:lineRule="exact"/>
        <w:rPr>
          <w:sz w:val="20"/>
          <w:szCs w:val="20"/>
          <w:color w:val="auto"/>
        </w:rPr>
      </w:pPr>
    </w:p>
    <w:p>
      <w:pPr>
        <w:ind w:right="740" w:firstLine="385"/>
        <w:spacing w:after="0" w:line="277" w:lineRule="auto"/>
        <w:rPr>
          <w:sz w:val="20"/>
          <w:szCs w:val="20"/>
          <w:color w:val="auto"/>
        </w:rPr>
      </w:pPr>
      <w:r>
        <w:rPr>
          <w:rFonts w:ascii="Arial" w:cs="Arial" w:eastAsia="Arial" w:hAnsi="Arial"/>
          <w:sz w:val="17"/>
          <w:szCs w:val="17"/>
          <w:b w:val="1"/>
          <w:bCs w:val="1"/>
          <w:i w:val="1"/>
          <w:iCs w:val="1"/>
          <w:color w:val="auto"/>
        </w:rPr>
        <w:t>The effects of a pandemic or widespread health epidemic such as COVID-19 could have a material adverse effect on our business and results of operations.</w:t>
      </w:r>
    </w:p>
    <w:p>
      <w:pPr>
        <w:spacing w:after="0" w:line="49" w:lineRule="exact"/>
        <w:rPr>
          <w:sz w:val="20"/>
          <w:szCs w:val="20"/>
          <w:color w:val="auto"/>
        </w:rPr>
      </w:pPr>
    </w:p>
    <w:p>
      <w:pPr>
        <w:ind w:firstLine="385"/>
        <w:spacing w:after="0" w:line="242" w:lineRule="auto"/>
        <w:rPr>
          <w:sz w:val="20"/>
          <w:szCs w:val="20"/>
          <w:color w:val="auto"/>
        </w:rPr>
      </w:pPr>
      <w:r>
        <w:rPr>
          <w:rFonts w:ascii="Arial" w:cs="Arial" w:eastAsia="Arial" w:hAnsi="Arial"/>
          <w:sz w:val="16"/>
          <w:szCs w:val="16"/>
          <w:color w:val="auto"/>
        </w:rPr>
        <w:t>COVID-19, which in fiscal 2020 was recognized as a pandemic by the World Health Organization and declared a national emergency by the U.S. government, and ongoing attempts to contain and reduce its spread, such as mandatory closures, "shelter-in-place" orders and travel and quarantine restrictions, have caused significant volatility, uncertainty, disruption, and other adverse effects on the U.S. and global economies, including impacts to supply chains, customer demand, international trade, and capital markets. These effects have adversely affected certain of our business operations, may further adversely affect our business operations, and may materially and adversely affect our financial condition, results of operations, cash flows, and equity. COVID-19 has continued to spread across the globe and is continuing to impact worldwide economic activity and financial markets.</w:t>
      </w:r>
    </w:p>
    <w:p>
      <w:pPr>
        <w:spacing w:after="0" w:line="66" w:lineRule="exact"/>
        <w:rPr>
          <w:sz w:val="20"/>
          <w:szCs w:val="20"/>
          <w:color w:val="auto"/>
        </w:rPr>
      </w:pPr>
    </w:p>
    <w:p>
      <w:pPr>
        <w:ind w:firstLine="385"/>
        <w:spacing w:after="0" w:line="253" w:lineRule="auto"/>
        <w:rPr>
          <w:sz w:val="20"/>
          <w:szCs w:val="20"/>
          <w:color w:val="auto"/>
        </w:rPr>
      </w:pPr>
      <w:r>
        <w:rPr>
          <w:rFonts w:ascii="Arial" w:cs="Arial" w:eastAsia="Arial" w:hAnsi="Arial"/>
          <w:sz w:val="15"/>
          <w:szCs w:val="15"/>
          <w:color w:val="auto"/>
        </w:rPr>
        <w:t xml:space="preserve">In light of the uncertain and evolving situation relating to COVID-19, we have taken precautionary measures intended to minimize the risk of the virus to our employees, our clients and the communities in which we operate, which could negatively impact our business. While many of our employees are able to work remotely, others are unable to work remotely because of unique client requirements, and many of those employees either have continued to work on site or have now returned to on site based upon client reconstitution plans. Our employees' ability to support on site work remains subject to ongoing reconstitution planning, and we have seen reversal of reconstitutions as COVID-19 continues. Consistent with public health guidance and Executive Order 14042 mandating COVID-19 vaccination for employees of businesses servicing federal contracts, we have announced a Company policy requiring full COVID-19 vaccinations of all employees, except for employees who qualify for medical or religious exemptions. This policy could impair our ability to perform certain contractual services, to retain such contracts, and to win new business. See </w:t>
      </w:r>
      <w:r>
        <w:rPr>
          <w:rFonts w:ascii="Arial" w:cs="Arial" w:eastAsia="Arial" w:hAnsi="Arial"/>
          <w:sz w:val="15"/>
          <w:szCs w:val="15"/>
          <w:i w:val="1"/>
          <w:iCs w:val="1"/>
          <w:color w:val="auto"/>
        </w:rPr>
        <w:t>“—We may fail to attract, train, and retain skilled and qualified employees, which may impair our ability to generate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revenue, effectively serve our clients, and execute our growth strategy.” </w:t>
      </w:r>
      <w:r>
        <w:rPr>
          <w:rFonts w:ascii="Arial" w:cs="Arial" w:eastAsia="Arial" w:hAnsi="Arial"/>
          <w:sz w:val="15"/>
          <w:szCs w:val="15"/>
          <w:color w:val="auto"/>
        </w:rPr>
        <w:t>In addition, some of our employees, clients, and subcontractors are located in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countries, which may be impacted differently from the United States, including through more severe or prolonged restrictions on working or traveling. Although we continue to monitor the situation in each of the jurisdictions in which we operate and may adjust our current policies as more information and public health guidance become available, temporarily suspending travel and doing business in person could challenge our ability to enter into or perform under contracts in a timely manner, slow down our recruiting efforts, or create operational or other challenges, any of which could harm our business and results of operations. Although the Company has business continuity plans and other safeguards in place, there is no assurance that such plans and safeguards will be effective or that such measures will not adversely affect our operations or long-term plans. In addition, as local conditions and regulations begin to permit the return of employees to business generally, our workforce may not be able to return to work in person immediately, if at all, or may instead choose to pursue competing employment opportunities, including as a result of transportation, childcare, and ongoing health issues, which could negatively affect our business.</w:t>
      </w:r>
    </w:p>
    <w:p>
      <w:pPr>
        <w:spacing w:after="0" w:line="63" w:lineRule="exact"/>
        <w:rPr>
          <w:sz w:val="20"/>
          <w:szCs w:val="20"/>
          <w:color w:val="auto"/>
        </w:rPr>
      </w:pPr>
    </w:p>
    <w:p>
      <w:pPr>
        <w:ind w:right="60" w:firstLine="385"/>
        <w:spacing w:after="0" w:line="231" w:lineRule="auto"/>
        <w:rPr>
          <w:sz w:val="20"/>
          <w:szCs w:val="20"/>
          <w:color w:val="auto"/>
        </w:rPr>
      </w:pPr>
      <w:r>
        <w:rPr>
          <w:rFonts w:ascii="Arial" w:cs="Arial" w:eastAsia="Arial" w:hAnsi="Arial"/>
          <w:sz w:val="17"/>
          <w:szCs w:val="17"/>
          <w:color w:val="auto"/>
        </w:rPr>
        <w:t>More generally, COVID-19 could continue to adversely affect economies and financial markets globally, potentially leading to an economic downturn, which could decrease government spending and adversely affect demand for our solutions and harm our business and results of operations. While the U.S. and local government agencies have enacted several emergency relief programs designed to combat the economic impact of COVID-19, the long-term effect of such spending is inherently uncertain and could result in future budgetary restrictions.</w:t>
      </w:r>
    </w:p>
    <w:p>
      <w:pPr>
        <w:spacing w:after="0" w:line="68" w:lineRule="exact"/>
        <w:rPr>
          <w:sz w:val="20"/>
          <w:szCs w:val="20"/>
          <w:color w:val="auto"/>
        </w:rPr>
      </w:pPr>
    </w:p>
    <w:p>
      <w:pPr>
        <w:ind w:firstLine="385"/>
        <w:spacing w:after="0" w:line="238" w:lineRule="auto"/>
        <w:rPr>
          <w:sz w:val="20"/>
          <w:szCs w:val="20"/>
          <w:color w:val="auto"/>
        </w:rPr>
      </w:pPr>
      <w:r>
        <w:rPr>
          <w:rFonts w:ascii="Arial" w:cs="Arial" w:eastAsia="Arial" w:hAnsi="Arial"/>
          <w:sz w:val="16"/>
          <w:szCs w:val="16"/>
          <w:color w:val="auto"/>
        </w:rPr>
        <w:t>In addition, COVID-19 may disrupt the operations of our suppliers, vendors, service providers, and subcontractors for an indefinite period of time, including as a result of travel restrictions, business shutdowns or lack of access to financial markets, all of which could negatively impact our business and results of operations. Any inability to develop alternative sources of supply on a cost-effective and timely basis could materially impair our ability to manufacture and deliver products, systems, and services to our clients. We are also subject to federal and state laws and regulations enacted in response to the outbreak, such as the Coronavirus Aid, Relief and Economic Security Act (the "CARES Act"), which contains a provision that allows U.S. government contractors to seek specified reimbursement for certain employees who are unable to perform their contract requirements at their designated work locations due to facility closures or restrictions as a result of COVID-19 and cannot perform such work remotely. The legislation enables but does not mandate reimbursement for such costs, and agency guidance has imposed certain restrictions. Further, the relief contemplated under the provision does not extend past September 30, 2021. Although we cannot currently predict the overall impact of COVID-19 and vaccine rollout, the longer the duration of the event, the more likely it is that it could have an adverse effect on our business, financial position, results of operations, billable expenses, and/or cash flows.</w:t>
      </w:r>
    </w:p>
    <w:p>
      <w:pPr>
        <w:spacing w:after="0" w:line="73" w:lineRule="exact"/>
        <w:rPr>
          <w:sz w:val="20"/>
          <w:szCs w:val="20"/>
          <w:color w:val="auto"/>
        </w:rPr>
      </w:pPr>
    </w:p>
    <w:p>
      <w:pPr>
        <w:ind w:right="220" w:firstLine="385"/>
        <w:spacing w:after="0" w:line="231" w:lineRule="auto"/>
        <w:rPr>
          <w:sz w:val="20"/>
          <w:szCs w:val="20"/>
          <w:color w:val="auto"/>
        </w:rPr>
      </w:pPr>
      <w:r>
        <w:rPr>
          <w:rFonts w:ascii="Arial" w:cs="Arial" w:eastAsia="Arial" w:hAnsi="Arial"/>
          <w:sz w:val="17"/>
          <w:szCs w:val="17"/>
          <w:color w:val="auto"/>
        </w:rPr>
        <w:t>We expect COVID-19 to continue to negatively impact our business and results of operations and are unable to predict how long or with what degree of severity that impact will continue. The duration and extent of COVID-19 will depend on future developments outside of our control, including the availability of effective treatments, the effectiveness and adoption of available vaccines, and the evolutionary development of COVID-19 or related viruses, which are highly uncertain and cannot be predicted.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80" w:firstLine="385"/>
        <w:spacing w:after="0" w:line="277" w:lineRule="auto"/>
        <w:rPr>
          <w:sz w:val="20"/>
          <w:szCs w:val="20"/>
          <w:color w:val="auto"/>
        </w:rPr>
      </w:pPr>
      <w:r>
        <w:rPr>
          <w:rFonts w:ascii="Arial" w:cs="Arial" w:eastAsia="Arial" w:hAnsi="Arial"/>
          <w:sz w:val="17"/>
          <w:szCs w:val="17"/>
          <w:b w:val="1"/>
          <w:bCs w:val="1"/>
          <w:i w:val="1"/>
          <w:iCs w:val="1"/>
          <w:color w:val="auto"/>
        </w:rPr>
        <w:t>We may fail to attract, train, and retain skilled and qualified employees, which may impair our ability to generate revenue, effectively serve our clients, and execute our growth strategy.</w:t>
      </w:r>
    </w:p>
    <w:p>
      <w:pPr>
        <w:spacing w:after="0" w:line="49" w:lineRule="exact"/>
        <w:rPr>
          <w:sz w:val="20"/>
          <w:szCs w:val="20"/>
          <w:color w:val="auto"/>
        </w:rPr>
      </w:pPr>
    </w:p>
    <w:p>
      <w:pPr>
        <w:ind w:firstLine="385"/>
        <w:spacing w:after="0" w:line="226" w:lineRule="auto"/>
        <w:rPr>
          <w:sz w:val="20"/>
          <w:szCs w:val="20"/>
          <w:color w:val="auto"/>
        </w:rPr>
      </w:pPr>
      <w:r>
        <w:rPr>
          <w:rFonts w:ascii="Arial" w:cs="Arial" w:eastAsia="Arial" w:hAnsi="Arial"/>
          <w:sz w:val="17"/>
          <w:szCs w:val="17"/>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 U.S. government contractors, the U.S. government, and private industry, and such competition is intense. Personnel with the requisite skills, qualifications, or security clearance may be in short supply or generally unavailable. The government and industry have recognized that the current process for obtaining security clearances is time-consuming, sometimes taking years to complete, and can present a risk to customer mission. See Part I, "Item 1A: Risk Factors," "Industry and Economic Risks," "</w:t>
      </w:r>
      <w:r>
        <w:rPr>
          <w:rFonts w:ascii="Arial" w:cs="Arial" w:eastAsia="Arial" w:hAnsi="Arial"/>
          <w:sz w:val="17"/>
          <w:szCs w:val="17"/>
          <w:i w:val="1"/>
          <w:iCs w:val="1"/>
          <w:color w:val="auto"/>
        </w:rPr>
        <w:t>—We may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fail to obtain and maintain necessary security clearances which may adversely affect our ability to perform on certain contracts" </w:t>
      </w:r>
      <w:r>
        <w:rPr>
          <w:rFonts w:ascii="Arial" w:cs="Arial" w:eastAsia="Arial" w:hAnsi="Arial"/>
          <w:sz w:val="17"/>
          <w:szCs w:val="17"/>
          <w:color w:val="auto"/>
        </w:rPr>
        <w:t>of our Annual Report on Form 10-K for the fiscal year ended March 31, 2021.</w:t>
      </w:r>
    </w:p>
    <w:p>
      <w:pPr>
        <w:spacing w:after="0" w:line="70" w:lineRule="exact"/>
        <w:rPr>
          <w:sz w:val="20"/>
          <w:szCs w:val="20"/>
          <w:color w:val="auto"/>
        </w:rPr>
      </w:pPr>
    </w:p>
    <w:p>
      <w:pPr>
        <w:ind w:right="20" w:firstLine="385"/>
        <w:spacing w:after="0" w:line="239" w:lineRule="auto"/>
        <w:rPr>
          <w:sz w:val="20"/>
          <w:szCs w:val="20"/>
          <w:color w:val="auto"/>
        </w:rPr>
      </w:pPr>
      <w:r>
        <w:rPr>
          <w:rFonts w:ascii="Arial" w:cs="Arial" w:eastAsia="Arial" w:hAnsi="Arial"/>
          <w:sz w:val="16"/>
          <w:szCs w:val="16"/>
          <w:color w:val="auto"/>
        </w:rPr>
        <w:t xml:space="preserve">Our ability to attract and retain skilled and qualified employees may also be impacted by our engagements in, or perceived connections to, politically or socially sensitive activities.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 employees to civil or criminal penalties. Additionally, our ability to attract, hire, and retain skilled and qualified employees may be impacted by COVID-19, including whether an employment opportunity requires work in person and related considerations. See </w:t>
      </w:r>
      <w:r>
        <w:rPr>
          <w:rFonts w:ascii="Arial" w:cs="Arial" w:eastAsia="Arial" w:hAnsi="Arial"/>
          <w:sz w:val="16"/>
          <w:szCs w:val="16"/>
          <w:i w:val="1"/>
          <w:iCs w:val="1"/>
          <w:color w:val="auto"/>
        </w:rPr>
        <w:t>“—The effects of a pandemic or widespread health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epidemic such as COVID-19 could have a material adverse effect on our business and results of operations.” </w:t>
      </w:r>
      <w:r>
        <w:rPr>
          <w:rFonts w:ascii="Arial" w:cs="Arial" w:eastAsia="Arial" w:hAnsi="Arial"/>
          <w:sz w:val="16"/>
          <w:szCs w:val="16"/>
          <w:color w:val="auto"/>
        </w:rPr>
        <w:t>In particular, we are subject to Executive Order</w:t>
      </w:r>
      <w:r>
        <w:rPr>
          <w:rFonts w:ascii="Arial" w:cs="Arial" w:eastAsia="Arial" w:hAnsi="Arial"/>
          <w:sz w:val="16"/>
          <w:szCs w:val="16"/>
          <w:i w:val="1"/>
          <w:iCs w:val="1"/>
          <w:color w:val="auto"/>
        </w:rPr>
        <w:t xml:space="preserve"> </w:t>
      </w:r>
      <w:r>
        <w:rPr>
          <w:rFonts w:ascii="Arial" w:cs="Arial" w:eastAsia="Arial" w:hAnsi="Arial"/>
          <w:sz w:val="16"/>
          <w:szCs w:val="16"/>
          <w:color w:val="auto"/>
        </w:rPr>
        <w:t>14042, which mandates vaccinations for employees of businesses servicing federal contracts, except for employees who qualify for medical or religious exemptions. Consistent with public health guidance and in light of this vaccine mandate, we have announced a Company policy requiring full COVID-19 vaccinations of all employees, except for employees who qualify for medical or religious exemptions.</w:t>
      </w:r>
    </w:p>
    <w:p>
      <w:pPr>
        <w:spacing w:after="0" w:line="69" w:lineRule="exact"/>
        <w:rPr>
          <w:sz w:val="20"/>
          <w:szCs w:val="20"/>
          <w:color w:val="auto"/>
        </w:rPr>
      </w:pPr>
    </w:p>
    <w:p>
      <w:pPr>
        <w:jc w:val="both"/>
        <w:ind w:firstLine="385"/>
        <w:spacing w:after="0" w:line="248" w:lineRule="auto"/>
        <w:rPr>
          <w:sz w:val="20"/>
          <w:szCs w:val="20"/>
          <w:color w:val="auto"/>
        </w:rPr>
      </w:pPr>
      <w:r>
        <w:rPr>
          <w:rFonts w:ascii="Arial" w:cs="Arial" w:eastAsia="Arial" w:hAnsi="Arial"/>
          <w:sz w:val="16"/>
          <w:szCs w:val="16"/>
          <w:color w:val="auto"/>
        </w:rPr>
        <w:t>If we are unable to recruit and retain a sufficient number of qualified employees, or cannot obtain their appropriate security clearances in a timely manner, or fail to deploy such employees,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60" w:lineRule="exact"/>
        <w:rPr>
          <w:sz w:val="20"/>
          <w:szCs w:val="20"/>
          <w:color w:val="auto"/>
        </w:rPr>
      </w:pPr>
    </w:p>
    <w:p>
      <w:pPr>
        <w:jc w:val="both"/>
        <w:ind w:right="80" w:firstLine="385"/>
        <w:spacing w:after="0" w:line="231" w:lineRule="auto"/>
        <w:rPr>
          <w:sz w:val="20"/>
          <w:szCs w:val="20"/>
          <w:color w:val="auto"/>
        </w:rPr>
      </w:pPr>
      <w:r>
        <w:rPr>
          <w:rFonts w:ascii="Arial" w:cs="Arial" w:eastAsia="Arial" w:hAnsi="Arial"/>
          <w:sz w:val="17"/>
          <w:szCs w:val="17"/>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307"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shows the share repurchase activity during the three months ended September 30,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92"/>
              </w:rPr>
              <w:t>Total Number of Shares</w:t>
            </w:r>
          </w:p>
        </w:tc>
        <w:tc>
          <w:tcPr>
            <w:tcW w:w="100" w:type="dxa"/>
            <w:vAlign w:val="bottom"/>
          </w:tcPr>
          <w:p>
            <w:pPr>
              <w:spacing w:after="0"/>
              <w:rPr>
                <w:sz w:val="15"/>
                <w:szCs w:val="15"/>
                <w:color w:val="auto"/>
              </w:rPr>
            </w:pPr>
          </w:p>
        </w:tc>
        <w:tc>
          <w:tcPr>
            <w:tcW w:w="18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Approximate Dollar Value</w:t>
            </w:r>
          </w:p>
        </w:tc>
        <w:tc>
          <w:tcPr>
            <w:tcW w:w="0" w:type="dxa"/>
            <w:vAlign w:val="bottom"/>
          </w:tcPr>
          <w:p>
            <w:pPr>
              <w:spacing w:after="0"/>
              <w:rPr>
                <w:sz w:val="1"/>
                <w:szCs w:val="1"/>
                <w:color w:val="auto"/>
              </w:rPr>
            </w:pPr>
          </w:p>
        </w:tc>
      </w:tr>
      <w:tr>
        <w:trPr>
          <w:trHeight w:val="154"/>
        </w:trPr>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Total Number of Shares</w:t>
            </w:r>
          </w:p>
        </w:tc>
        <w:tc>
          <w:tcPr>
            <w:tcW w:w="120" w:type="dxa"/>
            <w:vAlign w:val="bottom"/>
          </w:tcPr>
          <w:p>
            <w:pPr>
              <w:spacing w:after="0"/>
              <w:rPr>
                <w:sz w:val="13"/>
                <w:szCs w:val="13"/>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5"/>
                <w:szCs w:val="15"/>
                <w:b w:val="1"/>
                <w:bCs w:val="1"/>
                <w:color w:val="auto"/>
                <w:w w:val="91"/>
              </w:rPr>
              <w:t>Average Price Paid per</w:t>
            </w:r>
          </w:p>
        </w:tc>
        <w:tc>
          <w:tcPr>
            <w:tcW w:w="182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1"/>
              </w:rPr>
              <w:t>Purchased as Part of</w:t>
            </w:r>
          </w:p>
        </w:tc>
        <w:tc>
          <w:tcPr>
            <w:tcW w:w="100" w:type="dxa"/>
            <w:vAlign w:val="bottom"/>
          </w:tcPr>
          <w:p>
            <w:pPr>
              <w:spacing w:after="0"/>
              <w:rPr>
                <w:sz w:val="13"/>
                <w:szCs w:val="13"/>
                <w:color w:val="auto"/>
              </w:rPr>
            </w:pPr>
          </w:p>
        </w:tc>
        <w:tc>
          <w:tcPr>
            <w:tcW w:w="1820" w:type="dxa"/>
            <w:vAlign w:val="bottom"/>
            <w:gridSpan w:val="2"/>
          </w:tcPr>
          <w:p>
            <w:pPr>
              <w:jc w:val="center"/>
              <w:spacing w:after="0" w:line="154" w:lineRule="exact"/>
              <w:rPr>
                <w:sz w:val="20"/>
                <w:szCs w:val="20"/>
                <w:color w:val="auto"/>
              </w:rPr>
            </w:pPr>
            <w:r>
              <w:rPr>
                <w:rFonts w:ascii="Arial" w:cs="Arial" w:eastAsia="Arial" w:hAnsi="Arial"/>
                <w:sz w:val="15"/>
                <w:szCs w:val="15"/>
                <w:b w:val="1"/>
                <w:bCs w:val="1"/>
                <w:color w:val="auto"/>
                <w:w w:val="92"/>
              </w:rPr>
              <w:t>of Shares that May Yet Be</w:t>
            </w:r>
          </w:p>
        </w:tc>
        <w:tc>
          <w:tcPr>
            <w:tcW w:w="0" w:type="dxa"/>
            <w:vAlign w:val="bottom"/>
          </w:tcPr>
          <w:p>
            <w:pPr>
              <w:spacing w:after="0"/>
              <w:rPr>
                <w:sz w:val="1"/>
                <w:szCs w:val="1"/>
                <w:color w:val="auto"/>
              </w:rPr>
            </w:pPr>
          </w:p>
        </w:tc>
      </w:tr>
      <w:tr>
        <w:trPr>
          <w:trHeight w:val="154"/>
        </w:trPr>
        <w:tc>
          <w:tcPr>
            <w:tcW w:w="3640" w:type="dxa"/>
            <w:vAlign w:val="bottom"/>
            <w:vMerge w:val="restart"/>
          </w:tcPr>
          <w:p>
            <w:pPr>
              <w:ind w:left="1600"/>
              <w:spacing w:after="0"/>
              <w:rPr>
                <w:sz w:val="20"/>
                <w:szCs w:val="20"/>
                <w:color w:val="auto"/>
              </w:rPr>
            </w:pPr>
            <w:r>
              <w:rPr>
                <w:rFonts w:ascii="Arial" w:cs="Arial" w:eastAsia="Arial" w:hAnsi="Arial"/>
                <w:sz w:val="15"/>
                <w:szCs w:val="15"/>
                <w:b w:val="1"/>
                <w:bCs w:val="1"/>
                <w:color w:val="auto"/>
              </w:rPr>
              <w:t>Period</w:t>
            </w:r>
          </w:p>
        </w:tc>
        <w:tc>
          <w:tcPr>
            <w:tcW w:w="100" w:type="dxa"/>
            <w:vAlign w:val="bottom"/>
            <w:vMerge w:val="restart"/>
          </w:tcPr>
          <w:p>
            <w:pPr>
              <w:spacing w:after="0"/>
              <w:rPr>
                <w:sz w:val="13"/>
                <w:szCs w:val="13"/>
                <w:color w:val="auto"/>
              </w:rPr>
            </w:pPr>
          </w:p>
        </w:tc>
        <w:tc>
          <w:tcPr>
            <w:tcW w:w="1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182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1"/>
              </w:rPr>
              <w:t>Publicly Announced Plans</w:t>
            </w:r>
          </w:p>
        </w:tc>
        <w:tc>
          <w:tcPr>
            <w:tcW w:w="100" w:type="dxa"/>
            <w:vAlign w:val="bottom"/>
          </w:tcPr>
          <w:p>
            <w:pPr>
              <w:spacing w:after="0"/>
              <w:rPr>
                <w:sz w:val="13"/>
                <w:szCs w:val="13"/>
                <w:color w:val="auto"/>
              </w:rPr>
            </w:pPr>
          </w:p>
        </w:tc>
        <w:tc>
          <w:tcPr>
            <w:tcW w:w="182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w w:val="91"/>
              </w:rPr>
              <w:t>Purchased Under the Plans</w:t>
            </w:r>
          </w:p>
        </w:tc>
        <w:tc>
          <w:tcPr>
            <w:tcW w:w="0" w:type="dxa"/>
            <w:vAlign w:val="bottom"/>
          </w:tcPr>
          <w:p>
            <w:pPr>
              <w:spacing w:after="0"/>
              <w:rPr>
                <w:sz w:val="1"/>
                <w:szCs w:val="1"/>
                <w:color w:val="auto"/>
              </w:rPr>
            </w:pPr>
          </w:p>
        </w:tc>
      </w:tr>
      <w:tr>
        <w:trPr>
          <w:trHeight w:val="202"/>
        </w:trPr>
        <w:tc>
          <w:tcPr>
            <w:tcW w:w="3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Purchased</w:t>
            </w:r>
          </w:p>
        </w:tc>
        <w:tc>
          <w:tcPr>
            <w:tcW w:w="12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Share</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or Programs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157"/>
              <w:spacing w:after="0"/>
              <w:rPr>
                <w:sz w:val="20"/>
                <w:szCs w:val="20"/>
                <w:color w:val="auto"/>
              </w:rPr>
            </w:pPr>
            <w:r>
              <w:rPr>
                <w:rFonts w:ascii="Arial" w:cs="Arial" w:eastAsia="Arial" w:hAnsi="Arial"/>
                <w:sz w:val="15"/>
                <w:szCs w:val="15"/>
                <w:b w:val="1"/>
                <w:bCs w:val="1"/>
                <w:color w:val="auto"/>
                <w:w w:val="94"/>
              </w:rPr>
              <w:t>or Programs (1)</w:t>
            </w:r>
          </w:p>
        </w:tc>
        <w:tc>
          <w:tcPr>
            <w:tcW w:w="0" w:type="dxa"/>
            <w:vAlign w:val="bottom"/>
          </w:tcPr>
          <w:p>
            <w:pPr>
              <w:spacing w:after="0"/>
              <w:rPr>
                <w:sz w:val="1"/>
                <w:szCs w:val="1"/>
                <w:color w:val="auto"/>
              </w:rPr>
            </w:pPr>
          </w:p>
        </w:tc>
      </w:tr>
      <w:tr>
        <w:trPr>
          <w:trHeight w:val="213"/>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July 2021</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324,705</w:t>
            </w:r>
          </w:p>
        </w:tc>
        <w:tc>
          <w:tcPr>
            <w:tcW w:w="186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8"/>
              </w:rPr>
              <w:t>$86.36</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324,705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468,307,996</w:t>
            </w:r>
          </w:p>
        </w:tc>
        <w:tc>
          <w:tcPr>
            <w:tcW w:w="0" w:type="dxa"/>
            <w:vAlign w:val="bottom"/>
          </w:tcPr>
          <w:p>
            <w:pPr>
              <w:spacing w:after="0"/>
              <w:rPr>
                <w:sz w:val="1"/>
                <w:szCs w:val="1"/>
                <w:color w:val="auto"/>
              </w:rPr>
            </w:pPr>
          </w:p>
        </w:tc>
      </w:tr>
      <w:tr>
        <w:trPr>
          <w:trHeight w:val="217"/>
        </w:trPr>
        <w:tc>
          <w:tcPr>
            <w:tcW w:w="3740" w:type="dxa"/>
            <w:vAlign w:val="bottom"/>
            <w:gridSpan w:val="2"/>
          </w:tcPr>
          <w:p>
            <w:pPr>
              <w:ind w:left="20"/>
              <w:spacing w:after="0"/>
              <w:rPr>
                <w:sz w:val="20"/>
                <w:szCs w:val="20"/>
                <w:color w:val="auto"/>
              </w:rPr>
            </w:pPr>
            <w:r>
              <w:rPr>
                <w:rFonts w:ascii="Arial" w:cs="Arial" w:eastAsia="Arial" w:hAnsi="Arial"/>
                <w:sz w:val="17"/>
                <w:szCs w:val="17"/>
                <w:color w:val="auto"/>
              </w:rPr>
              <w:t>August 2021</w:t>
            </w:r>
          </w:p>
        </w:tc>
        <w:tc>
          <w:tcPr>
            <w:tcW w:w="1740" w:type="dxa"/>
            <w:vAlign w:val="bottom"/>
          </w:tcPr>
          <w:p>
            <w:pPr>
              <w:jc w:val="center"/>
              <w:spacing w:after="0"/>
              <w:rPr>
                <w:sz w:val="20"/>
                <w:szCs w:val="20"/>
                <w:color w:val="auto"/>
              </w:rPr>
            </w:pPr>
            <w:r>
              <w:rPr>
                <w:rFonts w:ascii="Arial" w:cs="Arial" w:eastAsia="Arial" w:hAnsi="Arial"/>
                <w:sz w:val="17"/>
                <w:szCs w:val="17"/>
                <w:color w:val="auto"/>
                <w:w w:val="91"/>
              </w:rPr>
              <w:t>489,014</w:t>
            </w:r>
          </w:p>
        </w:tc>
        <w:tc>
          <w:tcPr>
            <w:tcW w:w="1860" w:type="dxa"/>
            <w:vAlign w:val="bottom"/>
            <w:gridSpan w:val="2"/>
          </w:tcPr>
          <w:p>
            <w:pPr>
              <w:jc w:val="center"/>
              <w:ind w:left="35"/>
              <w:spacing w:after="0"/>
              <w:rPr>
                <w:sz w:val="20"/>
                <w:szCs w:val="20"/>
                <w:color w:val="auto"/>
              </w:rPr>
            </w:pPr>
            <w:r>
              <w:rPr>
                <w:rFonts w:ascii="Arial" w:cs="Arial" w:eastAsia="Arial" w:hAnsi="Arial"/>
                <w:sz w:val="17"/>
                <w:szCs w:val="17"/>
                <w:color w:val="auto"/>
                <w:w w:val="88"/>
              </w:rPr>
              <w:t>$82.84</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1"/>
              </w:rPr>
              <w:t>489,014</w:t>
            </w:r>
          </w:p>
        </w:tc>
        <w:tc>
          <w:tcPr>
            <w:tcW w:w="3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427,796,479</w:t>
            </w:r>
          </w:p>
        </w:tc>
        <w:tc>
          <w:tcPr>
            <w:tcW w:w="0" w:type="dxa"/>
            <w:vAlign w:val="bottom"/>
          </w:tcPr>
          <w:p>
            <w:pPr>
              <w:spacing w:after="0"/>
              <w:rPr>
                <w:sz w:val="1"/>
                <w:szCs w:val="1"/>
                <w:color w:val="auto"/>
              </w:rPr>
            </w:pPr>
          </w:p>
        </w:tc>
      </w:tr>
      <w:tr>
        <w:trPr>
          <w:trHeight w:val="218"/>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September 2021</w:t>
            </w:r>
          </w:p>
        </w:tc>
        <w:tc>
          <w:tcPr>
            <w:tcW w:w="17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489,273</w:t>
            </w:r>
          </w:p>
        </w:tc>
        <w:tc>
          <w:tcPr>
            <w:tcW w:w="186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8"/>
              </w:rPr>
              <w:t>$81.75</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489,273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387,796,482</w:t>
            </w:r>
          </w:p>
        </w:tc>
        <w:tc>
          <w:tcPr>
            <w:tcW w:w="0" w:type="dxa"/>
            <w:vAlign w:val="bottom"/>
          </w:tcPr>
          <w:p>
            <w:pPr>
              <w:spacing w:after="0"/>
              <w:rPr>
                <w:sz w:val="1"/>
                <w:szCs w:val="1"/>
                <w:color w:val="auto"/>
              </w:rPr>
            </w:pPr>
          </w:p>
        </w:tc>
      </w:tr>
      <w:tr>
        <w:trPr>
          <w:trHeight w:val="211"/>
        </w:trPr>
        <w:tc>
          <w:tcPr>
            <w:tcW w:w="3740" w:type="dxa"/>
            <w:vAlign w:val="bottom"/>
            <w:gridSpan w:val="2"/>
          </w:tcPr>
          <w:p>
            <w:pPr>
              <w:ind w:left="640"/>
              <w:spacing w:after="0"/>
              <w:rPr>
                <w:sz w:val="20"/>
                <w:szCs w:val="20"/>
                <w:color w:val="auto"/>
              </w:rPr>
            </w:pPr>
            <w:r>
              <w:rPr>
                <w:rFonts w:ascii="Arial" w:cs="Arial" w:eastAsia="Arial" w:hAnsi="Arial"/>
                <w:sz w:val="17"/>
                <w:szCs w:val="17"/>
                <w:color w:val="auto"/>
              </w:rPr>
              <w:t>Total</w:t>
            </w:r>
          </w:p>
        </w:tc>
        <w:tc>
          <w:tcPr>
            <w:tcW w:w="1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9"/>
              </w:rPr>
              <w:t>1,302,992</w:t>
            </w: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9"/>
              </w:rPr>
              <w:t>1,302,992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620" w:right="100" w:hanging="617"/>
        <w:spacing w:after="0" w:line="244" w:lineRule="auto"/>
        <w:tabs>
          <w:tab w:leader="none" w:pos="614"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December 12, 2011, the Board of Directors approved a share repurchase program, which was most recently increased to $1,710.0 million on January 27, 2021.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380"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4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4"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 w:type="dxa"/>
            <w:vAlign w:val="bottom"/>
            <w:gridSpan w:val="5"/>
          </w:tcPr>
          <w:p>
            <w:pPr>
              <w:spacing w:after="0"/>
              <w:rPr>
                <w:sz w:val="20"/>
                <w:szCs w:val="20"/>
                <w:color w:val="auto"/>
              </w:rPr>
            </w:pPr>
            <w:r>
              <w:rPr>
                <w:rFonts w:ascii="Arial" w:cs="Arial" w:eastAsia="Arial" w:hAnsi="Arial"/>
                <w:sz w:val="17"/>
                <w:szCs w:val="17"/>
                <w:b w:val="1"/>
                <w:bCs w:val="1"/>
                <w:color w:val="auto"/>
              </w:rPr>
              <w:t>Item 6.</w:t>
            </w:r>
          </w:p>
        </w:tc>
        <w:tc>
          <w:tcPr>
            <w:tcW w:w="10340" w:type="dxa"/>
            <w:vAlign w:val="bottom"/>
            <w:gridSpan w:val="8"/>
          </w:tcPr>
          <w:p>
            <w:pPr>
              <w:ind w:left="4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258"/>
        </w:trPr>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240" w:type="dxa"/>
            <w:vAlign w:val="bottom"/>
          </w:tcPr>
          <w:p>
            <w:pPr>
              <w:spacing w:after="0"/>
              <w:rPr>
                <w:sz w:val="22"/>
                <w:szCs w:val="22"/>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w w:val="88"/>
              </w:rPr>
              <w:t>Description</w:t>
            </w:r>
          </w:p>
        </w:tc>
        <w:tc>
          <w:tcPr>
            <w:tcW w:w="9460" w:type="dxa"/>
            <w:vAlign w:val="bottom"/>
            <w:gridSpan w:val="6"/>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line="109" w:lineRule="exact"/>
              <w:rPr>
                <w:sz w:val="20"/>
                <w:szCs w:val="20"/>
                <w:color w:val="auto"/>
              </w:rPr>
            </w:pPr>
            <w:r>
              <w:rPr>
                <w:rFonts w:ascii="Arial" w:cs="Arial" w:eastAsia="Arial" w:hAnsi="Arial"/>
                <w:sz w:val="11"/>
                <w:szCs w:val="11"/>
                <w:color w:val="auto"/>
                <w:w w:val="97"/>
              </w:rPr>
              <w:t>Number</w:t>
            </w:r>
          </w:p>
        </w:tc>
        <w:tc>
          <w:tcPr>
            <w:tcW w:w="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auto"/>
            </w:tcBorders>
            <w:vMerge w:val="continue"/>
          </w:tcPr>
          <w:p>
            <w:pPr>
              <w:spacing w:after="0"/>
              <w:rPr>
                <w:sz w:val="9"/>
                <w:szCs w:val="9"/>
                <w:color w:val="auto"/>
              </w:rPr>
            </w:pPr>
          </w:p>
        </w:tc>
        <w:tc>
          <w:tcPr>
            <w:tcW w:w="94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580" w:type="dxa"/>
            <w:vAlign w:val="bottom"/>
            <w:gridSpan w:val="3"/>
          </w:tcPr>
          <w:p>
            <w:pPr>
              <w:ind w:left="20"/>
              <w:spacing w:after="0"/>
              <w:rPr>
                <w:sz w:val="20"/>
                <w:szCs w:val="20"/>
                <w:color w:val="auto"/>
              </w:rPr>
            </w:pPr>
            <w:r>
              <w:rPr>
                <w:rFonts w:ascii="Arial" w:cs="Arial" w:eastAsia="Arial" w:hAnsi="Arial"/>
                <w:sz w:val="17"/>
                <w:szCs w:val="17"/>
                <w:color w:val="auto"/>
              </w:rPr>
              <w:t>31.1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60" w:type="dxa"/>
            <w:vAlign w:val="bottom"/>
            <w:tcBorders>
              <w:bottom w:val="single" w:sz="8" w:color="0000FF"/>
            </w:tcBorders>
            <w:gridSpan w:val="4"/>
          </w:tcPr>
          <w:p>
            <w:pPr>
              <w:spacing w:after="0"/>
              <w:rPr>
                <w:rFonts w:ascii="Arial" w:cs="Arial" w:eastAsia="Arial" w:hAnsi="Arial"/>
                <w:sz w:val="17"/>
                <w:szCs w:val="17"/>
                <w:color w:val="0000FF"/>
                <w:w w:val="93"/>
              </w:rPr>
            </w:pPr>
            <w:hyperlink w:anchor="page54">
              <w:r>
                <w:rPr>
                  <w:rFonts w:ascii="Arial" w:cs="Arial" w:eastAsia="Arial" w:hAnsi="Arial"/>
                  <w:sz w:val="17"/>
                  <w:szCs w:val="17"/>
                  <w:color w:val="0000FF"/>
                  <w:w w:val="93"/>
                </w:rPr>
                <w:t>Rule 13a-14(a)/15d-14(a) Certification of the Chief Executive Officer*</w:t>
              </w:r>
            </w:hyperlink>
          </w:p>
        </w:tc>
        <w:tc>
          <w:tcPr>
            <w:tcW w:w="52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80" w:type="dxa"/>
            <w:vAlign w:val="bottom"/>
            <w:gridSpan w:val="3"/>
          </w:tcPr>
          <w:p>
            <w:pPr>
              <w:ind w:left="20"/>
              <w:spacing w:after="0"/>
              <w:rPr>
                <w:sz w:val="20"/>
                <w:szCs w:val="20"/>
                <w:color w:val="auto"/>
              </w:rPr>
            </w:pPr>
            <w:r>
              <w:rPr>
                <w:rFonts w:ascii="Arial" w:cs="Arial" w:eastAsia="Arial" w:hAnsi="Arial"/>
                <w:sz w:val="17"/>
                <w:szCs w:val="17"/>
                <w:color w:val="auto"/>
              </w:rPr>
              <w:t>31.2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Borders>
              <w:bottom w:val="single" w:sz="8" w:color="0000FF"/>
            </w:tcBorders>
            <w:gridSpan w:val="3"/>
          </w:tcPr>
          <w:p>
            <w:pPr>
              <w:spacing w:after="0"/>
              <w:rPr>
                <w:rFonts w:ascii="Arial" w:cs="Arial" w:eastAsia="Arial" w:hAnsi="Arial"/>
                <w:sz w:val="17"/>
                <w:szCs w:val="17"/>
                <w:color w:val="0000FF"/>
                <w:w w:val="93"/>
              </w:rPr>
            </w:pPr>
            <w:hyperlink w:anchor="page55">
              <w:r>
                <w:rPr>
                  <w:rFonts w:ascii="Arial" w:cs="Arial" w:eastAsia="Arial" w:hAnsi="Arial"/>
                  <w:sz w:val="17"/>
                  <w:szCs w:val="17"/>
                  <w:color w:val="0000FF"/>
                  <w:w w:val="93"/>
                </w:rPr>
                <w:t>Rule 13a-14(a)/15d-14(a) Certification of the Chief Financial Officer*</w:t>
              </w:r>
            </w:hyperlink>
          </w:p>
        </w:tc>
        <w:tc>
          <w:tcPr>
            <w:tcW w:w="52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80" w:type="dxa"/>
            <w:vAlign w:val="bottom"/>
            <w:gridSpan w:val="3"/>
          </w:tcPr>
          <w:p>
            <w:pPr>
              <w:ind w:left="20"/>
              <w:spacing w:after="0"/>
              <w:rPr>
                <w:sz w:val="20"/>
                <w:szCs w:val="20"/>
                <w:color w:val="auto"/>
              </w:rPr>
            </w:pPr>
            <w:r>
              <w:rPr>
                <w:rFonts w:ascii="Arial" w:cs="Arial" w:eastAsia="Arial" w:hAnsi="Arial"/>
                <w:sz w:val="17"/>
                <w:szCs w:val="17"/>
                <w:color w:val="auto"/>
              </w:rPr>
              <w:t>32.1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00" w:type="dxa"/>
            <w:vAlign w:val="bottom"/>
            <w:gridSpan w:val="7"/>
          </w:tcPr>
          <w:p>
            <w:pPr>
              <w:spacing w:after="0"/>
              <w:rPr>
                <w:rFonts w:ascii="Arial" w:cs="Arial" w:eastAsia="Arial" w:hAnsi="Arial"/>
                <w:sz w:val="17"/>
                <w:szCs w:val="17"/>
                <w:color w:val="0000FF"/>
                <w:w w:val="92"/>
              </w:rPr>
            </w:pPr>
            <w:hyperlink w:anchor="page56">
              <w:r>
                <w:rPr>
                  <w:rFonts w:ascii="Arial" w:cs="Arial" w:eastAsia="Arial" w:hAnsi="Arial"/>
                  <w:sz w:val="17"/>
                  <w:szCs w:val="17"/>
                  <w:color w:val="0000FF"/>
                  <w:w w:val="92"/>
                </w:rPr>
                <w:t>Certification of the Chief Executive Officer required by Rule 13a-14(b) or Rule 15d-14(b) and Section 1350 of Chapter 63 of Title 18 of the United</w:t>
              </w:r>
            </w:hyperlink>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Borders>
              <w:top w:val="single" w:sz="8" w:color="0000FF"/>
              <w:bottom w:val="single" w:sz="8" w:color="0000FF"/>
            </w:tcBorders>
            <w:gridSpan w:val="2"/>
          </w:tcPr>
          <w:p>
            <w:pPr>
              <w:spacing w:after="0" w:line="147" w:lineRule="exact"/>
              <w:rPr>
                <w:rFonts w:ascii="Arial" w:cs="Arial" w:eastAsia="Arial" w:hAnsi="Arial"/>
                <w:sz w:val="17"/>
                <w:szCs w:val="17"/>
                <w:color w:val="0000FF"/>
                <w:w w:val="90"/>
              </w:rPr>
            </w:pPr>
            <w:hyperlink w:anchor="page56">
              <w:r>
                <w:rPr>
                  <w:rFonts w:ascii="Arial" w:cs="Arial" w:eastAsia="Arial" w:hAnsi="Arial"/>
                  <w:sz w:val="17"/>
                  <w:szCs w:val="17"/>
                  <w:color w:val="0000FF"/>
                  <w:w w:val="90"/>
                </w:rPr>
                <w:t>States Code (18 U.S.C. 1350)*</w:t>
              </w:r>
            </w:hyperlink>
          </w:p>
        </w:tc>
        <w:tc>
          <w:tcPr>
            <w:tcW w:w="796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580" w:type="dxa"/>
            <w:vAlign w:val="bottom"/>
            <w:gridSpan w:val="3"/>
          </w:tcPr>
          <w:p>
            <w:pPr>
              <w:ind w:left="20"/>
              <w:spacing w:after="0"/>
              <w:rPr>
                <w:sz w:val="20"/>
                <w:szCs w:val="20"/>
                <w:color w:val="auto"/>
              </w:rPr>
            </w:pPr>
            <w:r>
              <w:rPr>
                <w:rFonts w:ascii="Arial" w:cs="Arial" w:eastAsia="Arial" w:hAnsi="Arial"/>
                <w:sz w:val="17"/>
                <w:szCs w:val="17"/>
                <w:color w:val="auto"/>
              </w:rPr>
              <w:t>32.2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100" w:type="dxa"/>
            <w:vAlign w:val="bottom"/>
            <w:gridSpan w:val="7"/>
          </w:tcPr>
          <w:p>
            <w:pPr>
              <w:spacing w:after="0"/>
              <w:rPr>
                <w:rFonts w:ascii="Arial" w:cs="Arial" w:eastAsia="Arial" w:hAnsi="Arial"/>
                <w:sz w:val="17"/>
                <w:szCs w:val="17"/>
                <w:color w:val="0000FF"/>
                <w:w w:val="93"/>
              </w:rPr>
            </w:pPr>
            <w:hyperlink w:anchor="page57">
              <w:r>
                <w:rPr>
                  <w:rFonts w:ascii="Arial" w:cs="Arial" w:eastAsia="Arial" w:hAnsi="Arial"/>
                  <w:sz w:val="17"/>
                  <w:szCs w:val="17"/>
                  <w:color w:val="0000FF"/>
                  <w:w w:val="93"/>
                </w:rPr>
                <w:t>Certification of the Chief Financial Officer required by Rule 13a-14(b) or Rule 15d-14(b) and Section 1350 of Chapter 63 of Title 18 of the United</w:t>
              </w:r>
            </w:hyperlink>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Borders>
              <w:top w:val="single" w:sz="8" w:color="0000FF"/>
              <w:bottom w:val="single" w:sz="8" w:color="0000FF"/>
            </w:tcBorders>
            <w:gridSpan w:val="2"/>
          </w:tcPr>
          <w:p>
            <w:pPr>
              <w:spacing w:after="0" w:line="147" w:lineRule="exact"/>
              <w:rPr>
                <w:rFonts w:ascii="Arial" w:cs="Arial" w:eastAsia="Arial" w:hAnsi="Arial"/>
                <w:sz w:val="17"/>
                <w:szCs w:val="17"/>
                <w:color w:val="0000FF"/>
                <w:w w:val="90"/>
              </w:rPr>
            </w:pPr>
            <w:hyperlink w:anchor="page57">
              <w:r>
                <w:rPr>
                  <w:rFonts w:ascii="Arial" w:cs="Arial" w:eastAsia="Arial" w:hAnsi="Arial"/>
                  <w:sz w:val="17"/>
                  <w:szCs w:val="17"/>
                  <w:color w:val="0000FF"/>
                  <w:w w:val="90"/>
                </w:rPr>
                <w:t>States Code (18 U.S.C. 1350)*</w:t>
              </w:r>
            </w:hyperlink>
          </w:p>
        </w:tc>
        <w:tc>
          <w:tcPr>
            <w:tcW w:w="7900" w:type="dxa"/>
            <w:vAlign w:val="bottom"/>
            <w:tcBorders>
              <w:top w:val="single" w:sz="8" w:color="0000FF"/>
            </w:tcBorders>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880" w:hanging="860"/>
        <w:spacing w:after="0" w:line="214"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following materials from Booz Allen Hamilton Holding Corporation’s Quarterly Report on Form 10-Q for the three and six months ended September 30, 2021 formatted in Inline XBRL (eXtensible Business Reporting Language): (i) Condensed Consolidated Balance Sheets at September 30, 2021 and March 31, 2021; (ii) Condensed Consolidated Statements of Operations for the three and six months ended September 30, 2021 and 2020; (iii) Condensed Consolidated Statements of Comprehensive Income for the three and six months ended September 30, 2021 and 2020; (iv) Condensed Consolidated Statements of Cash Flows for the six months ended September 30, 2021 and 2020; and (v) Notes to Condensed Consolidated Financial Statements.</w:t>
      </w:r>
    </w:p>
    <w:p>
      <w:pPr>
        <w:spacing w:after="0" w:line="57" w:lineRule="exact"/>
        <w:rPr>
          <w:sz w:val="20"/>
          <w:szCs w:val="20"/>
          <w:color w:val="auto"/>
        </w:rPr>
      </w:pPr>
    </w:p>
    <w:p>
      <w:pPr>
        <w:ind w:left="880" w:hanging="860"/>
        <w:spacing w:after="0"/>
        <w:tabs>
          <w:tab w:leader="none" w:pos="8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8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___________________________________</w:t>
      </w:r>
    </w:p>
    <w:p>
      <w:pPr>
        <w:spacing w:after="0" w:line="6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Filed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647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167" w:lineRule="exact"/>
        <w:rPr>
          <w:sz w:val="20"/>
          <w:szCs w:val="20"/>
          <w:color w:val="auto"/>
        </w:rPr>
      </w:pPr>
    </w:p>
    <w:p>
      <w:pPr>
        <w:ind w:firstLine="385"/>
        <w:spacing w:after="0" w:line="27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87" w:lineRule="exact"/>
        <w:rPr>
          <w:sz w:val="20"/>
          <w:szCs w:val="20"/>
          <w:color w:val="auto"/>
        </w:rPr>
      </w:pPr>
    </w:p>
    <w:p>
      <w:pPr>
        <w:jc w:val="center"/>
        <w:ind w:left="5220"/>
        <w:spacing w:after="0"/>
        <w:rPr>
          <w:sz w:val="20"/>
          <w:szCs w:val="20"/>
          <w:color w:val="auto"/>
        </w:rPr>
      </w:pPr>
      <w:r>
        <w:rPr>
          <w:rFonts w:ascii="Arial" w:cs="Arial" w:eastAsia="Arial" w:hAnsi="Arial"/>
          <w:sz w:val="17"/>
          <w:szCs w:val="17"/>
          <w:u w:val="single" w:color="auto"/>
          <w:color w:val="auto"/>
        </w:rPr>
        <w:t>Booz Allen Hamilton Holding Corporation</w:t>
      </w:r>
    </w:p>
    <w:p>
      <w:pPr>
        <w:spacing w:after="0" w:line="22" w:lineRule="exact"/>
        <w:rPr>
          <w:sz w:val="20"/>
          <w:szCs w:val="20"/>
          <w:color w:val="auto"/>
        </w:rPr>
      </w:pPr>
    </w:p>
    <w:p>
      <w:pPr>
        <w:jc w:val="center"/>
        <w:ind w:left="5220"/>
        <w:spacing w:after="0"/>
        <w:rPr>
          <w:sz w:val="20"/>
          <w:szCs w:val="20"/>
          <w:color w:val="auto"/>
        </w:rPr>
      </w:pPr>
      <w:r>
        <w:rPr>
          <w:rFonts w:ascii="Arial" w:cs="Arial" w:eastAsia="Arial" w:hAnsi="Arial"/>
          <w:sz w:val="17"/>
          <w:szCs w:val="17"/>
          <w:color w:val="auto"/>
        </w:rPr>
        <w:t>Registrant</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4800" w:val="left"/>
          <w:tab w:leader="none" w:pos="5260" w:val="left"/>
        </w:tabs>
        <w:rPr>
          <w:sz w:val="20"/>
          <w:szCs w:val="20"/>
          <w:color w:val="auto"/>
        </w:rPr>
      </w:pPr>
      <w:r>
        <w:rPr>
          <w:rFonts w:ascii="Arial" w:cs="Arial" w:eastAsia="Arial" w:hAnsi="Arial"/>
          <w:sz w:val="17"/>
          <w:szCs w:val="17"/>
          <w:color w:val="auto"/>
        </w:rPr>
        <w:t>Date: October 29,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13970</wp:posOffset>
            </wp:positionV>
            <wp:extent cx="37852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8523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7"/>
          <w:szCs w:val="17"/>
          <w:color w:val="auto"/>
        </w:rPr>
        <w:t>Lloyd W. Howell, Jr.</w:t>
      </w:r>
    </w:p>
    <w:p>
      <w:pPr>
        <w:ind w:left="5280"/>
        <w:spacing w:after="0" w:line="204" w:lineRule="auto"/>
        <w:rPr>
          <w:sz w:val="20"/>
          <w:szCs w:val="20"/>
          <w:color w:val="auto"/>
        </w:rPr>
      </w:pPr>
      <w:r>
        <w:rPr>
          <w:rFonts w:ascii="Arial" w:cs="Arial" w:eastAsia="Arial" w:hAnsi="Arial"/>
          <w:sz w:val="17"/>
          <w:szCs w:val="17"/>
          <w:color w:val="auto"/>
        </w:rPr>
        <w:t>Executive Vice President, Chief Financial Officer and Treasurer</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080"/>
          </w:cols>
          <w:pgMar w:left="320" w:top="127" w:right="49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31.1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 PURSUANT TO RULE 13A-14(A) OF THE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 AS AMENDED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 Horacio D. Rozanski, certify that:</w:t>
      </w:r>
    </w:p>
    <w:p>
      <w:pPr>
        <w:spacing w:after="0" w:line="163" w:lineRule="exact"/>
        <w:rPr>
          <w:sz w:val="20"/>
          <w:szCs w:val="20"/>
          <w:color w:val="auto"/>
        </w:rPr>
      </w:pPr>
    </w:p>
    <w:p>
      <w:pPr>
        <w:ind w:left="180" w:hanging="177"/>
        <w:spacing w:after="0"/>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Booz Allen Hamilton Holding Corporation.</w:t>
      </w:r>
    </w:p>
    <w:p>
      <w:pPr>
        <w:spacing w:after="0" w:line="163" w:lineRule="exact"/>
        <w:rPr>
          <w:rFonts w:ascii="Arial" w:cs="Arial" w:eastAsia="Arial" w:hAnsi="Arial"/>
          <w:sz w:val="17"/>
          <w:szCs w:val="17"/>
          <w:color w:val="auto"/>
        </w:rPr>
      </w:pPr>
    </w:p>
    <w:p>
      <w:pPr>
        <w:ind w:right="360" w:firstLine="3"/>
        <w:spacing w:after="0" w:line="309" w:lineRule="auto"/>
        <w:tabs>
          <w:tab w:leader="none" w:pos="171"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6"/>
          <w:szCs w:val="16"/>
          <w:color w:val="auto"/>
        </w:rPr>
      </w:pPr>
    </w:p>
    <w:p>
      <w:pPr>
        <w:ind w:right="460" w:firstLine="3"/>
        <w:spacing w:after="0" w:line="277" w:lineRule="auto"/>
        <w:tabs>
          <w:tab w:leader="none" w:pos="1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ind w:right="20" w:firstLine="3"/>
        <w:spacing w:after="0" w:line="346" w:lineRule="auto"/>
        <w:tabs>
          <w:tab w:leader="none" w:pos="171"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ind w:right="260" w:firstLine="3"/>
        <w:spacing w:after="0" w:line="264" w:lineRule="auto"/>
        <w:tabs>
          <w:tab w:leader="none" w:pos="232"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right="60" w:firstLine="3"/>
        <w:spacing w:after="0" w:line="264" w:lineRule="auto"/>
        <w:tabs>
          <w:tab w:leader="none" w:pos="242"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right="440" w:firstLine="3"/>
        <w:spacing w:after="0" w:line="277" w:lineRule="auto"/>
        <w:tabs>
          <w:tab w:leader="none" w:pos="232" w:val="left"/>
        </w:tabs>
        <w:numPr>
          <w:ilvl w:val="0"/>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7"/>
          <w:szCs w:val="17"/>
          <w:color w:val="auto"/>
        </w:rPr>
      </w:pPr>
    </w:p>
    <w:p>
      <w:pPr>
        <w:ind w:right="80" w:firstLine="3"/>
        <w:spacing w:after="0" w:line="264" w:lineRule="auto"/>
        <w:tabs>
          <w:tab w:leader="none" w:pos="242"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sz w:val="20"/>
          <w:szCs w:val="20"/>
          <w:color w:val="auto"/>
        </w:rPr>
      </w:pPr>
    </w:p>
    <w:p>
      <w:pPr>
        <w:ind w:right="260" w:firstLine="3"/>
        <w:spacing w:after="0" w:line="277" w:lineRule="auto"/>
        <w:tabs>
          <w:tab w:leader="none" w:pos="17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3" w:lineRule="exact"/>
        <w:rPr>
          <w:sz w:val="20"/>
          <w:szCs w:val="20"/>
          <w:color w:val="auto"/>
        </w:rPr>
      </w:pPr>
    </w:p>
    <w:p>
      <w:pPr>
        <w:ind w:right="600" w:firstLine="3"/>
        <w:spacing w:after="0" w:line="277" w:lineRule="auto"/>
        <w:tabs>
          <w:tab w:leader="none" w:pos="232"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right="200" w:firstLine="3"/>
        <w:spacing w:after="0" w:line="277" w:lineRule="auto"/>
        <w:tabs>
          <w:tab w:leader="none" w:pos="242"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20"/>
        <w:spacing w:after="0"/>
        <w:tabs>
          <w:tab w:leader="none" w:pos="6960" w:val="left"/>
          <w:tab w:leader="none" w:pos="7420" w:val="left"/>
        </w:tabs>
        <w:rPr>
          <w:sz w:val="20"/>
          <w:szCs w:val="20"/>
          <w:color w:val="auto"/>
        </w:rPr>
      </w:pPr>
      <w:r>
        <w:rPr>
          <w:rFonts w:ascii="Arial" w:cs="Arial" w:eastAsia="Arial" w:hAnsi="Arial"/>
          <w:sz w:val="17"/>
          <w:szCs w:val="17"/>
          <w:color w:val="auto"/>
        </w:rPr>
        <w:t>Date: October 29,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13970</wp:posOffset>
            </wp:positionV>
            <wp:extent cx="24098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09825" cy="8255"/>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7"/>
          <w:szCs w:val="17"/>
          <w:color w:val="auto"/>
        </w:rPr>
        <w:t>Horacio D. Rozanski</w:t>
      </w:r>
    </w:p>
    <w:p>
      <w:pPr>
        <w:ind w:left="7440"/>
        <w:spacing w:after="0" w:line="204" w:lineRule="auto"/>
        <w:rPr>
          <w:sz w:val="20"/>
          <w:szCs w:val="20"/>
          <w:color w:val="auto"/>
        </w:rPr>
      </w:pPr>
      <w:r>
        <w:rPr>
          <w:rFonts w:ascii="Arial" w:cs="Arial" w:eastAsia="Arial" w:hAnsi="Arial"/>
          <w:sz w:val="17"/>
          <w:szCs w:val="17"/>
          <w:color w:val="auto"/>
        </w:rPr>
        <w:t>President and Chief Executive Officer</w:t>
      </w:r>
    </w:p>
    <w:p>
      <w:pPr>
        <w:spacing w:after="0" w:line="1"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5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31.2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 PURSUANT TO RULE 13A-14(A) OF THE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 AS AMENDED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 Lloyd W. Howell, Jr., certify that:</w:t>
      </w:r>
    </w:p>
    <w:p>
      <w:pPr>
        <w:spacing w:after="0" w:line="163" w:lineRule="exact"/>
        <w:rPr>
          <w:sz w:val="20"/>
          <w:szCs w:val="20"/>
          <w:color w:val="auto"/>
        </w:rPr>
      </w:pPr>
    </w:p>
    <w:p>
      <w:pPr>
        <w:ind w:left="180" w:hanging="177"/>
        <w:spacing w:after="0"/>
        <w:tabs>
          <w:tab w:leader="none" w:pos="1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Booz Allen Hamilton Holding Corporation.</w:t>
      </w:r>
    </w:p>
    <w:p>
      <w:pPr>
        <w:spacing w:after="0" w:line="163" w:lineRule="exact"/>
        <w:rPr>
          <w:rFonts w:ascii="Arial" w:cs="Arial" w:eastAsia="Arial" w:hAnsi="Arial"/>
          <w:sz w:val="17"/>
          <w:szCs w:val="17"/>
          <w:color w:val="auto"/>
        </w:rPr>
      </w:pPr>
    </w:p>
    <w:p>
      <w:pPr>
        <w:ind w:right="360" w:firstLine="3"/>
        <w:spacing w:after="0" w:line="309" w:lineRule="auto"/>
        <w:tabs>
          <w:tab w:leader="none" w:pos="171"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6"/>
          <w:szCs w:val="16"/>
          <w:color w:val="auto"/>
        </w:rPr>
      </w:pPr>
    </w:p>
    <w:p>
      <w:pPr>
        <w:ind w:right="460" w:firstLine="3"/>
        <w:spacing w:after="0" w:line="277" w:lineRule="auto"/>
        <w:tabs>
          <w:tab w:leader="none" w:pos="171"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ind w:right="20" w:firstLine="3"/>
        <w:spacing w:after="0" w:line="346" w:lineRule="auto"/>
        <w:tabs>
          <w:tab w:leader="none" w:pos="171"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ind w:right="260" w:firstLine="3"/>
        <w:spacing w:after="0" w:line="264" w:lineRule="auto"/>
        <w:tabs>
          <w:tab w:leader="none" w:pos="232"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right="60" w:firstLine="3"/>
        <w:spacing w:after="0" w:line="264" w:lineRule="auto"/>
        <w:tabs>
          <w:tab w:leader="none" w:pos="242"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right="440" w:firstLine="3"/>
        <w:spacing w:after="0" w:line="277" w:lineRule="auto"/>
        <w:tabs>
          <w:tab w:leader="none" w:pos="232" w:val="left"/>
        </w:tabs>
        <w:numPr>
          <w:ilvl w:val="0"/>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7"/>
          <w:szCs w:val="17"/>
          <w:color w:val="auto"/>
        </w:rPr>
      </w:pPr>
    </w:p>
    <w:p>
      <w:pPr>
        <w:ind w:right="80" w:firstLine="3"/>
        <w:spacing w:after="0" w:line="264" w:lineRule="auto"/>
        <w:tabs>
          <w:tab w:leader="none" w:pos="242"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sz w:val="20"/>
          <w:szCs w:val="20"/>
          <w:color w:val="auto"/>
        </w:rPr>
      </w:pPr>
    </w:p>
    <w:p>
      <w:pPr>
        <w:ind w:right="260" w:firstLine="3"/>
        <w:spacing w:after="0" w:line="277" w:lineRule="auto"/>
        <w:tabs>
          <w:tab w:leader="none" w:pos="17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13" w:lineRule="exact"/>
        <w:rPr>
          <w:sz w:val="20"/>
          <w:szCs w:val="20"/>
          <w:color w:val="auto"/>
        </w:rPr>
      </w:pPr>
    </w:p>
    <w:p>
      <w:pPr>
        <w:ind w:right="600" w:firstLine="3"/>
        <w:spacing w:after="0" w:line="277" w:lineRule="auto"/>
        <w:tabs>
          <w:tab w:leader="none" w:pos="232"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right="200" w:firstLine="3"/>
        <w:spacing w:after="0" w:line="277" w:lineRule="auto"/>
        <w:tabs>
          <w:tab w:leader="none" w:pos="242"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20"/>
        <w:spacing w:after="0"/>
        <w:tabs>
          <w:tab w:leader="none" w:pos="5600" w:val="left"/>
          <w:tab w:leader="none" w:pos="6060" w:val="left"/>
        </w:tabs>
        <w:rPr>
          <w:sz w:val="20"/>
          <w:szCs w:val="20"/>
          <w:color w:val="auto"/>
        </w:rPr>
      </w:pPr>
      <w:r>
        <w:rPr>
          <w:rFonts w:ascii="Arial" w:cs="Arial" w:eastAsia="Arial" w:hAnsi="Arial"/>
          <w:sz w:val="17"/>
          <w:szCs w:val="17"/>
          <w:color w:val="auto"/>
        </w:rPr>
        <w:t>Date: October 29,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32645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64535" cy="825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7"/>
          <w:szCs w:val="17"/>
          <w:color w:val="auto"/>
        </w:rPr>
        <w:t>Lloyd W. Howell, Jr.</w:t>
      </w:r>
    </w:p>
    <w:p>
      <w:pPr>
        <w:ind w:left="6080"/>
        <w:spacing w:after="0" w:line="231" w:lineRule="auto"/>
        <w:rPr>
          <w:sz w:val="20"/>
          <w:szCs w:val="20"/>
          <w:color w:val="auto"/>
        </w:rPr>
      </w:pPr>
      <w:r>
        <w:rPr>
          <w:rFonts w:ascii="Arial" w:cs="Arial" w:eastAsia="Arial" w:hAnsi="Arial"/>
          <w:sz w:val="15"/>
          <w:szCs w:val="15"/>
          <w:color w:val="auto"/>
        </w:rPr>
        <w:t>Executive Vice President, Chief Financial Officer and Treasurer (Principal</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Financial Officer)</w:t>
      </w:r>
    </w:p>
    <w:p>
      <w:pPr>
        <w:sectPr>
          <w:pgSz w:w="11900" w:h="16838" w:orient="portrait"/>
          <w:cols w:equalWidth="0" w:num="1">
            <w:col w:w="11240"/>
          </w:cols>
          <w:pgMar w:left="320" w:top="85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52" w:lineRule="exact"/>
        <w:rPr>
          <w:sz w:val="20"/>
          <w:szCs w:val="20"/>
          <w:color w:val="auto"/>
        </w:rPr>
      </w:pPr>
    </w:p>
    <w:p>
      <w:pPr>
        <w:ind w:right="200"/>
        <w:spacing w:after="0" w:line="315" w:lineRule="auto"/>
        <w:rPr>
          <w:sz w:val="20"/>
          <w:szCs w:val="20"/>
          <w:color w:val="auto"/>
        </w:rPr>
      </w:pPr>
      <w:r>
        <w:rPr>
          <w:rFonts w:ascii="Arial" w:cs="Arial" w:eastAsia="Arial" w:hAnsi="Arial"/>
          <w:sz w:val="15"/>
          <w:szCs w:val="15"/>
          <w:color w:val="auto"/>
        </w:rPr>
        <w:t>In connection with the report on Form 10-Q of Booz Allen Hamilton Holding Corporation (the “Company”) for the fiscal quarter ended September 30, 2021,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90" w:lineRule="exact"/>
        <w:rPr>
          <w:sz w:val="20"/>
          <w:szCs w:val="20"/>
          <w:color w:val="auto"/>
        </w:rPr>
      </w:pPr>
    </w:p>
    <w:p>
      <w:pPr>
        <w:ind w:left="240" w:hanging="237"/>
        <w:spacing w:after="0"/>
        <w:tabs>
          <w:tab w:leader="none" w:pos="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w:t>
      </w:r>
    </w:p>
    <w:p>
      <w:pPr>
        <w:spacing w:after="0" w:line="163" w:lineRule="exact"/>
        <w:rPr>
          <w:rFonts w:ascii="Arial" w:cs="Arial" w:eastAsia="Arial" w:hAnsi="Arial"/>
          <w:sz w:val="17"/>
          <w:szCs w:val="17"/>
          <w:color w:val="auto"/>
        </w:rPr>
      </w:pPr>
    </w:p>
    <w:p>
      <w:pPr>
        <w:ind w:left="240" w:hanging="237"/>
        <w:spacing w:after="0"/>
        <w:tabs>
          <w:tab w:leader="none" w:pos="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7" w:lineRule="exact"/>
        <w:rPr>
          <w:sz w:val="20"/>
          <w:szCs w:val="20"/>
          <w:color w:val="auto"/>
        </w:rPr>
      </w:pPr>
    </w:p>
    <w:p>
      <w:pPr>
        <w:ind w:left="20"/>
        <w:spacing w:after="0"/>
        <w:tabs>
          <w:tab w:leader="none" w:pos="6400" w:val="left"/>
        </w:tabs>
        <w:rPr>
          <w:sz w:val="20"/>
          <w:szCs w:val="20"/>
          <w:color w:val="auto"/>
        </w:rPr>
      </w:pPr>
      <w:r>
        <w:rPr>
          <w:rFonts w:ascii="Arial" w:cs="Arial" w:eastAsia="Arial" w:hAnsi="Arial"/>
          <w:sz w:val="17"/>
          <w:szCs w:val="17"/>
          <w:color w:val="auto"/>
        </w:rPr>
        <w:t>Date: October 29, 2021</w:t>
      </w:r>
      <w:r>
        <w:rPr>
          <w:sz w:val="20"/>
          <w:szCs w:val="20"/>
          <w:color w:val="auto"/>
        </w:rPr>
        <w:tab/>
      </w:r>
      <w:r>
        <w:rPr>
          <w:rFonts w:ascii="Arial" w:cs="Arial" w:eastAsia="Arial" w:hAnsi="Arial"/>
          <w:sz w:val="15"/>
          <w:szCs w:val="15"/>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13970</wp:posOffset>
            </wp:positionV>
            <wp:extent cx="28816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ind w:left="6700"/>
        <w:spacing w:after="0"/>
        <w:rPr>
          <w:sz w:val="20"/>
          <w:szCs w:val="20"/>
          <w:color w:val="auto"/>
        </w:rPr>
      </w:pPr>
      <w:r>
        <w:rPr>
          <w:rFonts w:ascii="Arial" w:cs="Arial" w:eastAsia="Arial" w:hAnsi="Arial"/>
          <w:sz w:val="17"/>
          <w:szCs w:val="17"/>
          <w:color w:val="auto"/>
        </w:rPr>
        <w:t>Horacio D. Rozanski</w:t>
      </w:r>
    </w:p>
    <w:p>
      <w:pPr>
        <w:ind w:left="6700"/>
        <w:spacing w:after="0" w:line="204" w:lineRule="auto"/>
        <w:rPr>
          <w:sz w:val="20"/>
          <w:szCs w:val="20"/>
          <w:color w:val="auto"/>
        </w:rPr>
      </w:pPr>
      <w:r>
        <w:rPr>
          <w:rFonts w:ascii="Arial" w:cs="Arial" w:eastAsia="Arial" w:hAnsi="Arial"/>
          <w:sz w:val="17"/>
          <w:szCs w:val="17"/>
          <w:color w:val="auto"/>
        </w:rPr>
        <w:t>President and Chief Executive Officer</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Executive Officer)</w:t>
      </w:r>
    </w:p>
    <w:p>
      <w:pPr>
        <w:spacing w:after="0" w:line="149"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5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32.2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52"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In connection with the report on Form 10-Q of Booz Allen Hamilton Holding Corporation (the “Company”) for the fiscal quarter ended September 30, 2021,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27" w:lineRule="exact"/>
        <w:rPr>
          <w:sz w:val="20"/>
          <w:szCs w:val="20"/>
          <w:color w:val="auto"/>
        </w:rPr>
      </w:pPr>
    </w:p>
    <w:p>
      <w:pPr>
        <w:ind w:left="240" w:hanging="237"/>
        <w:spacing w:after="0"/>
        <w:tabs>
          <w:tab w:leader="none" w:pos="2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w:t>
      </w:r>
    </w:p>
    <w:p>
      <w:pPr>
        <w:spacing w:after="0" w:line="163" w:lineRule="exact"/>
        <w:rPr>
          <w:rFonts w:ascii="Arial" w:cs="Arial" w:eastAsia="Arial" w:hAnsi="Arial"/>
          <w:sz w:val="17"/>
          <w:szCs w:val="17"/>
          <w:color w:val="auto"/>
        </w:rPr>
      </w:pPr>
    </w:p>
    <w:p>
      <w:pPr>
        <w:ind w:left="240" w:hanging="237"/>
        <w:spacing w:after="0"/>
        <w:tabs>
          <w:tab w:leader="none" w:pos="2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7"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Date: October 29, 2021</w:t>
      </w:r>
      <w:r>
        <w:rPr>
          <w:sz w:val="20"/>
          <w:szCs w:val="20"/>
          <w:color w:val="auto"/>
        </w:rPr>
        <w:tab/>
      </w:r>
      <w:r>
        <w:rPr>
          <w:rFonts w:ascii="Arial" w:cs="Arial" w:eastAsia="Arial" w:hAnsi="Arial"/>
          <w:sz w:val="15"/>
          <w:szCs w:val="15"/>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13970</wp:posOffset>
            </wp:positionV>
            <wp:extent cx="33864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7"/>
          <w:szCs w:val="17"/>
          <w:color w:val="auto"/>
        </w:rPr>
        <w:t>Lloyd W. Howell, Jr.</w:t>
      </w:r>
    </w:p>
    <w:p>
      <w:pPr>
        <w:ind w:left="5900"/>
        <w:spacing w:after="0" w:line="217" w:lineRule="auto"/>
        <w:rPr>
          <w:sz w:val="20"/>
          <w:szCs w:val="20"/>
          <w:color w:val="auto"/>
        </w:rPr>
      </w:pPr>
      <w:r>
        <w:rPr>
          <w:rFonts w:ascii="Arial" w:cs="Arial" w:eastAsia="Arial" w:hAnsi="Arial"/>
          <w:sz w:val="16"/>
          <w:szCs w:val="16"/>
          <w:color w:val="auto"/>
        </w:rPr>
        <w:t>Executive Vice President, Chief Financial Officer and Treasurer (Principal</w:t>
      </w:r>
    </w:p>
    <w:p>
      <w:pPr>
        <w:ind w:left="5900"/>
        <w:spacing w:after="0"/>
        <w:rPr>
          <w:sz w:val="20"/>
          <w:szCs w:val="20"/>
          <w:color w:val="auto"/>
        </w:rPr>
      </w:pPr>
      <w:r>
        <w:rPr>
          <w:rFonts w:ascii="Arial" w:cs="Arial" w:eastAsia="Arial" w:hAnsi="Arial"/>
          <w:sz w:val="17"/>
          <w:szCs w:val="17"/>
          <w:color w:val="auto"/>
        </w:rPr>
        <w:t>Financial Officer)</w:t>
      </w:r>
    </w:p>
    <w:p>
      <w:pPr>
        <w:spacing w:after="0" w:line="149"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2"/>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6"/>
    </w:lvl>
  </w:abstractNum>
  <w:abstractNum w:abstractNumId="7">
    <w:nsid w:val="71F32454"/>
    <w:multiLevelType w:val="hybridMultilevel"/>
    <w:lvl w:ilvl="0">
      <w:lvlJc w:val="left"/>
      <w:lvlText w:val="(%1)"/>
      <w:numFmt w:val="lowerLetter"/>
      <w:start w:val="7"/>
    </w:lvl>
  </w:abstractNum>
  <w:abstractNum w:abstractNumId="8">
    <w:nsid w:val="2CA88611"/>
    <w:multiLevelType w:val="hybridMultilevel"/>
    <w:lvl w:ilvl="0">
      <w:lvlJc w:val="left"/>
      <w:lvlText w:val="%1"/>
      <w:numFmt w:val="decimal"/>
      <w:start w:val="1"/>
    </w:lvl>
    <w:lvl w:ilvl="1">
      <w:lvlJc w:val="left"/>
      <w:lvlText w:val="(%2)"/>
      <w:numFmt w:val="decimal"/>
      <w:start w:val="1"/>
    </w:lvl>
  </w:abstractNum>
  <w:abstractNum w:abstractNumId="9">
    <w:nsid w:val="836C40E"/>
    <w:multiLevelType w:val="hybridMultilevel"/>
    <w:lvl w:ilvl="0">
      <w:lvlJc w:val="left"/>
      <w:lvlText w:val="%1."/>
      <w:numFmt w:val="decimal"/>
      <w:start w:val="9"/>
    </w:lvl>
    <w:lvl w:ilvl="1">
      <w:lvlJc w:val="left"/>
      <w:lvlText w:val="%2"/>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2"/>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2"/>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3"/>
    </w:lvl>
  </w:abstractNum>
  <w:abstractNum w:abstractNumId="18">
    <w:nsid w:val="4516DDE9"/>
    <w:multiLevelType w:val="hybridMultilevel"/>
    <w:lvl w:ilvl="0">
      <w:lvlJc w:val="left"/>
      <w:lvlText w:val="(%1)"/>
      <w:numFmt w:val="lowerRoman"/>
      <w:start w:val="3"/>
    </w:lvl>
    <w:lvl w:ilvl="1">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lowerLetter"/>
      <w:start w:val="7"/>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01"/>
    </w:lvl>
  </w:abstractNum>
  <w:abstractNum w:abstractNumId="36">
    <w:nsid w:val="70A64E2A"/>
    <w:multiLevelType w:val="hybridMultilevel"/>
    <w:lvl w:ilvl="0">
      <w:lvlJc w:val="left"/>
      <w:lvlText w:val="*"/>
      <w:numFmt w:val="bullet"/>
      <w:start w:val="1"/>
    </w:lvl>
    <w:lvl w:ilvl="1">
      <w:lvlJc w:val="left"/>
      <w:lvlText w:val="%2"/>
      <w:numFmt w:val="decimal"/>
      <w:start w:val="104"/>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2021-10-29T05:52:51Z</dcterms:created>
  <dcterms:modified xsi:type="dcterms:W3CDTF">2021-10-29T05:52:51Z</dcterms:modified>
</cp:coreProperties>
</file>