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2011</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502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right"/>
              <w:ind w:right="44"/>
              <w:spacing w:after="0"/>
              <w:rPr>
                <w:sz w:val="20"/>
                <w:szCs w:val="20"/>
                <w:color w:val="auto"/>
              </w:rPr>
            </w:pPr>
            <w:r>
              <w:rPr>
                <w:rFonts w:ascii="Arial" w:cs="Arial" w:eastAsia="Arial" w:hAnsi="Arial"/>
                <w:sz w:val="18"/>
                <w:szCs w:val="18"/>
                <w:b w:val="1"/>
                <w:bCs w:val="1"/>
                <w:color w:val="auto"/>
              </w:rPr>
              <w:t>26-2634160</w:t>
            </w:r>
          </w:p>
        </w:tc>
      </w:tr>
      <w:tr>
        <w:trPr>
          <w:trHeight w:val="149"/>
        </w:trPr>
        <w:tc>
          <w:tcPr>
            <w:tcW w:w="502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020" w:type="dxa"/>
            <w:vAlign w:val="bottom"/>
          </w:tcPr>
          <w:p>
            <w:pPr>
              <w:jc w:val="center"/>
              <w:ind w:right="1784"/>
              <w:spacing w:after="0"/>
              <w:rPr>
                <w:sz w:val="20"/>
                <w:szCs w:val="20"/>
                <w:color w:val="auto"/>
              </w:rPr>
            </w:pPr>
            <w:r>
              <w:rPr>
                <w:rFonts w:ascii="Arial" w:cs="Arial" w:eastAsia="Arial" w:hAnsi="Arial"/>
                <w:sz w:val="18"/>
                <w:szCs w:val="18"/>
                <w:b w:val="1"/>
                <w:bCs w:val="1"/>
                <w:color w:val="auto"/>
                <w:w w:val="90"/>
              </w:rPr>
              <w:t>8283 Greensboro Drive, McLean, Virginia</w:t>
            </w:r>
          </w:p>
        </w:tc>
        <w:tc>
          <w:tcPr>
            <w:tcW w:w="2920" w:type="dxa"/>
            <w:vAlign w:val="bottom"/>
          </w:tcPr>
          <w:p>
            <w:pPr>
              <w:jc w:val="right"/>
              <w:ind w:right="244"/>
              <w:spacing w:after="0"/>
              <w:rPr>
                <w:sz w:val="20"/>
                <w:szCs w:val="20"/>
                <w:color w:val="auto"/>
              </w:rPr>
            </w:pPr>
            <w:r>
              <w:rPr>
                <w:rFonts w:ascii="Arial" w:cs="Arial" w:eastAsia="Arial" w:hAnsi="Arial"/>
                <w:sz w:val="18"/>
                <w:szCs w:val="18"/>
                <w:b w:val="1"/>
                <w:bCs w:val="1"/>
                <w:color w:val="auto"/>
              </w:rPr>
              <w:t>22102</w:t>
            </w:r>
          </w:p>
        </w:tc>
      </w:tr>
      <w:tr>
        <w:trPr>
          <w:trHeight w:val="174"/>
        </w:trPr>
        <w:tc>
          <w:tcPr>
            <w:tcW w:w="50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84"/>
              <w:spacing w:after="0"/>
              <w:rPr>
                <w:sz w:val="20"/>
                <w:szCs w:val="20"/>
                <w:color w:val="auto"/>
              </w:rPr>
            </w:pPr>
            <w:r>
              <w:rPr>
                <w:rFonts w:ascii="Arial" w:cs="Arial" w:eastAsia="Arial" w:hAnsi="Arial"/>
                <w:sz w:val="14"/>
                <w:szCs w:val="14"/>
                <w:b w:val="1"/>
                <w:bCs w:val="1"/>
                <w:color w:val="auto"/>
                <w:w w:val="89"/>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22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220"/>
            <w:col w:w="260" w:space="80"/>
            <w:col w:w="160" w:space="180"/>
            <w:col w:w="2540"/>
          </w:cols>
          <w:pgMar w:left="240" w:top="314"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660" w:type="dxa"/>
            <w:vAlign w:val="bottom"/>
          </w:tcPr>
          <w:p>
            <w:pPr>
              <w:jc w:val="right"/>
              <w:ind w:right="99"/>
              <w:spacing w:after="0"/>
              <w:rPr>
                <w:sz w:val="20"/>
                <w:szCs w:val="20"/>
                <w:color w:val="auto"/>
              </w:rPr>
            </w:pPr>
            <w:r>
              <w:rPr>
                <w:rFonts w:ascii="Arial" w:cs="Arial" w:eastAsia="Arial" w:hAnsi="Arial"/>
                <w:sz w:val="14"/>
                <w:szCs w:val="14"/>
                <w:b w:val="1"/>
                <w:bCs w:val="1"/>
                <w:color w:val="auto"/>
              </w:rPr>
              <w:t>Shares Outstanding</w:t>
            </w:r>
          </w:p>
        </w:tc>
        <w:tc>
          <w:tcPr>
            <w:tcW w:w="1360" w:type="dxa"/>
            <w:vAlign w:val="bottom"/>
          </w:tcPr>
          <w:p>
            <w:pPr>
              <w:spacing w:after="0"/>
              <w:rPr>
                <w:sz w:val="14"/>
                <w:szCs w:val="14"/>
                <w:color w:val="auto"/>
              </w:rPr>
            </w:pPr>
          </w:p>
        </w:tc>
      </w:tr>
      <w:tr>
        <w:trPr>
          <w:trHeight w:val="161"/>
        </w:trPr>
        <w:tc>
          <w:tcPr>
            <w:tcW w:w="1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660" w:type="dxa"/>
            <w:vAlign w:val="bottom"/>
          </w:tcPr>
          <w:p>
            <w:pPr>
              <w:jc w:val="right"/>
              <w:ind w:right="39"/>
              <w:spacing w:after="0"/>
              <w:rPr>
                <w:sz w:val="20"/>
                <w:szCs w:val="20"/>
                <w:color w:val="auto"/>
              </w:rPr>
            </w:pPr>
            <w:r>
              <w:rPr>
                <w:rFonts w:ascii="Arial" w:cs="Arial" w:eastAsia="Arial" w:hAnsi="Arial"/>
                <w:sz w:val="14"/>
                <w:szCs w:val="14"/>
                <w:b w:val="1"/>
                <w:bCs w:val="1"/>
                <w:color w:val="auto"/>
              </w:rPr>
              <w:t>as of January 31, 2012</w:t>
            </w:r>
          </w:p>
        </w:tc>
        <w:tc>
          <w:tcPr>
            <w:tcW w:w="136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3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128,126,835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Class B Non-Voting Common Stock</w:t>
            </w:r>
          </w:p>
        </w:tc>
        <w:tc>
          <w:tcPr>
            <w:tcW w:w="3660" w:type="dxa"/>
            <w:vAlign w:val="bottom"/>
          </w:tcPr>
          <w:p>
            <w:pPr>
              <w:jc w:val="right"/>
              <w:ind w:right="19"/>
              <w:spacing w:after="0"/>
              <w:rPr>
                <w:sz w:val="20"/>
                <w:szCs w:val="20"/>
                <w:color w:val="auto"/>
              </w:rPr>
            </w:pPr>
            <w:r>
              <w:rPr>
                <w:rFonts w:ascii="Arial" w:cs="Arial" w:eastAsia="Arial" w:hAnsi="Arial"/>
                <w:sz w:val="18"/>
                <w:szCs w:val="18"/>
                <w:color w:val="auto"/>
              </w:rPr>
              <w:t>2,621,290</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Class C Restricted Common Stock</w:t>
            </w:r>
          </w:p>
        </w:tc>
        <w:tc>
          <w:tcPr>
            <w:tcW w:w="3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1,533,020</w:t>
            </w:r>
          </w:p>
        </w:tc>
        <w:tc>
          <w:tcPr>
            <w:tcW w:w="136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Class E Special Voting Common Stock</w:t>
            </w:r>
          </w:p>
        </w:tc>
        <w:tc>
          <w:tcPr>
            <w:tcW w:w="3660" w:type="dxa"/>
            <w:vAlign w:val="bottom"/>
          </w:tcPr>
          <w:p>
            <w:pPr>
              <w:jc w:val="right"/>
              <w:ind w:right="19"/>
              <w:spacing w:after="0"/>
              <w:rPr>
                <w:sz w:val="20"/>
                <w:szCs w:val="20"/>
                <w:color w:val="auto"/>
              </w:rPr>
            </w:pPr>
            <w:r>
              <w:rPr>
                <w:rFonts w:ascii="Arial" w:cs="Arial" w:eastAsia="Arial" w:hAnsi="Arial"/>
                <w:sz w:val="18"/>
                <w:szCs w:val="18"/>
                <w:color w:val="auto"/>
              </w:rPr>
              <w:t>10,140,067</w:t>
            </w:r>
          </w:p>
        </w:tc>
        <w:tc>
          <w:tcPr>
            <w:tcW w:w="1360" w:type="dxa"/>
            <w:vAlign w:val="bottom"/>
          </w:tcPr>
          <w:p>
            <w:pPr>
              <w:spacing w:after="0"/>
              <w:rPr>
                <w:sz w:val="19"/>
                <w:szCs w:val="19"/>
                <w:color w:val="auto"/>
              </w:rPr>
            </w:pPr>
          </w:p>
        </w:tc>
      </w:tr>
      <w:tr>
        <w:trPr>
          <w:trHeight w:val="115"/>
        </w:trPr>
        <w:tc>
          <w:tcPr>
            <w:tcW w:w="138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4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42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1</w:t>
            </w:r>
          </w:p>
        </w:tc>
        <w:tc>
          <w:tcPr>
            <w:tcW w:w="22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STATEMENTS</w:t>
              </w:r>
            </w:hyperlink>
          </w:p>
        </w:tc>
        <w:tc>
          <w:tcPr>
            <w:tcW w:w="64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2</w:t>
            </w:r>
          </w:p>
        </w:tc>
        <w:tc>
          <w:tcPr>
            <w:tcW w:w="8620" w:type="dxa"/>
            <w:vAlign w:val="bottom"/>
            <w:gridSpan w:val="14"/>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MANAGEMENT’S DISCUSSION AND ANALYSIS OF FINANCIAL CONDITION AND RESULTS OF</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196"/>
        </w:trPr>
        <w:tc>
          <w:tcPr>
            <w:tcW w:w="18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5"/>
              </w:rPr>
            </w:pPr>
            <w:hyperlink w:anchor="page16">
              <w:r>
                <w:rPr>
                  <w:rFonts w:ascii="Arial" w:cs="Arial" w:eastAsia="Arial" w:hAnsi="Arial"/>
                  <w:sz w:val="18"/>
                  <w:szCs w:val="18"/>
                  <w:b w:val="1"/>
                  <w:bCs w:val="1"/>
                  <w:color w:val="0000EE"/>
                  <w:w w:val="95"/>
                </w:rPr>
                <w:t>OPERATIONS</w:t>
              </w:r>
            </w:hyperlink>
          </w:p>
        </w:tc>
        <w:tc>
          <w:tcPr>
            <w:tcW w:w="6720" w:type="dxa"/>
            <w:vAlign w:val="bottom"/>
            <w:tcBorders>
              <w:top w:val="single" w:sz="8" w:color="0000EE"/>
            </w:tcBorders>
            <w:gridSpan w:val="11"/>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3</w:t>
            </w:r>
          </w:p>
        </w:tc>
        <w:tc>
          <w:tcPr>
            <w:tcW w:w="8620" w:type="dxa"/>
            <w:vAlign w:val="bottom"/>
            <w:gridSpan w:val="1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4</w:t>
            </w:r>
          </w:p>
        </w:tc>
        <w:tc>
          <w:tcPr>
            <w:tcW w:w="630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CONTROLS AND PROCEDURES</w:t>
              </w:r>
            </w:hyperlink>
          </w:p>
        </w:tc>
        <w:tc>
          <w:tcPr>
            <w:tcW w:w="23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0"/>
        </w:trPr>
        <w:tc>
          <w:tcPr>
            <w:tcW w:w="180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42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180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1</w:t>
            </w:r>
          </w:p>
        </w:tc>
        <w:tc>
          <w:tcPr>
            <w:tcW w:w="19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LEGAL PROCEEDINGS</w:t>
              </w:r>
            </w:hyperlink>
          </w:p>
        </w:tc>
        <w:tc>
          <w:tcPr>
            <w:tcW w:w="66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1A</w:t>
            </w:r>
          </w:p>
        </w:tc>
        <w:tc>
          <w:tcPr>
            <w:tcW w:w="8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180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2</w:t>
            </w:r>
          </w:p>
        </w:tc>
        <w:tc>
          <w:tcPr>
            <w:tcW w:w="6240" w:type="dxa"/>
            <w:vAlign w:val="bottom"/>
            <w:tcBorders>
              <w:bottom w:val="single" w:sz="8" w:color="0000EE"/>
            </w:tcBorders>
            <w:gridSpan w:val="11"/>
          </w:tcPr>
          <w:p>
            <w:pPr>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UNREGISTERED SALES OF EQUITY SECURITIES AND USE OF PROCEEDS</w:t>
              </w:r>
            </w:hyperlink>
          </w:p>
        </w:tc>
        <w:tc>
          <w:tcPr>
            <w:tcW w:w="238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3</w:t>
            </w:r>
          </w:p>
        </w:tc>
        <w:tc>
          <w:tcPr>
            <w:tcW w:w="3280" w:type="dxa"/>
            <w:vAlign w:val="bottom"/>
            <w:tcBorders>
              <w:bottom w:val="single" w:sz="8" w:color="0000EE"/>
            </w:tcBorders>
            <w:gridSpan w:val="10"/>
          </w:tcPr>
          <w:p>
            <w:pPr>
              <w:spacing w:after="0"/>
              <w:rPr>
                <w:rFonts w:ascii="Arial" w:cs="Arial" w:eastAsia="Arial" w:hAnsi="Arial"/>
                <w:sz w:val="18"/>
                <w:szCs w:val="18"/>
                <w:b w:val="1"/>
                <w:bCs w:val="1"/>
                <w:color w:val="0000EE"/>
                <w:w w:val="95"/>
              </w:rPr>
            </w:pPr>
            <w:hyperlink w:anchor="page31">
              <w:r>
                <w:rPr>
                  <w:rFonts w:ascii="Arial" w:cs="Arial" w:eastAsia="Arial" w:hAnsi="Arial"/>
                  <w:sz w:val="18"/>
                  <w:szCs w:val="18"/>
                  <w:b w:val="1"/>
                  <w:bCs w:val="1"/>
                  <w:color w:val="0000EE"/>
                  <w:w w:val="95"/>
                </w:rPr>
                <w:t>DEFAULTS UPON SENIOR SECURITIES</w:t>
              </w:r>
            </w:hyperlink>
          </w:p>
        </w:tc>
        <w:tc>
          <w:tcPr>
            <w:tcW w:w="53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4</w:t>
            </w:r>
          </w:p>
        </w:tc>
        <w:tc>
          <w:tcPr>
            <w:tcW w:w="8620" w:type="dxa"/>
            <w:vAlign w:val="bottom"/>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5</w:t>
            </w:r>
          </w:p>
        </w:tc>
        <w:tc>
          <w:tcPr>
            <w:tcW w:w="19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520" w:type="dxa"/>
            <w:vAlign w:val="bottom"/>
            <w:tcBorders>
              <w:top w:val="single" w:sz="8" w:color="0000EE"/>
            </w:tcBorders>
            <w:gridSpan w:val="2"/>
          </w:tcPr>
          <w:p>
            <w:pPr>
              <w:spacing w:after="0"/>
              <w:rPr>
                <w:sz w:val="24"/>
                <w:szCs w:val="24"/>
                <w:color w:val="auto"/>
              </w:rPr>
            </w:pPr>
          </w:p>
        </w:tc>
        <w:tc>
          <w:tcPr>
            <w:tcW w:w="61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04"/>
        </w:trPr>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ITEM 6</w:t>
            </w:r>
          </w:p>
        </w:tc>
        <w:tc>
          <w:tcPr>
            <w:tcW w:w="900" w:type="dxa"/>
            <w:vAlign w:val="bottom"/>
            <w:tcBorders>
              <w:bottom w:val="single" w:sz="8" w:color="0000EE"/>
            </w:tcBorders>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w:t>
              </w:r>
            </w:hyperlink>
          </w:p>
        </w:tc>
        <w:tc>
          <w:tcPr>
            <w:tcW w:w="77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83"/>
        </w:trPr>
        <w:tc>
          <w:tcPr>
            <w:tcW w:w="1800" w:type="dxa"/>
            <w:vAlign w:val="bottom"/>
          </w:tcPr>
          <w:p>
            <w:pPr>
              <w:spacing w:after="0"/>
              <w:rPr>
                <w:sz w:val="24"/>
                <w:szCs w:val="24"/>
                <w:color w:val="auto"/>
              </w:rPr>
            </w:pPr>
          </w:p>
        </w:tc>
        <w:tc>
          <w:tcPr>
            <w:tcW w:w="6240" w:type="dxa"/>
            <w:vAlign w:val="bottom"/>
            <w:gridSpan w:val="11"/>
          </w:tcPr>
          <w:p>
            <w:pPr>
              <w:ind w:left="38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20"/>
          </w:cols>
          <w:pgMar w:left="240" w:top="40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p>
        </w:tc>
        <w:tc>
          <w:tcPr>
            <w:tcW w:w="87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BOOZ ALLEN HAMILTON HOLDING CORPORATION</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7"/>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(Amounts in thousands, except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405,027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1,065,056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1,537,695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1,365,649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Property and equipment (less accumulated depreciation of $179.8 million and $138.1 million at December 31, 2011 and March</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 2011, respectively)</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195,277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227,925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1,188,115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1,163,549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3,207,349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3,024,023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39,375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other accrued expenses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377,798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392,905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837,460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866,135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933,279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Income tax reserve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55,170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2,065,079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2,116,773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 Class A — $0.01 par value — authorized, 600,000,000 shares; issued, 128,448,950 shares at December 31,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2011 and 122,784,835 shares at March 31, 2011; outstanding, 128,115,175 shares at December 31, 2011 and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122,784,835 shares at March 31, 2011</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8"/>
              </w:rPr>
              <w:t>Non-voting common stock, Class B — $0.01 par value — authorized, 16,000,000 shares; issued and outstanding,</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2,625,290 shares at December 31, 2011 and 3,053,130 shares at March 31, 2011</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Restricted common stock, Class C — $0.01 par value — authorized, 5,000,000 shares; issued and outstanding, 1,533,020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at December 31, 2011 and 2,028,270 shares at March 31, 2011</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4"/>
              </w:rPr>
              <w:t>Special voting common stock, Class E — $0.003 par value — authorized, 25,000,000 shares; issued and outstanding,</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10,140,067 shares at December 31, 2011 and 12,348,860 shares at March 31, 2011</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 333,775 shares at December 31, 2011 and 0 shares at March 31, 2011</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890,766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260,658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1,142,270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3,207,349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5"/>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(Amounts in thousands,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4"/>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(Amounts 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4"/>
              </w:rPr>
              <w:t>except per share data)</w:t>
            </w:r>
          </w:p>
        </w:tc>
        <w:tc>
          <w:tcPr>
            <w:tcW w:w="80" w:type="dxa"/>
            <w:vAlign w:val="bottom"/>
          </w:tcPr>
          <w:p>
            <w:pPr>
              <w:spacing w:after="0"/>
              <w:rPr>
                <w:sz w:val="14"/>
                <w:szCs w:val="1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1,442,718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1,389,176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4,318,598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4,098,319</w:t>
            </w:r>
          </w:p>
        </w:tc>
        <w:tc>
          <w:tcPr>
            <w:tcW w:w="0" w:type="dxa"/>
            <w:vAlign w:val="bottom"/>
          </w:tcPr>
          <w:p>
            <w:pPr>
              <w:spacing w:after="0"/>
              <w:rPr>
                <w:sz w:val="1"/>
                <w:szCs w:val="1"/>
                <w:color w:val="auto"/>
              </w:rPr>
            </w:pPr>
          </w:p>
        </w:tc>
      </w:tr>
      <w:tr>
        <w:trPr>
          <w:trHeight w:val="323"/>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2,172,450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Billable expenses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368,472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1,143,641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656,608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1,344,530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1,314,045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4,028,623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289,975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235,785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(34,532)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(113,715)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(18,656)</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21,943</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257,299</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67,971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66,624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(Note 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90" w:right="239" w:bottom="1440" w:gutter="0" w:footer="0" w:header="0"/>
        </w:sectPr>
      </w:pPr>
    </w:p>
    <w:bookmarkStart w:id="4" w:name="page5"/>
    <w:bookmarkEnd w:id="4"/>
    <w:p>
      <w:pPr>
        <w:jc w:val="center"/>
        <w:spacing w:after="0" w:line="4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3"/>
                <w:szCs w:val="13"/>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90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79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00" w:type="dxa"/>
            <w:vAlign w:val="bottom"/>
          </w:tcPr>
          <w:p>
            <w:pPr>
              <w:spacing w:after="0"/>
              <w:rPr>
                <w:sz w:val="12"/>
                <w:szCs w:val="1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$ 62,860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$ 23,638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$66,624</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Actuarial gain related to employee benefits, net of taxes</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r>
      <w:tr>
        <w:trPr>
          <w:trHeight w:val="27"/>
        </w:trPr>
        <w:tc>
          <w:tcPr>
            <w:tcW w:w="7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$ 62,966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$ 23,720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189,649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66,870</w:t>
            </w:r>
          </w:p>
        </w:tc>
        <w:tc>
          <w:tcPr>
            <w:tcW w:w="100" w:type="dxa"/>
            <w:vAlign w:val="bottom"/>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2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189,328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Gain on sale of state and local transportation business</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Transaction costs on sale of state and local transportation business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Amortization of original issuance discount on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the exercise of stock options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39,203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Income tax reserve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(35,304)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280,805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(65,558)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Escrow payments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state and local transportation business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6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(42,226)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(60,049)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(344,311)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Excess tax benefits from the exercise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exercises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322"/>
        </w:trPr>
        <w:tc>
          <w:tcPr>
            <w:tcW w:w="95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212,396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405,027</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457,772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420"/>
              <w:spacing w:after="0"/>
              <w:rPr>
                <w:sz w:val="20"/>
                <w:szCs w:val="20"/>
                <w:color w:val="auto"/>
              </w:rPr>
            </w:pPr>
            <w:r>
              <w:rPr>
                <w:rFonts w:ascii="Arial" w:cs="Arial" w:eastAsia="Arial" w:hAnsi="Arial"/>
                <w:sz w:val="18"/>
                <w:szCs w:val="18"/>
                <w:color w:val="auto"/>
              </w:rPr>
              <w:t>Income taxes, net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28" w:right="239" w:bottom="1440" w:gutter="0" w:footer="0" w:header="0"/>
        </w:sectPr>
      </w:pPr>
    </w:p>
    <w:bookmarkStart w:id="6" w:name="page7"/>
    <w:bookmarkEnd w:id="6"/>
    <w:p>
      <w:pPr>
        <w:ind w:left="3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data or unless otherwise noted)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159" w:lineRule="exact"/>
        <w:rPr>
          <w:sz w:val="20"/>
          <w:szCs w:val="20"/>
          <w:color w:val="auto"/>
        </w:rPr>
      </w:pPr>
    </w:p>
    <w:p>
      <w:pPr>
        <w:ind w:left="240" w:right="928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OVERVIEW </w:t>
      </w:r>
      <w:r>
        <w:rPr>
          <w:rFonts w:ascii="Arial" w:cs="Arial" w:eastAsia="Arial" w:hAnsi="Arial"/>
          <w:sz w:val="16"/>
          <w:szCs w:val="16"/>
          <w:b w:val="1"/>
          <w:bCs w:val="1"/>
          <w:i w:val="1"/>
          <w:iCs w:val="1"/>
          <w:color w:val="auto"/>
        </w:rPr>
        <w:t>Organization</w:t>
      </w:r>
    </w:p>
    <w:p>
      <w:pPr>
        <w:spacing w:after="0" w:line="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Booz Allen Hamilton Holding Corporation, including its wholly owned subsidiaries, or the Company, provides management and technology consulting services primarily to the U.S. government and its agencies in the defense, intelligence, and civil markets. The Company offers clients functional knowledge spanning strategy and organization, analytics, technology, and engineering and operations, which it combines with specialized expertise in clients’ mission and domain areas to help solve critical problems. The Company, an affiliate of The Carlyle Group, or Carlyle, was incorporated in Delaware in May 2008 and is headquartered in McLean, Virginia, with approximately 26,000 employees as of December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prepared the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2011 filed with the Securities and Exchange Commission on June 8, 2011, or Annual Report. The Company’s fiscal year ends on March 31 and unless otherwise noted, references to fiscal year or fiscal are for fiscal years ended March 31.</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2011 are not necessarily indicative of results to be expected for the full fiscal year.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experienced by the Company may differ materially from management’s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Recent accounting pronouncements issued by the Financial Accounting Standards Board during the three months ended December 31, 2011 and through the filing date did not or are not believed by management to have a material impact on the Company’s present or historical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is computed similar to basic EPS, except the weighted average number of shares outstanding is increased to include the dilutive effect of outstanding common stock options and other stock-based awards.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Basic and diluted EPS for the periods presented are computed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for basic and diluted computations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Class A Common Stock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127,108,438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113,723,503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125,319,720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106,180,869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B Non-Voting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2,711,157</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3,053,130</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2,857,308</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2,910,836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20"/>
                <w:szCs w:val="20"/>
                <w:color w:val="auto"/>
              </w:rPr>
            </w:pPr>
            <w:r>
              <w:rPr>
                <w:rFonts w:ascii="Arial" w:cs="Arial" w:eastAsia="Arial" w:hAnsi="Arial"/>
                <w:sz w:val="18"/>
                <w:szCs w:val="18"/>
                <w:color w:val="auto"/>
              </w:rPr>
              <w:t>Weighted-average Class C Restricted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1,660,262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2,028,270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1,796,304</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weighted-average common shares outstanding</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 basic computations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131,479,857</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118,804,903</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129,973,332</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111,119,975</w:t>
            </w:r>
          </w:p>
        </w:tc>
        <w:tc>
          <w:tcPr>
            <w:tcW w:w="0" w:type="dxa"/>
            <w:vAlign w:val="bottom"/>
          </w:tcPr>
          <w:p>
            <w:pPr>
              <w:spacing w:after="0"/>
              <w:rPr>
                <w:sz w:val="1"/>
                <w:szCs w:val="1"/>
                <w:color w:val="auto"/>
              </w:rPr>
            </w:pPr>
          </w:p>
        </w:tc>
      </w:tr>
      <w:tr>
        <w:trPr>
          <w:trHeight w:val="223"/>
        </w:trPr>
        <w:tc>
          <w:tcPr>
            <w:tcW w:w="4660" w:type="dxa"/>
            <w:vAlign w:val="bottom"/>
          </w:tcPr>
          <w:p>
            <w:pPr>
              <w:ind w:left="440"/>
              <w:spacing w:after="0"/>
              <w:rPr>
                <w:sz w:val="20"/>
                <w:szCs w:val="20"/>
                <w:color w:val="auto"/>
              </w:rPr>
            </w:pPr>
            <w:r>
              <w:rPr>
                <w:rFonts w:ascii="Arial" w:cs="Arial" w:eastAsia="Arial" w:hAnsi="Arial"/>
                <w:sz w:val="18"/>
                <w:szCs w:val="18"/>
                <w:color w:val="auto"/>
              </w:rPr>
              <w:t>Dilutive stock options and restricted stock</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10,319,868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12,410,628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11,023,279</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13,007,204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common shares outstanding for</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 computations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141,799,725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131,215,531</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140,996,611</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124,127,179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EPS calculation for the three and nine months ended December 31, 2011 and 2010, 2,410,000 options and 310,000 options, respectively, were not included in the EPS calculation as their impact was anti-dilutive.</w:t>
      </w:r>
    </w:p>
    <w:p>
      <w:pPr>
        <w:spacing w:after="0" w:line="207" w:lineRule="exact"/>
        <w:rPr>
          <w:sz w:val="20"/>
          <w:szCs w:val="20"/>
          <w:color w:val="auto"/>
        </w:rPr>
      </w:pPr>
    </w:p>
    <w:p>
      <w:pPr>
        <w:ind w:left="240" w:right="79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December 31, 2011 and March 31, 2011, goodwill was $1,188.1 million and $1,163.5 million, respectively. The increase in the carrying amount of goodwill is primarily attributable to the increase in the deferred payment obligation as a result of the release of approximately $35.3 million of reserves for uncertain tax positions, partially offset by a $10.7 million reduction to goodwill related to the sale of the Company’s state and local transportation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14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As of December 31, 2011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As of March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3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580" w:type="dxa"/>
            <w:vAlign w:val="bottom"/>
            <w:tcBorders>
              <w:top w:val="single" w:sz="8" w:color="CCEEFF"/>
            </w:tcBorders>
            <w:shd w:val="clear" w:color="auto" w:fill="CCEEFF"/>
          </w:tcPr>
          <w:p>
            <w:pPr>
              <w:jc w:val="center"/>
              <w:ind w:right="3412"/>
              <w:spacing w:after="0" w:line="196" w:lineRule="exact"/>
              <w:rPr>
                <w:sz w:val="20"/>
                <w:szCs w:val="20"/>
                <w:color w:val="auto"/>
              </w:rPr>
            </w:pPr>
            <w:r>
              <w:rPr>
                <w:rFonts w:ascii="Arial" w:cs="Arial" w:eastAsia="Arial" w:hAnsi="Arial"/>
                <w:sz w:val="18"/>
                <w:szCs w:val="18"/>
                <w:color w:val="auto"/>
                <w:w w:val="88"/>
              </w:rPr>
              <w:t>Amortizable intangible assets</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jc w:val="center"/>
              <w:ind w:right="3412"/>
              <w:spacing w:after="0"/>
              <w:rPr>
                <w:sz w:val="20"/>
                <w:szCs w:val="20"/>
                <w:color w:val="auto"/>
              </w:rPr>
            </w:pPr>
            <w:r>
              <w:rPr>
                <w:rFonts w:ascii="Arial" w:cs="Arial" w:eastAsia="Arial" w:hAnsi="Arial"/>
                <w:sz w:val="18"/>
                <w:szCs w:val="18"/>
                <w:color w:val="auto"/>
                <w:w w:val="88"/>
              </w:rPr>
              <w:t>Contract backlog</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$160,615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123,245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$160,800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111,330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49,470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Favorable leases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r>
      <w:tr>
        <w:trPr>
          <w:trHeight w:val="221"/>
        </w:trPr>
        <w:tc>
          <w:tcPr>
            <w:tcW w:w="5580" w:type="dxa"/>
            <w:vAlign w:val="bottom"/>
          </w:tcPr>
          <w:p>
            <w:pPr>
              <w:jc w:val="center"/>
              <w:ind w:right="3372"/>
              <w:spacing w:after="0"/>
              <w:rPr>
                <w:sz w:val="20"/>
                <w:szCs w:val="20"/>
                <w:color w:val="auto"/>
              </w:rPr>
            </w:pPr>
            <w:r>
              <w:rPr>
                <w:rFonts w:ascii="Arial" w:cs="Arial" w:eastAsia="Arial" w:hAnsi="Arial"/>
                <w:sz w:val="18"/>
                <w:szCs w:val="18"/>
                <w:color w:val="auto"/>
                <w:w w:val="89"/>
              </w:rPr>
              <w:t>Total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163,415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125,690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163,600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113,562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19"/>
                <w:szCs w:val="19"/>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Trade name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190,200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190,200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190,200</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jc w:val="center"/>
              <w:ind w:right="3372"/>
              <w:spacing w:after="0"/>
              <w:rPr>
                <w:sz w:val="20"/>
                <w:szCs w:val="20"/>
                <w:color w:val="auto"/>
              </w:rPr>
            </w:pPr>
            <w:r>
              <w:rPr>
                <w:rFonts w:ascii="Arial" w:cs="Arial" w:eastAsia="Arial" w:hAnsi="Arial"/>
                <w:sz w:val="18"/>
                <w:szCs w:val="18"/>
                <w:color w:val="auto"/>
                <w:w w:val="89"/>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353,615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125,690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113,562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240,238</w:t>
            </w:r>
          </w:p>
        </w:tc>
        <w:tc>
          <w:tcPr>
            <w:tcW w:w="1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140"/>
        <w:spacing w:after="0" w:line="332" w:lineRule="auto"/>
        <w:rPr>
          <w:sz w:val="20"/>
          <w:szCs w:val="20"/>
          <w:color w:val="auto"/>
        </w:rPr>
      </w:pPr>
      <w:r>
        <w:rPr>
          <w:rFonts w:ascii="Arial" w:cs="Arial" w:eastAsia="Arial" w:hAnsi="Arial"/>
          <w:sz w:val="16"/>
          <w:szCs w:val="16"/>
          <w:color w:val="auto"/>
        </w:rPr>
        <w:t>Amortization expense for the three months ended December 31, 2011 and 2010 was $4.1 million and $7.2 million, respectively, and $12.3 million and $21.5 million for the nine months ended December 31, 2011 and 2010,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1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Accounts receivable–billed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481,441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466,688</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receivable–unbilled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645,664</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r>
      <w:tr>
        <w:trPr>
          <w:trHeight w:val="216"/>
        </w:trPr>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1,065,056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1,111,004</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 receivables related to retainage and holdbacks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120" w:type="dxa"/>
            <w:vAlign w:val="bottom"/>
            <w:shd w:val="clear" w:color="auto" w:fill="CCEEFF"/>
          </w:tcPr>
          <w:p>
            <w:pPr>
              <w:spacing w:after="0"/>
              <w:rPr>
                <w:sz w:val="18"/>
                <w:szCs w:val="18"/>
                <w:color w:val="auto"/>
              </w:rPr>
            </w:pPr>
          </w:p>
        </w:tc>
      </w:tr>
      <w:tr>
        <w:trPr>
          <w:trHeight w:val="222"/>
        </w:trPr>
        <w:tc>
          <w:tcPr>
            <w:tcW w:w="6460" w:type="dxa"/>
            <w:vAlign w:val="bottom"/>
          </w:tcPr>
          <w:p>
            <w:pPr>
              <w:ind w:left="860"/>
              <w:spacing w:after="0"/>
              <w:rPr>
                <w:sz w:val="20"/>
                <w:szCs w:val="20"/>
                <w:color w:val="auto"/>
              </w:rPr>
            </w:pPr>
            <w:r>
              <w:rPr>
                <w:rFonts w:ascii="Arial" w:cs="Arial" w:eastAsia="Arial" w:hAnsi="Arial"/>
                <w:sz w:val="18"/>
                <w:szCs w:val="18"/>
                <w:color w:val="auto"/>
              </w:rPr>
              <w:t>Total accounts receivable, net</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1,086,237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1,128,079</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recognized a provision for doubtful accounts of $1.2 million and $606,000 for the three months ended December 31, 2011 and 2010, respectively, and $4.1 million and $5.9 million for the nine months ended December 31, 2011 and 2010, respectively. Long-term unbilled receivables related to retainage, holdbacks, and long-term rate settlements to be billed at contract closeout are included in other long-term assets in the accompanying condensed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20" w:type="dxa"/>
            <w:vAlign w:val="bottom"/>
            <w:gridSpan w:val="3"/>
          </w:tcPr>
          <w:p>
            <w:pPr>
              <w:ind w:left="162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Bonus</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58,783</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Retirement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170,416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Vacation</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133,643</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36,060</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33,024</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compensation and benefits</w:t>
            </w: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392,905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396,996</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PAYMENT OBLIGATION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merger transaction as described in the Company’s Annual Report, or the acquisition, the Company established a deferred payment obligation, or DPO, of $158.0 million, payable 8.5 years after July 31, 2008, less any settled claims. Of the $158.0 million, $78.0 million was required to be paid in full to the selling shareholders and $80.0 million is available to indemnify the Company for certain pre-acquisition tax contingencies, related interest and penalties, and other matters pursuant to the Agreement and Plan of Merger dated as of May 15, 2008, as amended as of July 30, 2008. On December 11, 2009, in connection with the recapitalization transaction as described in the Company’s Annual Report, $100.4 million was paid to selling shareholders, of which $78.0 million was the repayment of that portion of the DPO described above, with $22.4 million representing accrued interest. Any amounts remaining after the settlement of claims will be paid out to selling shareholders.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2011 and March 31, 2011, the Company has recorded $55.2 million and $90.5 million, respectively, for pre-acquisition uncertain tax positions, of which approximately $17.4 million and $52.7 million, respectively, may be indemnified under the remaining available DPO. During the nine months ended December 31, 2011, the Company favorably settled approximately $35.3 million of its pre-acquisition uncertain tax positions, thereby reducing the estimated amount to be indemnified under the remaining available DPO and increasing the DPO amount to be paid to the selling shareholders. Accordingly, the $80.4 million and $38.2 million DPO balances recorded as of December 31, 2011 and March 31, 2011, respectively, within other long-term liabilities in the accompanying condensed consolidated balance sheets, represent the residual balance estimated to be paid to the selling shareholders based on consideration of contingent tax claims, accrued interest, and other matters.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28" w:right="27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reconciliation of the principal balance of the DPO to the amount recorded in the condensed consolidated balance sheets for the periods presented are as follows: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payment obligation</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Indemnified pre-acquisition uncertain tax positions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(17,417)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(52,721)</w:t>
            </w: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20" w:type="dxa"/>
            <w:vAlign w:val="bottom"/>
            <w:shd w:val="clear" w:color="auto" w:fill="CCEEFF"/>
          </w:tcPr>
          <w:p>
            <w:pPr>
              <w:spacing w:after="0"/>
              <w:rPr>
                <w:sz w:val="18"/>
                <w:szCs w:val="18"/>
                <w:color w:val="auto"/>
              </w:rPr>
            </w:pPr>
          </w:p>
        </w:tc>
      </w:tr>
      <w:tr>
        <w:trPr>
          <w:trHeight w:val="222"/>
        </w:trPr>
        <w:tc>
          <w:tcPr>
            <w:tcW w:w="6480" w:type="dxa"/>
            <w:vAlign w:val="bottom"/>
          </w:tcPr>
          <w:p>
            <w:pPr>
              <w:ind w:left="860"/>
              <w:spacing w:after="0"/>
              <w:rPr>
                <w:sz w:val="20"/>
                <w:szCs w:val="20"/>
                <w:color w:val="auto"/>
              </w:rPr>
            </w:pPr>
            <w:r>
              <w:rPr>
                <w:rFonts w:ascii="Arial" w:cs="Arial" w:eastAsia="Arial" w:hAnsi="Arial"/>
                <w:sz w:val="18"/>
                <w:szCs w:val="18"/>
                <w:color w:val="auto"/>
              </w:rPr>
              <w:t>Amount recorded in the condensed consolidated balance sheets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80,406</w:t>
            </w: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$ 38,183</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3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 2011</w:t>
            </w:r>
          </w:p>
        </w:tc>
        <w:tc>
          <w:tcPr>
            <w:tcW w:w="46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8"/>
              </w:rPr>
              <w:t>March 31, 2011</w:t>
            </w:r>
          </w:p>
        </w:tc>
      </w:tr>
      <w:tr>
        <w:trPr>
          <w:trHeight w:val="129"/>
        </w:trPr>
        <w:tc>
          <w:tcPr>
            <w:tcW w:w="620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Interest</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312"/>
              <w:spacing w:after="0" w:line="129" w:lineRule="exact"/>
              <w:rPr>
                <w:sz w:val="20"/>
                <w:szCs w:val="20"/>
                <w:color w:val="auto"/>
              </w:rPr>
            </w:pPr>
            <w:r>
              <w:rPr>
                <w:rFonts w:ascii="Arial" w:cs="Arial" w:eastAsia="Arial" w:hAnsi="Arial"/>
                <w:sz w:val="14"/>
                <w:szCs w:val="14"/>
                <w:b w:val="1"/>
                <w:bCs w:val="1"/>
                <w:color w:val="auto"/>
                <w:w w:val="86"/>
              </w:rPr>
              <w:t>Interest</w:t>
            </w: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1"/>
                <w:szCs w:val="11"/>
                <w:color w:val="auto"/>
              </w:rPr>
            </w:pPr>
          </w:p>
        </w:tc>
      </w:tr>
      <w:tr>
        <w:trPr>
          <w:trHeight w:val="161"/>
        </w:trPr>
        <w:tc>
          <w:tcPr>
            <w:tcW w:w="6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jc w:val="center"/>
              <w:ind w:right="4892"/>
              <w:spacing w:after="0" w:line="202" w:lineRule="exact"/>
              <w:rPr>
                <w:sz w:val="20"/>
                <w:szCs w:val="20"/>
                <w:color w:val="auto"/>
              </w:rPr>
            </w:pPr>
            <w:r>
              <w:rPr>
                <w:rFonts w:ascii="Arial" w:cs="Arial" w:eastAsia="Arial" w:hAnsi="Arial"/>
                <w:sz w:val="18"/>
                <w:szCs w:val="18"/>
                <w:color w:val="auto"/>
                <w:w w:val="88"/>
              </w:rPr>
              <w:t>Tranche A Loans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$ 478,952</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$ 497,185</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jc w:val="center"/>
              <w:ind w:right="4892"/>
              <w:spacing w:after="0"/>
              <w:rPr>
                <w:sz w:val="20"/>
                <w:szCs w:val="20"/>
                <w:color w:val="auto"/>
              </w:rPr>
            </w:pPr>
            <w:r>
              <w:rPr>
                <w:rFonts w:ascii="Arial" w:cs="Arial" w:eastAsia="Arial" w:hAnsi="Arial"/>
                <w:sz w:val="18"/>
                <w:szCs w:val="18"/>
                <w:color w:val="auto"/>
                <w:w w:val="88"/>
              </w:rPr>
              <w:t>Tranche B Loans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493,702</w:t>
            </w:r>
          </w:p>
        </w:tc>
        <w:tc>
          <w:tcPr>
            <w:tcW w:w="860" w:type="dxa"/>
            <w:vAlign w:val="bottom"/>
            <w:gridSpan w:val="2"/>
          </w:tcPr>
          <w:p>
            <w:pPr>
              <w:jc w:val="right"/>
              <w:ind w:right="172"/>
              <w:spacing w:after="0"/>
              <w:rPr>
                <w:sz w:val="20"/>
                <w:szCs w:val="20"/>
                <w:color w:val="auto"/>
              </w:rPr>
            </w:pPr>
            <w:r>
              <w:rPr>
                <w:rFonts w:ascii="Arial" w:cs="Arial" w:eastAsia="Arial" w:hAnsi="Arial"/>
                <w:sz w:val="18"/>
                <w:szCs w:val="18"/>
                <w:color w:val="auto"/>
              </w:rPr>
              <w:t>4.00%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497,143</w:t>
            </w:r>
          </w:p>
        </w:tc>
      </w:tr>
      <w:tr>
        <w:trPr>
          <w:trHeight w:val="27"/>
        </w:trPr>
        <w:tc>
          <w:tcPr>
            <w:tcW w:w="6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jc w:val="center"/>
              <w:ind w:right="4872"/>
              <w:spacing w:after="0"/>
              <w:rPr>
                <w:sz w:val="20"/>
                <w:szCs w:val="20"/>
                <w:color w:val="auto"/>
              </w:rPr>
            </w:pPr>
            <w:r>
              <w:rPr>
                <w:rFonts w:ascii="Arial" w:cs="Arial" w:eastAsia="Arial" w:hAnsi="Arial"/>
                <w:sz w:val="18"/>
                <w:szCs w:val="18"/>
                <w:color w:val="auto"/>
                <w:w w:val="89"/>
              </w:rPr>
              <w:t>Total</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972,654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994,328</w:t>
            </w:r>
          </w:p>
        </w:tc>
      </w:tr>
      <w:tr>
        <w:trPr>
          <w:trHeight w:val="323"/>
        </w:trPr>
        <w:tc>
          <w:tcPr>
            <w:tcW w:w="6200" w:type="dxa"/>
            <w:vAlign w:val="bottom"/>
          </w:tcPr>
          <w:p>
            <w:pPr>
              <w:ind w:left="880"/>
              <w:spacing w:after="0"/>
              <w:rPr>
                <w:sz w:val="20"/>
                <w:szCs w:val="20"/>
                <w:color w:val="auto"/>
              </w:rPr>
            </w:pPr>
            <w:r>
              <w:rPr>
                <w:rFonts w:ascii="Arial" w:cs="Arial" w:eastAsia="Arial" w:hAnsi="Arial"/>
                <w:sz w:val="18"/>
                <w:szCs w:val="18"/>
                <w:color w:val="auto"/>
              </w:rPr>
              <w:t>Less: Current portion of long-term debt</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(39,375)</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(30,000)</w:t>
            </w:r>
          </w:p>
        </w:tc>
      </w:tr>
      <w:tr>
        <w:trPr>
          <w:trHeight w:val="28"/>
        </w:trPr>
        <w:tc>
          <w:tcPr>
            <w:tcW w:w="6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Long-term debt, net of current portion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$ 933,279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$ 964,328</w:t>
            </w: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maintains a senior secured credit agreement, as amended, with a syndicate of lenders. The senior secured credit agreement, as amended, provides for $1.0 billion in term loans ($500.0 million of Tranche A Loans and $500.0 million of Tranche B Loans) and a $275.0 million revolving credit facility. The loans under the senior secured credit agreement, as amended, are secured by substantially all of the Company’s assets.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The revolving credit facility matures on July 31, 2014, at which time any outstanding principal balance is due in full. As of December 31, 2011 and March 31, 2011, there were no amounts outstanding on the revolving credit facility.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$4.8 million and $5.7 million as of December 31, 2011 and March 31, 2011, respectively.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senior secured credit agreement, as amended, requires the maintenance of certain financial and non-financial covenants. As of December 31, 2011 and March 31, 2011, the Company was in compliance with all of its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effective income tax rate was 27.2% and (7.7%) for the three months ended December 31, 2011 and 2010, respectively, and 26.4% and 30.8% for the nine months ended December 31, 2011 and 2010, respectively. The increase in the effective tax rate for the three months ended December 31, 2011 as compared to the same prior year period is primarily due to higher pretax income. The decrease in the effective tax rate for the nine months ended December 31, 2011 as compared to the same prior year period is primarily due to an increase in the amount of uncertain tax position reserves released during the nine months ended December 31, 2011 as compared to the same prior year period. This decrease in the effective tax rate was partially offset by higher pretax income. The three and nine month effective tax rates of 27.2% and 26.4%, respectively, differ from the statutory rate of 35.0% due to the release of uncertain tax positions, state taxes and the effect of other permanent rate differences, which primarily relate to meals and entertainment.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federal income statute for the tax year ended March 31, 2008 lapsed on December 15, 2011. As a result, management has concluded that, certain tax uncertainties are considered effectively settled. The Company released $11.1 million of federal income tax reserves and related interest and penalties during the three months ended December 31, 2011.</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also subject to taxes imposed by various taxing authorities including state and foreign jurisdictions. Tax years related to state and foreign jurisdictions that remain open and subject to examination are not considered to be material, or will be indemnified under the merger agreement as described in the Company’s Annual Report. Additionally, due to statute of limitations expirations and potential audit settlements, it is reasonably possible that a portion of the reserves recorded on previously recognized tax benefits may be effectively settled by March 31,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September 30, 2011, the Company utilized $14.9 million of its capital loss carryforward from the disposition of the state and local transportation business. In prior periods, the Company provided a full valuation allowance against the deferred tax assets associated with the capital loss carryforward. As a result, the Company recognized an income tax benefit of $5.9 million during the quarter ended September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December 31, 2011 and 2010 was $58.2 million and $54.0 million, respectively, and $172.9 million and $167.6 million for the nine months ended December 31, 2011 and 2010, respectively. The Company-paid contributions for the three months ended December 31, 2011 and 2010 were $26.2 million and $22.5 million, respectively, and $96.2 million and $84.7 million for the nine months ended December 31, 2011 and 2010,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maintains and administers a defined benefit retirement plan and a postretirement medical plan for current, retired, and resigned officers.</w:t>
      </w:r>
    </w:p>
    <w:p>
      <w:pPr>
        <w:spacing w:after="0" w:line="19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Total expense for the Company’s Retired Officers’ Bonus Plan was $217,000 and $216,000 for the three months ended December 31, 2011 and 2010, respectively, and $651,000 and $648,000 for the nine months ended December 31, 2011 and 2010, respectively. The Retired Officers’ Bonus Plan is an unfunded plan and contributions are made as benefits are paid. As of December 31, 2011 and March 31, 2011, the accumulated liability of $4.7 million and $5.2 million, respectively, included in other long-term liabilities in the accompanying condensed consolidated balance sheets is unfunded.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$2,934</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r>
      <w:tr>
        <w:trPr>
          <w:trHeight w:val="27"/>
        </w:trPr>
        <w:tc>
          <w:tcPr>
            <w:tcW w:w="5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postretirement medical expense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2011 and March 31, 2011, the unfunded status of the Officer Medical Plan was $56.8 million and $52.8 million, respectively, which is included in other long-term liabilities in the accompanying condensed consolidated balance sheets.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34" w:right="259" w:bottom="1440" w:gutter="0" w:footer="0" w:header="0"/>
        </w:sectPr>
      </w:pPr>
    </w:p>
    <w:bookmarkStart w:id="11" w:name="page12"/>
    <w:bookmarkEnd w:id="11"/>
    <w:p>
      <w:pPr>
        <w:ind w:left="240" w:right="8900" w:hanging="232"/>
        <w:spacing w:after="0" w:line="347" w:lineRule="auto"/>
        <w:tabs>
          <w:tab w:leader="none" w:pos="26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Class B</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Class C</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Class 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Class A</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Non-Voting</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Special Voting</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Treasury</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Common 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Common 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Common Stock</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Common Stock</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102,922,900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2,350,200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2,028,270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13,345,880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Issuance of common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16,189,830</w:t>
            </w:r>
          </w:p>
        </w:tc>
        <w:tc>
          <w:tcPr>
            <w:tcW w:w="2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702,930</w:t>
            </w:r>
          </w:p>
        </w:tc>
        <w:tc>
          <w:tcPr>
            <w:tcW w:w="3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4,375,035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(1,699,950)</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Share exchange</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(702,930)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702,930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122,784,835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3,053,130</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2,028,270</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12,348,860</w:t>
            </w: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Issuance of common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959,256</w:t>
            </w:r>
          </w:p>
        </w:tc>
        <w:tc>
          <w:tcPr>
            <w:tcW w:w="2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3,781,769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(2,208,793)</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Share exchange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923,090</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(427,840)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(495,250)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 (1)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(333,775)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333,775</w:t>
            </w:r>
          </w:p>
        </w:tc>
        <w:tc>
          <w:tcPr>
            <w:tcW w:w="100" w:type="dxa"/>
            <w:vAlign w:val="bottom"/>
            <w:shd w:val="clear" w:color="auto" w:fill="CCEEFF"/>
          </w:tcPr>
          <w:p>
            <w:pPr>
              <w:spacing w:after="0"/>
              <w:rPr>
                <w:sz w:val="18"/>
                <w:szCs w:val="18"/>
                <w:color w:val="auto"/>
              </w:rPr>
            </w:pPr>
          </w:p>
        </w:tc>
      </w:tr>
      <w:tr>
        <w:trPr>
          <w:trHeight w:val="222"/>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128,115,175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2,625,290</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1,533,020</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10,140,067</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2"/>
              </w:rPr>
              <w:t>333,775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shares repurchased during the three months ended September 30, 2011 associated with the share surrender program that was limited to Rollover options that were required to be exercised between June 30, 2011 and September 15, 2011.</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third quarterly offering period that closed on December 31, 2011, 129,827 Class A Common Stock shares were purchased by employees under the ESPP.</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December 31, 2011 no shares have been repurchased under the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4,273</w:t>
            </w:r>
          </w:p>
        </w:tc>
        <w:tc>
          <w:tcPr>
            <w:tcW w:w="580" w:type="dxa"/>
            <w:vAlign w:val="bottom"/>
          </w:tcPr>
          <w:p>
            <w:pPr>
              <w:jc w:val="right"/>
              <w:spacing w:after="0"/>
              <w:rPr>
                <w:sz w:val="20"/>
                <w:szCs w:val="20"/>
                <w:color w:val="auto"/>
              </w:rPr>
            </w:pPr>
            <w:r>
              <w:rPr>
                <w:rFonts w:ascii="Arial" w:cs="Arial" w:eastAsia="Arial" w:hAnsi="Arial"/>
                <w:sz w:val="18"/>
                <w:szCs w:val="18"/>
                <w:color w:val="auto"/>
              </w:rPr>
              <w:t>8,461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27,872</w:t>
            </w:r>
          </w:p>
        </w:tc>
        <w:tc>
          <w:tcPr>
            <w:tcW w:w="100" w:type="dxa"/>
            <w:vAlign w:val="bottom"/>
          </w:tcPr>
          <w:p>
            <w:pPr>
              <w:spacing w:after="0"/>
              <w:rPr>
                <w:sz w:val="18"/>
                <w:szCs w:val="18"/>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39,203</w:t>
            </w:r>
          </w:p>
        </w:tc>
        <w:tc>
          <w:tcPr>
            <w:tcW w:w="10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 of December 31, 2011, there was $36.2 million of total unrecognized compensation cost related to unvested stock-based compensation agreements. The unrecognized compensation cost as of December 31, 2011 is expected to be amortized over the next 4.5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December 31, 2011, 0 and 766,890 shares of Class C Restricted Common Stock vested, respectively. Total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recorded in conjunction with all Class C Restricted Stock for the three months ended December 31, 2011 and 2010 was $144,000 and</w:t>
      </w:r>
    </w:p>
    <w:p>
      <w:pPr>
        <w:spacing w:after="0" w:line="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$924,000, respectively, and $884,000 and $3.1 million for the nine months ended December 31, 2011 and 2010, respectively. Future compensation cost related to non-vested Class C Restricted Stock not yet recognized in the condensed consolidated statements of operations was $543,000, and is expected to be recognized over 1.5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Rollover Options. As of December 31, 2011, there were 9,437,102 Rollover Options outstanding, of which 3,758,750 options were unvested. As Rollover Options granted to retirement eligible Officers were fully vested as of December 31, 2011, the remaining 3,758,750 options unvested as of December 31, 2011 represent only non-retirement eligible options. Total compensation expense recorded in conjunction with all Rollover Options for the three months ended December 31, 2011 and 2010 was $1.7 million and $6.8 million, respectively, and $8.8 million and $21.5 million for the nine months ended December 31, 2011 and 2010, respectively. Future compensation cost related to non-vested Rollover Options not yet recognized in the condensed consolidated statements of operations was $5.9 million, and is expected to be recognized over 1.5 years.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On November 8, 2011, 190,000 options were granted under the Equity Incentive Plan, or EIP. The estimated fair value of the common stock on November 8, 2011, at the time of the option grant, was $16.30.</w:t>
      </w:r>
    </w:p>
    <w:p>
      <w:pPr>
        <w:spacing w:after="0" w:line="13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As of December 31, 2011, there were 11,830,244 EIP options outstanding, of which 8,274,520 were unvested. Total compensation expense recorded in conjunction with EIP options for the three months ended December 31, 2011 and 2010 was $2.8 million and $4.2 million, respectively, and $10.8 million and $14.4 million for the nine months ended December 31, 2011 and 2010, respectively. Future compensation cost related to non-vested EIP options not yet recognized in the condensed consolidated statements of operations was $23.5 million, and is expected to be recognized over 4.5 years.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1, 2011, the Compensation Committee of the Board of Directors granted 20,231 shares of Class A Restricted Stock to certain Board members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their continued service to the Company. These shares vest in equal installments on September 30, 2011 and March 31, 2012, and were issued with an aggregate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grant date fair value of $370,000. On November 9, 2011, the Compensation Committee of the Board of Directors granted 1,242 shares of Class A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to a new Board member for his service to the Company. These shares shall vest on March 31, 2012, and were issued with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 Total compensation expense recorded in conjunction with these grants for the three and nine months ended December 31, 2011 was $51,000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$328,000, respectively. Future compensation cost related to this award not yet recognized in the condensed consolidated statements of operations was $59,000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expected to be recognized over the next three months. There were no additional shares authorized to be issued under the April 2011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grant.</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1, 2011, the Compensation Committee of the Board of Directors granted 514,869 shares of Class A Restricted Stock in conjunction with the new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$9.8 million based on the stock price of $19.08 on the grant date. Total compensation expense recorded in conjunction with this grant for the three months ended December 31, 2011 was $1.3 million. Future compensation cost related to this award not yet recognized in the condensed consolidated statements of operations was $6.2 million and is expected to be recognized over the next 2.5 years.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2009 Dividend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2011 and March 31, 2011, the Company recorded a stock-based compensation liability of $26.6 million and $31.4 million, respectively, in other long-term liabilities, related to the reduction in stock option exercise price associated with a dividend paid in December 2009. The Company also recorded $8.9 million and $9.0 million as of December 31, 2011 and March 31, 2011, respectively, of a stock-based compensation liability in accrued compensation and benefits, which represents the amounts of the reduction in stock option exercise price expected to be paid within one year. Options vested and not yet exercised that would have had an exercise price below zero as a result of the dividend were reduced to one cent, with the remaining reduction to be paid in cash upon exercise of the options. Refer to the Company’s Annual Report for further discussion of the dividend paid in December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fair value of the Company’s cash and cash equivalents as of December 31, 2011 and March 31, 2011 approximated its carrying value of $405.0 million and $192.6 million, respectively, because of the short-term nature of these accounts. The fair value of the Company’s debt instruments as of December 31, 2011 and March 31, 2011 approximated its carrying value of $972.7 million and $994.3 million, respectively. The fair value of debt is determined based on interest rates available for debt with terms and maturities similar to the Company’s existing debt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December 31, 2011 were $376,000 and $341,000, respectively, and $1.3 million and $1.2 million for the nine months ended December 31, 2011, respectively. Revenue and cost associated with these related parties for the three months ended December 31, 2010 were $667,000 and $543,000, respectively, and $5.7 million and $4.9 million for the nine months ended December 31, 2010, respectively.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 w:name="page14"/>
    <w:bookmarkEnd w:id="13"/>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December 31, 2011 and 2010, the Company incurred $250,000 in advisory fees. For the nine months ended December 31, 2011 and 2010, the Company incurred $750,000 in advisory fees.</w:t>
      </w:r>
    </w:p>
    <w:p>
      <w:pPr>
        <w:spacing w:after="0" w:line="188" w:lineRule="exact"/>
        <w:rPr>
          <w:sz w:val="20"/>
          <w:szCs w:val="20"/>
          <w:color w:val="auto"/>
        </w:rPr>
      </w:pPr>
    </w:p>
    <w:p>
      <w:pPr>
        <w:ind w:left="240" w:right="7780" w:hanging="232"/>
        <w:spacing w:after="0" w:line="347" w:lineRule="auto"/>
        <w:tabs>
          <w:tab w:leader="none" w:pos="2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Cleveland and Dallas leases, which expired, the Company remains liable under the terms of the original leases should Booz &amp; Co. default on its obligations. There were no events of default under theses leases as of December 31, 2011 and March 31, 2011. The maximum potential amount of undiscounted future payments is $38.6 million, and the leases expire at different dates between February 2012 and March 2017. Based on the Company’s assessment of the likelihood of future payment, no amounts have been recorded related to the Company’s contingent liability on such leases.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three and nine months ended December 31, 2011 and 2010, approximately 98% of the Company’s revenue was generated from contracts with 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 or other U.S. government contractors. Contracts with the U.S. government are subject to extensive legal and regulatory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and in the ordinary course of business, agencies of the U.S. government investigate whether the Company’s operations are conducted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these requirements and the terms of the relevant contracts by using investigative techniques as subpoenas or civil investigative demands.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investigations of the Company, whether related to the Company’s U.S. government contracts or conducted for other reasons, could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civil, or criminal liabilities, including repayments, fines, or penalties being imposed upon the Company, or could lead to suspension or debarment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future U.S. government contracting. Management believes it has adequately reserved for any losses that may be experienced from any investigation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 is aware. The Defense Contract Management Agency Administrative Contracting Officer has negotiated annual final indirect cost rates through fiscal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2006. Audits of subsequent years may result in cost reductions and/or penalties. Management believes it has adequately reserved for any losses that may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experienced from any such reductions and/or penalties. As of December 31, 2011 and March 31, 2011, the Company has recorded a liability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$112.4 million and $100.2 million, respectively, for its current best estimate of net amounts to be refunded to customers for potential adjustments from such audits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or reviews of contract costs incurred subsequent to fiscal year 2006.</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the Company’s Annual Report,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December 31, 2011 and March 31, 2011,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 SUBSEQUENT EVENTS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fourth quarter of fiscal 2012, the Company finalized a cost restructuring plan to reduce certain personnel and infrastructure costs. This plan was implemented in response to continued budget constraints and uncertainty in the industry and to provide funds to increase resources dedicated to growth areas across the Company’s markets. As part of this cost restructuring plan, the Company reduced our overall headcount by approximately 2%, with a higher percentage of reductions in the senior ranks. The Company anticipates incurring an associated restructuring charge of approximately $10 to $14 million pretax in the three months ended March 31, 2012 relating to the one-time termination benefits. The entire amount of such charge will result in future cash expenditures. In addition, the Company anticipates recording a reduction to stock compensation expense of approximately $2 million associated with forfeitures of unvested EIP options. The Company is in the process of evaluating whether some portion of the costs is recoverable under our cost-reimbursable contracts, which may result in additional revenue to be recognized in the fourth quarter of fiscal 2012. No amounts related to this cost restructuring have been accrued in the accompanying financial statements as of and for the three and nine month periods ended December 31, 2011.</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February 1, 2012, the Company’s Board of Directors authorized and declared a cash dividend in the amount of $0.09 per share. The dividend is payable in cash on February 29, 2012 to stockholders of record at the close of business on February 13, 2012.</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February 1, 2012, the Company’s Board of Directors authorized the payment of the accrued interest on the DPO as of February 29, 2012 for approximately $19.4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 You should read this discussion in conjunction with our condensed consolidated financial statements and the related notes contained elsewhere in this Quarterly Report on Form 10-Q, or Quarterly Report.</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2011 filed with the Securities and Exchange Commission on June 8, 2011,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16" w:lineRule="exact"/>
        <w:rPr>
          <w:sz w:val="20"/>
          <w:szCs w:val="20"/>
          <w:color w:val="auto"/>
        </w:rPr>
      </w:pPr>
    </w:p>
    <w:p>
      <w:pPr>
        <w:ind w:right="2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 fiscal year ends March 31 and, unless otherwise noted, references to years or fiscal are for fiscal years ended March 31. See</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As the needs of our clients have grown more complex, we have developed deep expertise in technology, engineering, and analytics. Leveraging our 98-year consulting heritage and a talent base of approximately 26,000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Revenue grew 3.9% from the three months ended December 31, 2010 to the three months ended December 31, 2011, and grew 5.4% from the nine months ended December 31, 2010 to the nine months ended December 31, 2011. Revenue generated by our direct consulting staff labor grew 5.0% from the three months ended December 31, 2010 to the three months ended December 31, 2011, and grew 5.3% from the nine months ended December 31, 2010 to the nine months ended December 31, 2011. Direct consulting staff labor represents our consulting staff’s labor under contracts for which we act as a prime contractor or subcontractor. Total backlog grew 11.0% to $12.2 billion from December 31, 2010 to December 31, 2011. Substantially all of our revenue and backlog is derived from services and solutions provided to client organizations across the U.S. government, primarily by our consulting staff and, to a lesser extent, our subcontractors. The mix of revenue generated by consulting staff and subcontractors affects our operating margin, substantially all of which is derived from direct consulting staff labor, as the portion of our revenue derived from fees we earn on services provided by our subcontractors is not significant. We experienced revenue growth during the three and nine month periods ended December 31, 2011 with the highest revenue growth in areas relating to health and finance consulting services for civil government agencies and classified services to the U.S. Intelligence community.</w:t>
      </w:r>
    </w:p>
    <w:p>
      <w:pPr>
        <w:spacing w:after="0" w:line="1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Operating income grew 30.7% to $98.2 million in the three months ended December 31, 2011 from $75.1 million in the three months ended December 31, 2010, which reflects a 140 basis point increase in operating margin to 6.8% from 5.4% in the comparable periods. Operating income increased 23.0% to $290.0 million in the nine months ended December 31, 2011 from $235.8 million in the nine months ended December 31, 2010, which reflects a 96 basis point increase in operating margin to 6.7% from 5.8% in the comparable periods. The improvement in operating margin was driven by the continued growth in revenue and increased profitability resulting from decreases in incentive and stock-based compensation costs and lower amortization of our intangible assets. The factors contributing to the increased operating margin were partially offset by increases in business development costs including marketing and bid and proposal activity as well as additional administrative costs associated with delays in deploying certain direct consulting staff labor against funded backlog.</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Cash provided by operations was $252.0 million in the nine months ended December 31, 2011 compared to $189.3 million in net income in the nine months ended December 31, 2010. The increase in cash provided by operations was a result of overall profitability of our contracts, our ability to invoice and collect from clients in a timely manner, and our effective management of vendor payments. Our tax payments increased by approximately $63.8 million in the nine months ended December 31, 2011 principally due to limitations on the utilization of our net operating loss, or NOL, carryforward. The net operating loss is expected to be fully utilized in fiscal 2012 and as a result, we expect cash taxes to be paid during fiscal 2013 to increase over the amount paid in fiscal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refinancing of our credit facilities in February 2011 which resulted in a reduction in our outstanding debt at lower interest rates, as described in our Annual Report, we realized a reduction in interest expense in the three and nine months ended December 31, 2011 of $22.5 million and $77.2 million, as compared to the same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generated from operating activities as a measure of liquidity, as defined under GAAP. We have defined the aforementioned non-GAAP measures as follows:</w:t>
      </w:r>
    </w:p>
    <w:p>
      <w:pPr>
        <w:spacing w:after="0" w:line="4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w:t>
      </w:r>
    </w:p>
    <w:p>
      <w:pPr>
        <w:spacing w:after="0" w:line="38" w:lineRule="exact"/>
        <w:rPr>
          <w:rFonts w:ascii="Arial" w:cs="Arial" w:eastAsia="Arial" w:hAnsi="Arial"/>
          <w:sz w:val="16"/>
          <w:szCs w:val="16"/>
          <w:color w:val="auto"/>
        </w:rPr>
      </w:pPr>
    </w:p>
    <w:p>
      <w:pPr>
        <w:jc w:val="both"/>
        <w:ind w:left="900" w:right="300" w:hanging="1"/>
        <w:spacing w:after="0" w:line="302" w:lineRule="auto"/>
        <w:tabs>
          <w:tab w:leader="none" w:pos="1158" w:val="left"/>
        </w:tabs>
        <w:numPr>
          <w:ilvl w:val="1"/>
          <w:numId w:val="8"/>
        </w:numPr>
        <w:rPr>
          <w:rFonts w:ascii="Arial" w:cs="Arial" w:eastAsia="Arial" w:hAnsi="Arial"/>
          <w:sz w:val="16"/>
          <w:szCs w:val="16"/>
          <w:color w:val="auto"/>
        </w:rPr>
      </w:pPr>
      <w:r>
        <w:rPr>
          <w:rFonts w:ascii="Arial" w:cs="Arial" w:eastAsia="Arial" w:hAnsi="Arial"/>
          <w:sz w:val="16"/>
          <w:szCs w:val="16"/>
          <w:color w:val="auto"/>
        </w:rPr>
        <w:t>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8"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34" w:lineRule="exact"/>
        <w:rPr>
          <w:rFonts w:ascii="Arial" w:cs="Arial" w:eastAsia="Arial" w:hAnsi="Arial"/>
          <w:sz w:val="16"/>
          <w:szCs w:val="16"/>
          <w:color w:val="auto"/>
        </w:rPr>
      </w:pPr>
    </w:p>
    <w:p>
      <w:pPr>
        <w:jc w:val="both"/>
        <w:ind w:left="900" w:right="180" w:hanging="446"/>
        <w:spacing w:after="0" w:line="305"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w:t>
      </w:r>
    </w:p>
    <w:p>
      <w:pPr>
        <w:ind w:left="900" w:right="240" w:hanging="1"/>
        <w:spacing w:after="0" w:line="254" w:lineRule="auto"/>
        <w:tabs>
          <w:tab w:leader="none" w:pos="1197"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taxes, we do not consider indicative of ongoing operating performance due to their inherent unusual, extraordinary, or non-recurring nature or because they result from an event of a similar nature.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“Free Cash Flow” represents the net cash generated from operating activities less the impact of purchases of property and equipment.</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80" w:type="dxa"/>
            <w:vAlign w:val="bottom"/>
          </w:tcPr>
          <w:p>
            <w:pPr>
              <w:spacing w:after="0"/>
              <w:rPr>
                <w:sz w:val="14"/>
                <w:szCs w:val="14"/>
                <w:color w:val="auto"/>
              </w:rPr>
            </w:pPr>
          </w:p>
        </w:tc>
        <w:tc>
          <w:tcPr>
            <w:tcW w:w="288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98,188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75,131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289,975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235,785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Amortization of intangible assets (b)</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Transaction expenses (c)</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880"/>
              <w:spacing w:after="0"/>
              <w:rPr>
                <w:sz w:val="20"/>
                <w:szCs w:val="20"/>
                <w:color w:val="auto"/>
              </w:rPr>
            </w:pPr>
            <w:r>
              <w:rPr>
                <w:rFonts w:ascii="Arial" w:cs="Arial" w:eastAsia="Arial" w:hAnsi="Arial"/>
                <w:sz w:val="18"/>
                <w:szCs w:val="18"/>
                <w:color w:val="auto"/>
              </w:rPr>
              <w:t>Adjusted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104,697</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92,308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313,837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290,531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62,860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23,638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189,328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Interest and other, net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53,188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880"/>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117,718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95,927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345,899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295,553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440"/>
              <w:spacing w:after="0"/>
              <w:rPr>
                <w:sz w:val="20"/>
                <w:szCs w:val="20"/>
                <w:color w:val="auto"/>
              </w:rPr>
            </w:pPr>
            <w:r>
              <w:rPr>
                <w:rFonts w:ascii="Arial" w:cs="Arial" w:eastAsia="Arial" w:hAnsi="Arial"/>
                <w:sz w:val="18"/>
                <w:szCs w:val="18"/>
                <w:color w:val="auto"/>
              </w:rPr>
              <w:t>Transaction expenses (c)</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105,943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357,488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Transaction expenses (c)</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Amortization of intangible assets (b)</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or write-off of debt issuancecosts and write-off of</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original issue discount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Net gain on sale of state and local transportation business (d)</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Release of income tax reserves (e)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(10,966)</w:t>
            </w: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Adjustments for tax effect (f)</w:t>
            </w: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number of diluted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141,799,725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131,215,531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140,996,611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124,127,179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color w:val="auto"/>
              </w:rPr>
              <w:t>Adjusted Net Income Per Diluted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74,902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109,920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252,019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280,805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Purchases of property and equipment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(21,918)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(61,433)</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880"/>
              <w:spacing w:after="0"/>
              <w:rPr>
                <w:sz w:val="20"/>
                <w:szCs w:val="20"/>
                <w:color w:val="auto"/>
              </w:rPr>
            </w:pPr>
            <w:r>
              <w:rPr>
                <w:rFonts w:ascii="Arial" w:cs="Arial" w:eastAsia="Arial" w:hAnsi="Arial"/>
                <w:sz w:val="18"/>
                <w:szCs w:val="18"/>
                <w:color w:val="auto"/>
              </w:rPr>
              <w:t>Free Cash Flow</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52,984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87,444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186,461</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219,372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10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described in our Annual Report, which we refer to in this Quarterly Report as the acquisition, under the Officers’ Rollover Stock Plan. Also reflects stock-based compensation expense for Equity Incentive Plan Class A Common Stock options issued in connection with the acquisition under the Equity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described in our Annual Report.</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and nine months ended December 31, 2010 reflects certain external administrative and other expenses incurred in connection with the initial public offering.</w:t>
      </w:r>
    </w:p>
    <w:p>
      <w:pPr>
        <w:ind w:left="460" w:righ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Nine months ended December 31, 2011 reflects the gain on sale of our state and local transportation business, net of the associated tax benefit of $1.6 million.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and nine months ended December 31, 2011 and 2010 reflects the release of income tax reserves, net of taxes.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Developments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recent developments occurred after December 31, 2011, which may cause our future results of operations to differ from our historical results of operations discussed under “— Results of Operations.”</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fourth quarter of fiscal 2012, we finalized a cost restructuring plan to reduce certain personnel and infrastructure costs. We implemented this in response to continued budget constraints and uncertainty in our industry and to provide funds to increase our resources dedicated to growth areas across our markets. As part of this cost restructuring plan, we have reduced our overall headcount by approximately 2%, with a higher percentage of reductions in our senior ranks. We anticipate incurring an associated restructuring charge of approximately $10 to $14 million pretax in the fourth quarter of fiscal 2012 relating to the one-time termination benefits. The entire amount of such charge will result in future cash expenditures. In addition, the Company anticipates recording a reduction to stock compensation expense of approximately $2 million associated with forfeitures of unvested EIP options. The Company is in the process of evaluating whether some portion of these costs is recoverable under our cost-reimbursable contracts, which may result in additional revenue to be recognized in the fourth quarter of fiscal 2012. No amounts related to this cost restructuring have been accrued in the accompanying financial statements as of and for the three and nine month periods ended December 31, 2011.</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February 1, 2012, our Board authorized and declared a cash dividend in the amount of $0.09 per share. The dividend is payable in cash on February 29, 2012 to stockholders of record at the close of business on February 13, 2012. We currently intend to begin payments of regular quarterly cash dividends; however, the actual declaration of any such future dividends and the establishment of the per share amount, record dates and payment dates for any such future dividends are subject to the discretion of the Board, taking into account future earnings, cash flows, financial requirements and other factors.</w:t>
      </w:r>
    </w:p>
    <w:p>
      <w:pPr>
        <w:spacing w:after="0" w:line="1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On February 1, 2012, the Company’s Board of Directors authorized the payment of the accrued interest on the deferred payment obligation, or DPO, as of February 29, 2012 for approximately $19.4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trends and developments in the U.S. government services industry and our markets may influence our future results of operations:</w:t>
      </w:r>
    </w:p>
    <w:p>
      <w:pPr>
        <w:spacing w:after="0" w:line="113" w:lineRule="exact"/>
        <w:rPr>
          <w:sz w:val="20"/>
          <w:szCs w:val="20"/>
          <w:color w:val="auto"/>
        </w:rPr>
      </w:pPr>
    </w:p>
    <w:p>
      <w:pPr>
        <w:ind w:left="900" w:right="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0" w:lineRule="exact"/>
        <w:rPr>
          <w:rFonts w:ascii="Arial" w:cs="Arial" w:eastAsia="Arial" w:hAnsi="Arial"/>
          <w:sz w:val="18"/>
          <w:szCs w:val="18"/>
          <w:color w:val="auto"/>
        </w:rPr>
      </w:pPr>
    </w:p>
    <w:p>
      <w:pPr>
        <w:ind w:left="900" w:right="4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59"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 extensions of current contracts instead;</w:t>
      </w:r>
    </w:p>
    <w:p>
      <w:pPr>
        <w:spacing w:after="0" w:line="62"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50"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5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 security, managing federal health care cost growth and focus on reforming existing government regulation of various sectors of the economy, such as financial regulation and healthcare;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13"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Sources of Revenue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the three and nine months ended December 31, 2011 to grow, our revenue organically without relying on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90" w:lineRule="exact"/>
        <w:rPr>
          <w:sz w:val="20"/>
          <w:szCs w:val="20"/>
          <w:color w:val="auto"/>
        </w:rPr>
      </w:pPr>
    </w:p>
    <w:p>
      <w:pPr>
        <w:ind w:left="1480" w:right="60" w:hanging="446"/>
        <w:spacing w:after="0" w:line="290"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 performance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provide for an award fee that varies within specified limits based upon the client’s assessment of our performance against a predetermined set of criteria, such as targets for factors like cost, quality, schedule, and performance.</w:t>
      </w:r>
    </w:p>
    <w:p>
      <w:pPr>
        <w:spacing w:after="0" w:line="37" w:lineRule="exact"/>
        <w:rPr>
          <w:rFonts w:ascii="Arial" w:cs="Arial" w:eastAsia="Arial" w:hAnsi="Arial"/>
          <w:sz w:val="16"/>
          <w:szCs w:val="16"/>
          <w:color w:val="auto"/>
        </w:rPr>
      </w:pPr>
    </w:p>
    <w:p>
      <w:pPr>
        <w:ind w:left="1480" w:right="40" w:hanging="446"/>
        <w:spacing w:after="0" w:line="335" w:lineRule="auto"/>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Time-and-Materials Contracts. </w:t>
      </w:r>
      <w:r>
        <w:rPr>
          <w:rFonts w:ascii="Arial" w:cs="Arial" w:eastAsia="Arial" w:hAnsi="Arial"/>
          <w:sz w:val="15"/>
          <w:szCs w:val="15"/>
          <w:color w:val="auto"/>
        </w:rPr>
        <w:t>Under a time-and-materials contract, we are paid a fixed hourly rate for each direct labor hour expended, and</w:t>
      </w:r>
      <w:r>
        <w:rPr>
          <w:rFonts w:ascii="Arial" w:cs="Arial" w:eastAsia="Arial" w:hAnsi="Arial"/>
          <w:sz w:val="15"/>
          <w:szCs w:val="15"/>
          <w:i w:val="1"/>
          <w:iCs w:val="1"/>
          <w:color w:val="auto"/>
        </w:rPr>
        <w:t xml:space="preserve"> </w:t>
      </w:r>
      <w:r>
        <w:rPr>
          <w:rFonts w:ascii="Arial" w:cs="Arial" w:eastAsia="Arial" w:hAnsi="Arial"/>
          <w:sz w:val="15"/>
          <w:szCs w:val="15"/>
          <w:color w:val="auto"/>
        </w:rPr>
        <w:t>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 w:lineRule="exact"/>
        <w:rPr>
          <w:rFonts w:ascii="Arial" w:cs="Arial" w:eastAsia="Arial" w:hAnsi="Arial"/>
          <w:sz w:val="15"/>
          <w:szCs w:val="15"/>
          <w:color w:val="auto"/>
        </w:rPr>
      </w:pPr>
    </w:p>
    <w:p>
      <w:pPr>
        <w:ind w:left="1480" w:right="200" w:hanging="446"/>
        <w:spacing w:after="0" w:line="255"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 extent our</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Three Months Ended</w:t>
            </w:r>
          </w:p>
        </w:tc>
        <w:tc>
          <w:tcPr>
            <w:tcW w:w="14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7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7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7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Cost-reimbursable (1)</w:t>
            </w:r>
          </w:p>
        </w:tc>
        <w:tc>
          <w:tcPr>
            <w:tcW w:w="1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Time-and-materials</w:t>
            </w:r>
          </w:p>
        </w:tc>
        <w:tc>
          <w:tcPr>
            <w:tcW w:w="3000" w:type="dxa"/>
            <w:vAlign w:val="bottom"/>
            <w:gridSpan w:val="3"/>
          </w:tcPr>
          <w:p>
            <w:pPr>
              <w:jc w:val="right"/>
              <w:ind w:right="60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Fixed-price (2)</w:t>
            </w:r>
          </w:p>
        </w:tc>
        <w:tc>
          <w:tcPr>
            <w:tcW w:w="3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417"/>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w w:val="91"/>
              </w:rPr>
              <w:t>Includes both cost-plus-fixed-fee and cost-plus-award-fee contracts.</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Includes fixed-price level of effort contracts.</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80" w:type="dxa"/>
            <w:vAlign w:val="bottom"/>
          </w:tcPr>
          <w:p>
            <w:pPr>
              <w:jc w:val="right"/>
              <w:ind w:right="1512"/>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 Diversity and Revenue Mix</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contains an optimal mix of skills to meet the rapidly evolving needs of our clients and we seek to achieve that result through recruitment and capacity management. As of December 31, 2011 and 2010, we employed approximately 25,800 and 25,300 people, respectively, of which approximately 23,300 and 23,000, respectively, were consulting staff. Attrition for consulting staff was 19.3% and 19.2% during the twelve months ended December 31,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90" w:lineRule="exact"/>
        <w:rPr>
          <w:sz w:val="20"/>
          <w:szCs w:val="20"/>
          <w:color w:val="auto"/>
        </w:rPr>
      </w:pPr>
    </w:p>
    <w:p>
      <w:pPr>
        <w:ind w:left="900" w:right="2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ind w:right="356"/>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Funded</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2,971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Unfunded (1)</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ind w:left="440"/>
              <w:spacing w:after="0"/>
              <w:rPr>
                <w:sz w:val="20"/>
                <w:szCs w:val="20"/>
                <w:color w:val="auto"/>
              </w:rPr>
            </w:pPr>
            <w:r>
              <w:rPr>
                <w:rFonts w:ascii="Arial" w:cs="Arial" w:eastAsia="Arial" w:hAnsi="Arial"/>
                <w:sz w:val="18"/>
                <w:szCs w:val="18"/>
                <w:color w:val="auto"/>
              </w:rPr>
              <w:t>Priced options (2)</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backlog</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12,215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11,005</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6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based on an established pattern of funding under these contracts by the U.S.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shown reflect 100% of the undiscounted revenue value of all priced options.</w:t>
      </w:r>
    </w:p>
    <w:p>
      <w:pPr>
        <w:spacing w:after="0" w:line="17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grew 11.0% from December 31, 2010 to December 31, 2011. Additions to funded backlog during the twelve months ended December 31, 2011 totaled $6.0 billion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4.9% of funded backlog as of the end of any of the eight fiscal quarters preceding the fiscal quarter ended December 31, 2011.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90" w:lineRule="exact"/>
        <w:rPr>
          <w:sz w:val="20"/>
          <w:szCs w:val="20"/>
          <w:color w:val="auto"/>
        </w:rPr>
      </w:pPr>
    </w:p>
    <w:p>
      <w:pPr>
        <w:ind w:left="900" w:right="4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labor relating to infrastructure, management and administration, and other expenses.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Billable Expenses. </w:t>
      </w:r>
      <w:r>
        <w:rPr>
          <w:rFonts w:ascii="Arial" w:cs="Arial" w:eastAsia="Arial" w:hAnsi="Arial"/>
          <w:sz w:val="16"/>
          <w:szCs w:val="16"/>
          <w:color w:val="auto"/>
        </w:rPr>
        <w:t>Billable expenses include direct subcontractor expenses, travel expenses, and other expenses incurred to perform on contracts.</w:t>
      </w:r>
    </w:p>
    <w:p>
      <w:pPr>
        <w:spacing w:after="0" w:line="113" w:lineRule="exact"/>
        <w:rPr>
          <w:rFonts w:ascii="Arial" w:cs="Arial" w:eastAsia="Arial" w:hAnsi="Arial"/>
          <w:sz w:val="16"/>
          <w:szCs w:val="16"/>
          <w:color w:val="auto"/>
        </w:rPr>
      </w:pPr>
    </w:p>
    <w:p>
      <w:pPr>
        <w:ind w:left="900" w:right="78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functions, marketing and bid and proposal costs, and other discretionary spending.</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amortization of internally developed software, as well as third-party software that we use internally, and of identifiable long-lived intangible assets over their estimated useful lives.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net operating loss carry forward, which as of our March 31, 2011 filed tax return was $153.6 million, will be fully realized by March 31, 2012.</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three months ended December 31, 2011, the Company released approximately $11.1 million of reserves for uncertain tax positions for a lapse in the statute of limitations for fiscal year 2008.</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are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 as described in the Company’s Annual Report. Additionally, due to statute of limitations expirations and potential audit settlements, it is reasonably possible that a portion of the reserves recorded on previously recognized tax benefits may be effectively settled by March 31,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Seasonality</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condensed consolidated financial statements for Booz Allen Hamilton Holding Corporation, including its wholly owned subsidiaries, have been presented for the three and nine months ended December 31,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right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1,442,718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1,389,176</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4,318,598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4,098,319</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718,574</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2,172,450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2,094,232</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Billable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370,540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368,472</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1,143,641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1,084,001</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206,203</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624,533</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20,796</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59,768</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1,344,530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1,314,045</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4,028,623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3,862,534</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75,131</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289,975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235,785</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(113,715)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(18,656)</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(25,766)</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 and before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96,304</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(1,695)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(1,488.3%)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29,680</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66,624</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ind w:right="4440"/>
        <w:spacing w:after="0" w:line="34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Three Months Ended December 31, 2011 Compared to Three Months Ended December 31, 2010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increased to $1,442.7 million from $1,389.2 million, or a 3.9% increase. The increase in revenue during the three months ended December 31, 2011 was primarily driven by an increase in direct consulting staff labor revenue due to improved deployment of direct consulting staff, including the deployment of 300 net additional consulting staff, and increased other direct costs. Net additional consulting staff reflects newly hired consulting staff net of consulting staff attrition. Consulting staff increased during the period due to recruiting efforts, resulting in additions to consulting staff in excess of attrition. Additions to funded backlog during the twelve months ended December 31, 2011 totaled $6.0 billion, as a result of the conversion of unfunded backlog to funded backlog, the award of new contracts and task orders under which funding was appropriated, and the exercise and subsequent funding of priced options.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Cost of revenue increased to $730.0 million from $718.6 million, or a 1.6% increase. This increase was primarily due to increases in salaries and salary-related benefits of $12.9 million, employer retirement plan contributions of $6.8 million and incentive compensation of $2.1 million. The increase in salaries and salary-related benefits was driven by headcount growth of approximately 300 net additional consulting staff during the twelve months ended December 31, 2011 and annual base salary increases. The increase in employer retirement plan contributions was due to an increase in the number of consulting staff who completed one year of service and became eligible to participate in our defined contribution plan, the Employees’ Capital Accumulation Plan, or ECAP. The increase in incentive compensation during the three months ended December 31, 2011 in fiscal year 2012 as compared to the same prior year period was due to a decrease in the accrual of fiscal year 2011 incentive compensation costs which primarily affected personnel in client management roles that was recognized during the three month period ended December 31, 2010 partially offset by a reduction of incentive accrual rates for fiscal year 2012 in response to higher than expected business development costs and marketing and bid and proposal activity as well as administrative costs associated with delays in deploying certain direct consulting staff labor.</w:t>
      </w:r>
    </w:p>
    <w:p>
      <w:pPr>
        <w:spacing w:after="0" w:line="123"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cost of revenue increase was partially offset by a decrease of $8.5 million related to other client expenses and $1.8 million in stock-based compensation expense. Cost of revenue as a percentage of revenue was 50.6% and 51.7% in the three months ended December 31, 2011 and 2010,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Billable expenses increased to $370.5 million from $368.5 million, or a 0.6% increase. This increase was primarily due to increases in subcontractor-related expenses of $2.3 million. The increase in direct subcontractor expenses was in support of growth on existing and new contracts and task orders during the three months ended December 31, 2011. Billable expenses as a percentage of revenue were 25.7% and 26.5% in the three months ended December 31,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 and administrative expenses increased to $224.5 million from $206.2 million, or an 8.9% increase. This increase was primarily due to increases in salaries and salary-related benefits of $14.2 million associated with increased headcount and an increase of $17.5 million in other business-related expenses and professional fees to support the increased scale of our business.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increase in general and administrative expenses was partially offset by a decrease in incentive compensation of $6.7 million due to lower incentive compensation accrual rates for fiscal year 2012. Stock-based compensation expense also decreased by $4.1 million compared to the same prior year period primarily due to the application of the accounting method for recognizing stock-based compensation, which requires higher expenses initially and declining expenses in subsequent years. General and administrative expenses as a percentage of revenue were 15.6% and 14.8% for the three months ended December 31,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Depreciation and amortization decreased to $19.5 million from $20.8 million, or a 6.1% decrease. This decrease was primarily due to a decrease of $3.1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$4.1 million for the three months ended December 31, 2011 compared to $7.2 million for the three months ended December 31, 2010. The decrease in depreciation and amortization expense was partially offset by an increase in depreciation expense associated with capital expenditures purchased during the twelve months ended December 31, 2011 attributable to investments in facility expansion and computer equipment to support the increased headcount.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Expense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Interest expense decreased to $12.0 million from $34.5 million, or a 65.1% decrease. This decrease was primarily due to a decrease in contractually obligated interest expense as a result of the repayment of indebtedness outstanding under our mezzanine credit facility and the refinancing of our senior secured loan facilities at lower interest rates in February 2011.</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Interest is accrued on our $972.7 million outstanding debt principal balance as of December 31, 2011 at contractually specified rates ranging from 2.52% to 4.00%, and is generally required to be paid to our syndicate of lenders on a quarterly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$23.5 million compared to an income tax benefit of $1.7 million. The effective tax rate increased to 27.2% from (7.7)%. The increase in the effective tax rate for the three months ended December 31, 2011 as compared to the same prior year period is primarily due to higher pretax income in the current year.</w:t>
      </w:r>
    </w:p>
    <w:p>
      <w:pPr>
        <w:spacing w:after="0" w:line="221" w:lineRule="exact"/>
        <w:rPr>
          <w:sz w:val="20"/>
          <w:szCs w:val="20"/>
          <w:color w:val="auto"/>
        </w:rPr>
      </w:pPr>
    </w:p>
    <w:p>
      <w:pPr>
        <w:ind w:right="4600"/>
        <w:spacing w:after="0" w:line="344" w:lineRule="auto"/>
        <w:rPr>
          <w:sz w:val="20"/>
          <w:szCs w:val="20"/>
          <w:color w:val="auto"/>
        </w:rPr>
      </w:pPr>
      <w:r>
        <w:rPr>
          <w:rFonts w:ascii="Arial" w:cs="Arial" w:eastAsia="Arial" w:hAnsi="Arial"/>
          <w:sz w:val="18"/>
          <w:szCs w:val="18"/>
          <w:b w:val="1"/>
          <w:bCs w:val="1"/>
          <w:i w:val="1"/>
          <w:iCs w:val="1"/>
          <w:color w:val="auto"/>
        </w:rPr>
        <w:t xml:space="preserve">Nine Months Ended December 31, 2011 Compared to Nine Months Ended December 31, 2010 </w:t>
      </w:r>
      <w:r>
        <w:rPr>
          <w:rFonts w:ascii="Arial" w:cs="Arial" w:eastAsia="Arial" w:hAnsi="Arial"/>
          <w:sz w:val="18"/>
          <w:szCs w:val="18"/>
          <w:i w:val="1"/>
          <w:iCs w:val="1"/>
          <w:color w:val="auto"/>
        </w:rPr>
        <w:t>Revenue</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 increased to $4,318.6 million from $4,098.3 million, or a 5.4% increase. The increase in revenue during the nine months ended December 31, 2011 was primarily driven by an increase in direct consulting staff labor revenue due to improved deployment of direct consulting staff, including the deployment of 300 net additional consulting staff, and increased other direct costs. Net additional consulting staff reflects newly hired consulting staff net of consulting staff attrition. Additions to funded backlog during the twelve months ended December 31, 2011 totaled $6.0 billion, as a result of the conversion of unfunded backlog to funded backlog, the award of new contracts and task orders under which funding was appropriated, and the exercise and subsequent funding of priced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Cost of revenue increased to $2,172.5 million from $2,094.2 million, or a 3.7% increase. This increase was primarily due to increases in salaries and salary-related benefits of $87.6 million and employer retirement plan contributions of $10.4 million. The increase in salaries and salary-related benefits was driven by headcount growth of approximately 300 net additional consulting staff during the twelve months ended December 31, 2011 and annual base salary increases. The increase in employer retirement plan contributions was due to an increase in the number of consulting staff who completed one year of service and became eligible to participate in ECAP.</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cost of revenue increase was partially offset by decreases of $13.4 million in incentive compensation and $4.4 million in stock-based compensation expenses. The decrease in incentive compensation was due to an amendment to the Officers’ compensation plan that was effective October 1, 2010, such that a portion of incentive compensation is now paid via grants of restricted stock on July 1 of each year, rather than cash, and will vest over a three year period, and management’s determination to reduce incentive compensation accrual rates for fiscal year 2012 in response to higher than expected business development costs and marketing and bid and proposal activity as well as administrative costs associated with delays in deploying certain direct consulting staff labor. The decrease in stock-based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Cost of revenue as a percentage of revenue was 50.3% and 51.1% in the nine months ended December 31, 2011 and 2010,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Billable expenses increased to $1,143.6 million from $1,084.0 million, or a 5.5% increase. This increase was primarily due to increases in subcontractor-related expenses of $59.7 million. The increase in direct subcontractor expenses was in support of growth on existing and new contracts and task orders during the three months ended December 31, 2011. Billable expenses as a percentage of revenue were 26.5% and 26.4% in the nine months ended December 31,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increased to $656.6 million from $624.5 million, or a 5.1% increase. This increase was primarily due to increases in salaries and salary-related benefits of $42.2 million associated with increased headcount and an increase of $28.7 million in other business-related expenses and professional fees to support the increased scale of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general and administrative expenses was partially offset by decreases of $23.2 million in incentive compensation,</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$10.5 million in stock-based compensation expenses and $5.1 million of employer retirement plan contributions. The decrease in incentive compensation was due to lower incentive compensation accrual rates for fiscal year 2012, and an amendment to the Officers’ compensation plan that was effective October 1, 2010, such that a portion of incentive compensation is now paid via grants of restricted stock on July 1 of each year, rather than cash, and will vest over a three year period. The decrease in stock-based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The decrease in employer retirement plan contributions was due to the associated decrease in incentive compensation. General and administrative expenses as a percentage of revenue was 15.2% for each of the nine months ended December 31, 2011 and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Depreciation and amortization decreased to $55.9 million from $59.8 million, or a 6.4% decrease. This decrease was primarily due to a decrease of $9.2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$12.3 million for the nine months ended December 31, 2011 compared to $21.5 million for the nine months ended December 31, 2010. The decrease in amortization expense was partially offset by an increase in depreciation expense associated with capital expenditures purchased during the twelve months ended December 31, 2011 attributable to investments in facility expansion and computer equipment to support the increased headcount.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Interest expense decreased to $36.5 million from $113.7 million, or a 67.9% decrease. This decrease was primarily due to a decrease in contractually obligated interest expense as a result of the repayment of indebtedness outstanding under our mezzanine credit facility and the refinancing of our senior secured loan facilities at lower interest rates in February 2011.</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Interest is accrued on our $972.7 million outstanding debt principal balance as of December 31, 2011 at contractually specified rates ranging from 2.52% to 4.00%, and is generally required to be paid to our syndicate of lenders on a quarterly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tax expense increased to $68.0 million from $29.7 million, or a 129.0% increase. The increase was primarily due to an increase in year to date pre-tax income as compared to the same prior year period partially offset by an increase in the release of uncertain tax position reserves of $24.2 million as compared to the same prior year period.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to 26.4% from 30.8% primarily due to the increase in the release of uncertain tax position reserves in the current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historically been able to generate sufficient cash to fund our operations, debt payments, capital expenditures, and discretionary funding needs. We had $405.0 million and $192.6 million in cash and cash equivalents as of December 31, 2011 and March 31, 2011, respectively. However, due to fluctuations in cash flows and the growth in operations, it may be necessary from time to 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35"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debt totaled $972.7 million and $994.3 million as of December 31, 2011 and March 31, 2011, respectively. Our debt bears interest at specified rates and is held by a syndicate of lenders (see Note 8 in our interim consolidated financial statements).</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senior secured loan facilities consist of a $500.0 million Tranche A term facility, or Tranche A Loans, and a $500.0 million Tranche B term facility, or Tranche B Loans. As of December 31, 2011, we had $ 481.3 million and $496.3 million principal outstanding under the Tranche A term facility and Tranche B term facility,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6" w:name="page27"/>
    <w:bookmarkEnd w:id="2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we evaluate alternative uses for excess cash resources including debt prepayments, payment of dividends, share repurchases or funding acquisitions.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December 31, 2011, no shares have been repurchased under the program.</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February 1, 2012, our Board authorized and declared a cash dividend in the amount of $0.09 per share. The dividend is payable in cash on February 29, 2012 to stockholders of record at the close of business on February 13, 2012. We currently intend to begin payments of regular quarterly cash dividends; however, the actual declaration of any such future dividends and the establishment of the per share amount, record dates and payment dates for any such future dividends are subject to the discretion of the Board, taking into account future earnings, cash flows, financial requirements and other factors.</w:t>
      </w:r>
    </w:p>
    <w:p>
      <w:pPr>
        <w:spacing w:after="0" w:line="11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On February 1, 2012, the Company’s Board of Directors authorized the payment of the accrued interest on the DPO as of February 29, 2012 for approximately $19.4 million. We currently intend to periodically pay interest accruing on the DPO, subject to the discretion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11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69 as of December 31, 2011 and 68 as of March 31, 2011.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(Unaudited)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$ 252,019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$ 280,805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(42,226)</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(60,049)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Total increase in cash and cash equivalents</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$ 212,396</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$ 149,937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manage our vendor payments. Net cash provided by operations was $252.0 million in the nine months ended December 31, 2011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$280.8 million in the same prior year period, or a 10.3% decrease. The decrease in net cash provided by operations was primarily due to an increase in cash taxes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paid, partially offset by net income growth.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from Investing Activities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cash used in investing activities was $42.2 million in the nine months ended December 31, 2011 compared to $60.0 million in the same prior year period, or a 29.7% decrease. The decrease in net cash used in investing activities was primarily due to cash proceeds received of $23.3 million from the sale of our state and local transportation business. Capital expenditures also increased from $61.4 million to $65.6 million in the nine months ended December 31, 2010 to 2011, respectively. This increase is attributable to investments in additional facility expansion and computer equipment to support the increase in headcount. We expect capital expenditures as a percentage of revenue in future years to be more comparable to historical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$2.6 million in the nine months ended December 31, 2011 compared to net cash used in financing activities of</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$70.8 million in the same prior year period, or a 103.7% increase. The increase in net cash provided by financing activities was primarily due to the repayment of debt during the nine months ended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maintain a senior secured credit agreement, as amended, with a syndicate of lenders. The senior secured credit agreement, as amended, provides for $1.0 billion in term loans ($500.0 million of Tranche A Loans and $500.0 million of Tranche B Loans) and a $275.0 million revolving credit facility.</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senior secured credit agreement, as amended, requires quarterly principal payments of 1.25% of the stated principal amount of Tranche A Loans, with annual incremental increases to 1.875%, 2.50%, 3.125%, and 16.25%, prior to the Tranche A Loans’ maturity date of February 3, 2016, and 0.25% of the stated principal amount of Tranche B Loans, with the remaining balance payable on the Tranche B Loans’ maturity date of August 3, 2017. The revolving credit facility matures on July 31, 2014, at which time any outstanding principal balance is due in full.</w:t>
      </w:r>
    </w:p>
    <w:p>
      <w:pPr>
        <w:spacing w:after="0" w:line="14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At our option, the interest rate on borrowings under the senior secured loan facilities may be based on the Eurocurrency rate or the alternate base rate, or ABR plus, in each case, an applicable margin, subject to the Eurocurrency rate and ABR being no lower than 1.00% or 2.00% respectively, in the case of Tranche B Loans. Subject to a leveraged based pricing grid, the applicable margins on Tranche A Loans range from 2.00% to 2.75% with respect to Eurocurrency loans, or 1.00% to 1.75% with respect to ABR loans. The applicable margins on Tranche B Loans are 3.00% with respect to Eurocurrency loans, or 4.00% with respect to the ABR loans, stepping down, in each case to 2.75% and 3.75%, respectively, when the total leverage ratio is less than or equal to 1.75 to 1.00. The revolving credit facility margin and commitment fee are subject to the leveraged based pricing grid, as set forth in the senior secured credit agreement, as amended. As of December 31, 2011, we were contingently liable under open standby letters of credit and bank guarantees issued by our banks in favor of third parties that total $2.3 million. These letters of credit and bank guarantees primarily relate to leases and support of insurance obligations. These instruments reduce our available borrowings under the revolving credit facility. As of December 31, 2011, we had $272.7 million of capacity available for additional borrowings under the revolving credit facility.</w:t>
      </w:r>
    </w:p>
    <w:p>
      <w:pPr>
        <w:spacing w:after="0" w:line="1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loans under the senior secured credit agreement, as amended, are secured by substantially all of our assets. The senior secured credit agreement, as amended, contains customary representations and warranties and customary affirmative and negative covenants. The negative covenants are limited to the following: limitations on indebtedness and liens, mergers, consolidations or amalgamations, or liquidations, wind-ups or dissolutions; dispositions of property; restricted payments; investments; transactions with affiliates; sale and lease back transactions; negative pledges; restrictive agreements; and certain other limitations or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are required to meet the following financial covenants at each quarter end:</w:t>
      </w:r>
    </w:p>
    <w:p>
      <w:pPr>
        <w:spacing w:after="0" w:line="90" w:lineRule="exact"/>
        <w:rPr>
          <w:sz w:val="20"/>
          <w:szCs w:val="20"/>
          <w:color w:val="auto"/>
        </w:rPr>
      </w:pPr>
    </w:p>
    <w:p>
      <w:pPr>
        <w:ind w:left="900" w:right="3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Total Leverage Ratio </w:t>
      </w:r>
      <w:r>
        <w:rPr>
          <w:rFonts w:ascii="Arial" w:cs="Arial" w:eastAsia="Arial" w:hAnsi="Arial"/>
          <w:sz w:val="18"/>
          <w:szCs w:val="18"/>
          <w:color w:val="auto"/>
        </w:rPr>
        <w:t>— the ratio of total leverage as of the last day of the quarter (defined as the aggregate principal amount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funded debt, less cash, cash equivalents and permitted liquid investments of up to $150.0 million) to the preceding four quarters’ “Consolidated EBITDA” (as defined in the senior secured credit agreement, as amended). For the period ended December 31, 2011, this ratio was required to be less than or equal to 3.9 to 1.0 to comply with our senior secured loan facilities. As of December 31, 2011, we were in compliance with our consolidated total leverage ratio with a ratio of 1.68.</w:t>
      </w:r>
    </w:p>
    <w:p>
      <w:pPr>
        <w:spacing w:after="0" w:line="61"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Net Interest Coverage Ratio </w:t>
      </w:r>
      <w:r>
        <w:rPr>
          <w:rFonts w:ascii="Arial" w:cs="Arial" w:eastAsia="Arial" w:hAnsi="Arial"/>
          <w:sz w:val="16"/>
          <w:szCs w:val="16"/>
          <w:color w:val="auto"/>
        </w:rPr>
        <w:t>— the ratio of the preceding four quarters’ “Consolidated EBITDA” (as defined in the senior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as amended) to net interest expense for the preceding four quarters’ (defined as cash interest expense, less the sum of cash interest income and one-time financing fees (to the extent included in consolidated interest expense)). For the period ended December 31, 2011, this ratio was required to be greater than or equal to 3.0 to 1.0 to comply with our senior secured loan facilities. As of December 31, 2011, we were in compliance with our consolidated net interest coverage ratio with a ratio of 12.69.</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total outstanding debt balance is recorded net of unamortized discount of $4.8 million and $5.7 million as of December 31, 2011 and March 31,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Structure and Resources</w:t>
      </w:r>
    </w:p>
    <w:p>
      <w:pPr>
        <w:spacing w:after="0" w:line="9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stockholders’ equity amounted to $1,142.3 million as of December 31, 2011, an increase of $235.0 million compared to stockholders’ equity of $907.3 million as of March 31, 2011, primarily due to common stock issuances, stock option exercises, net income of $189.3 million in the nine months ended December 31, 2011, and stock-based compensation expense of $24.4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2011 and 2010 were $65.6 million and $61.4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risks and other factors include: cost cutting and efficiency initiatives and other efforts to reduce U.S. government spending, which could reduce or delay funding for orders for services especially in the current political environment; delayed funding of our contracts due to delays in the completion of the U.S. government’s budgeting process and the use of continuing resolutions by the U.S. government to fund its operations or related changes in the pattern or timing of government funding and spending;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 Schedule Contracts, or GSA schedules, or our position as prime contractor on government wide acquisition contact vehicles;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any inability to attract, train or retain employees with the requisite skills, experience and security clearances; an inability to hire, assimilate and deploy enough employees to serve our clients under existing contracts; an inability to effectively and timely utilize our employees and professionals;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internal system or service failures and security breaches, including, but not limited to, those resulting from external cyber attacks on our network and internal systems; risks related to our indebtedness and credit facilities which contain financial and operating covenants; the adoption by the U.S. government of new laws, rules and regulations, such as those relating to organizational conflicts of interest issues; an inability to utilize existing or future tax benefits, including those related to our net operating losses and stock-based compensation expense, for any reason, including a change in law; variable purchasing patterns under U.S. government GSA schedules, blanket purchase agreements and indefinite delivery/indefinite quantity contracts; and other risks and factors described in Part II, “Item 1A. Risk Factors” of this Quarterly Report.</w:t>
      </w:r>
    </w:p>
    <w:p>
      <w:pPr>
        <w:spacing w:after="0" w:line="1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2011 filed with the Securities and Exchange Commission on June 8, 2011.</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charging.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our Annual Report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as described in our Annual Report,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2011 filed with the Securities and Exchange Commission on June 8, 2011.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fourth quarter of fiscal 2012, we finalized a cost restructuring plan to reduce certain personnel and infrastructure costs. We implemented this in response to continued budget constraints and uncertainty in our industry and to provide funds to increase our resources dedicated to growth areas across our markets. As part of this cost restructuring plan, we have reduced our overall headcount by approximately 2%, with a higher percentage of reductions in our senior ranks. We anticipate incurring an associated restructuring charge of approximately $10 to $14 million pretax in the fourth quarter of fiscal 2012 relating to the one-time termination benefits. The entire amount of such charge will result in future cash expenditures. In addition, the Company anticipates recording a reduction to stock compensation expense of approximately $2 million associated with forfeitures of unvested EIP options. The Company is in the process of evaluating whether some portion of these costs is recoverable under our cost-reimbursable contracts, which may result in additional revenue to be recognized in the fourth quarter of fiscal 2012. No amounts related to this cost restructuring have been accrued in the accompanying financial statements as of and for the three and nine month periods ended December 31,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Exhibits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20"/>
        <w:spacing w:after="0"/>
        <w:tabs>
          <w:tab w:leader="none" w:pos="7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800" w:right="160" w:hanging="669"/>
        <w:spacing w:after="0" w:line="25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15, 2008, by and among Booz Allen Hamilton Inc., Booz Allen Hamilton Holding Corporation (formerly known as Explorer Holding Corporation), Booz Allen Hamilton Investor Corporation (formerly known as Explorer Investor Corporation), Explorer Merger Sub Corporation and Booz &amp; Company Inc. (Incorporated by reference to Exhibit 2.1 to the Company’s Registration Statement on Form S-1 (File No. 333- 167645))</w:t>
      </w:r>
    </w:p>
    <w:p>
      <w:pPr>
        <w:spacing w:after="0" w:line="89" w:lineRule="exact"/>
        <w:rPr>
          <w:sz w:val="20"/>
          <w:szCs w:val="20"/>
          <w:color w:val="auto"/>
        </w:rPr>
      </w:pPr>
    </w:p>
    <w:p>
      <w:pPr>
        <w:ind w:left="800" w:right="140" w:hanging="669"/>
        <w:spacing w:after="0" w:line="259" w:lineRule="auto"/>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Spin Off Agreement, dated as of May 15, 2008, by and among Booz Allen Hamilton Inc., Booz &amp; Company Holdings, LLC, Booz &amp; Company Inc., Booz &amp; Company Intermediate I Inc. and Booz &amp; Company Intermediate II Inc. (Incorporated by reference to Exhibit 2.2 to the Company’s Registration Statement on Form S-1 (File No. 333-167645))</w:t>
      </w:r>
    </w:p>
    <w:p>
      <w:pPr>
        <w:spacing w:after="0" w:line="86" w:lineRule="exact"/>
        <w:rPr>
          <w:sz w:val="20"/>
          <w:szCs w:val="20"/>
          <w:color w:val="auto"/>
        </w:rPr>
      </w:pPr>
    </w:p>
    <w:p>
      <w:pPr>
        <w:ind w:left="800" w:right="20" w:hanging="669"/>
        <w:spacing w:after="0" w:line="298"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Amendment to the Agreement and Plan of Merger and the Spin Off Agreement, dated as of July 30, 2008, by and among Booz Allen Hamilton Inc., Booz Allen Hamilton Investor Corporation (formerly known as Explorer Investor Corporation), Explorer Merger Sub Corporation, Booz &amp; Company Holdings, LLC, Booz &amp; Company Inc., Booz &amp; Company Intermediate I Inc. and Booz &amp; Company Intermediate II Inc. (Incorporated by reference to Exhibit 2.3 to the Company’s Registration Statement on Form S-1 (File No. 333-167645))</w:t>
      </w:r>
    </w:p>
    <w:p>
      <w:pPr>
        <w:spacing w:after="0" w:line="59" w:lineRule="exact"/>
        <w:rPr>
          <w:sz w:val="20"/>
          <w:szCs w:val="20"/>
          <w:color w:val="auto"/>
        </w:rPr>
      </w:pPr>
    </w:p>
    <w:p>
      <w:pPr>
        <w:ind w:left="800" w:right="80" w:hanging="669"/>
        <w:spacing w:after="0" w:line="268" w:lineRule="auto"/>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of Booz Allen Hamilton Holding Corporation (Incorporated by reference to Exhibit 3.1 to the Company’s Quarterly Report for the period ended December 31, 2010 on Form 10-Q (File No. 001-34972))</w:t>
      </w:r>
    </w:p>
    <w:p>
      <w:pPr>
        <w:spacing w:after="0" w:line="78" w:lineRule="exact"/>
        <w:rPr>
          <w:sz w:val="20"/>
          <w:szCs w:val="20"/>
          <w:color w:val="auto"/>
        </w:rPr>
      </w:pPr>
    </w:p>
    <w:p>
      <w:pPr>
        <w:ind w:left="800" w:right="380" w:hanging="669"/>
        <w:spacing w:after="0" w:line="268"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Second Amended and Restated Bylaws of Booz Allen Hamilton Holding Corporation (Incorporated by reference to Exhibit 3.2 to the Company’s Quarterly Report for the period ended December 31, 2010 on Form 10-Q (File No. 001-34972))</w:t>
      </w:r>
    </w:p>
    <w:p>
      <w:pPr>
        <w:spacing w:after="0" w:line="78" w:lineRule="exact"/>
        <w:rPr>
          <w:sz w:val="20"/>
          <w:szCs w:val="20"/>
          <w:color w:val="auto"/>
        </w:rPr>
      </w:pPr>
    </w:p>
    <w:p>
      <w:pPr>
        <w:ind w:left="800" w:right="20" w:hanging="669"/>
        <w:spacing w:after="0" w:line="256"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Guarantee and Collateral Agreement, among Booz Allen Hamilton Investor Corporation (formerly known as Explorer Investor Corporation), Explorer Merger Sub Corporation as the Initial Borrower, Booz Allen Hamilton Inc., as the Surviving Borrower, and the Subsidiary Guarantors party thereto, in favor of Credit Suisse, as Collateral Agent, dated as of July 31, 2008 (Incorporated by reference to Exhibit 4.1 to the Company’s Registration Statement on Form S-1 (File No. 333-167645))</w:t>
      </w:r>
    </w:p>
    <w:p>
      <w:pPr>
        <w:spacing w:after="0" w:line="89" w:lineRule="exact"/>
        <w:rPr>
          <w:sz w:val="20"/>
          <w:szCs w:val="20"/>
          <w:color w:val="auto"/>
        </w:rPr>
      </w:pPr>
    </w:p>
    <w:p>
      <w:pPr>
        <w:ind w:left="800" w:hanging="669"/>
        <w:spacing w:after="0" w:line="256"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Guarantee Agreement, among Booz Allen Hamilton Investor Corporation (formerly known as Explorer Investor Corporation), Explorer Merger Sub Corporation as the Initial Borrower, Booz Allen Hamilton Inc., as the Surviving Borrower, and the Subsidiary Guarantors party thereto, and Credit Suisse, as Administrative Agent, dated as of July 31, 2008 (Incorporated by reference to Exhibit 4.2 to the Company’s Registration Statement on Form S-1 (File No. 333- 167645))</w:t>
      </w:r>
    </w:p>
    <w:p>
      <w:pPr>
        <w:spacing w:after="0" w:line="89" w:lineRule="exact"/>
        <w:rPr>
          <w:sz w:val="20"/>
          <w:szCs w:val="20"/>
          <w:color w:val="auto"/>
        </w:rPr>
      </w:pPr>
    </w:p>
    <w:p>
      <w:pPr>
        <w:ind w:left="800" w:right="280" w:hanging="669"/>
        <w:spacing w:after="0" w:line="268"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Amended and Restated Stockholders Agreement (Incorporated by reference to Exhibit 4.3 to the Company’s Quarterly Report for the period ended December 31, 2010 on Form 10-Q (File No. 001-34972))</w:t>
      </w:r>
    </w:p>
    <w:p>
      <w:pPr>
        <w:spacing w:after="0" w:line="78" w:lineRule="exact"/>
        <w:rPr>
          <w:sz w:val="20"/>
          <w:szCs w:val="20"/>
          <w:color w:val="auto"/>
        </w:rPr>
      </w:pPr>
    </w:p>
    <w:p>
      <w:pPr>
        <w:ind w:left="800" w:right="500" w:hanging="669"/>
        <w:spacing w:after="0" w:line="268"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Irrevocable Proxy and Tag-Along Agreement (Incorporated by reference to Exhibit 4.4 to the Company’s Quarterly Report for the period ended December 31, 2010 on Form 10-Q (File No. 001-34972))</w:t>
      </w:r>
    </w:p>
    <w:p>
      <w:pPr>
        <w:spacing w:after="0" w:line="78"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Stock Certificate (Incorporated by reference to Exhibit 4.5 to the Company’s Registration Statement on Form S-1 (File No. 333-167645))</w:t>
      </w:r>
    </w:p>
    <w:p>
      <w:pPr>
        <w:spacing w:after="0" w:line="117" w:lineRule="exact"/>
        <w:rPr>
          <w:sz w:val="20"/>
          <w:szCs w:val="20"/>
          <w:color w:val="auto"/>
        </w:rPr>
      </w:pPr>
    </w:p>
    <w:p>
      <w:pPr>
        <w:ind w:left="800" w:hanging="713"/>
        <w:spacing w:after="0" w:line="290"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Credit Agreement, among Booz Allen Hamilton Investor Corporation (formerly known as Explorer Investor Corporation), Explorer Merger Sub Corporation, as the Initial Borrower, Booz Allen Hamilton Inc., as the Surviving Borrower, the several lenders from time to time parties thereto, Credit Suisse AG, Cayman Islands Branch (formerly known as Credit Suisse), as Administrative Agent and Collateral Agent, Credit Suisse AG, Cayman Islands Branch (formerly known as Credit Suisse), as Issuing Lender, Banc of America Securities LLC and Credit Suisse Securities (USA) LLC, as Joint Lead Arrangers, and Banc of America Securities LLC, Credit Suisse Securities (USA) LLC, Barclays Capital, Goldman Sachs Credit Partners L.P., and Morgan Stanley Senior Funding, Inc., as Joint Bookrunners and Sumitomo Mitsui Banking Corporation, as Co-Manager, dated as of July 31, 2008 (Incorporated by reference to Exhibit 10.1 to the Company’s Registration Statement on Form S-1 (File No. 333-167645))</w:t>
      </w:r>
    </w:p>
    <w:p>
      <w:pPr>
        <w:spacing w:after="0" w:line="64" w:lineRule="exact"/>
        <w:rPr>
          <w:sz w:val="20"/>
          <w:szCs w:val="20"/>
          <w:color w:val="auto"/>
        </w:rPr>
      </w:pPr>
    </w:p>
    <w:p>
      <w:pPr>
        <w:ind w:left="800" w:right="500" w:hanging="713"/>
        <w:spacing w:after="0" w:line="268"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Credit Agreement, dated as of December 8, 2009 (Incorporated by reference to Exhibit 10.2 to the Company’s Registration Statement on Form S-1 (File No. 333- 167645))</w:t>
      </w:r>
    </w:p>
    <w:p>
      <w:pPr>
        <w:spacing w:after="0" w:line="78" w:lineRule="exact"/>
        <w:rPr>
          <w:sz w:val="20"/>
          <w:szCs w:val="20"/>
          <w:color w:val="auto"/>
        </w:rPr>
      </w:pPr>
    </w:p>
    <w:p>
      <w:pPr>
        <w:ind w:left="800" w:right="160" w:hanging="713"/>
        <w:spacing w:after="0" w:line="26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Loan Agreement, Waiver and Amendment No. 2 to the Credit Agreement, dated as of February 3, 2011 (Incorporated by reference to Exhibit 10.1 to the Company’s Periodic Report on Form 8-K (File No. 001-34972))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2" w:name="page33"/>
    <w:bookmarkEnd w:id="32"/>
    <w:p>
      <w:pPr>
        <w:ind w:left="820" w:right="100" w:hanging="809"/>
        <w:spacing w:after="0" w:line="332"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w:t>
      </w:r>
      <w:r>
        <w:rPr>
          <w:sz w:val="20"/>
          <w:szCs w:val="20"/>
          <w:color w:val="auto"/>
        </w:rPr>
        <w:tab/>
      </w:r>
      <w:r>
        <w:rPr>
          <w:rFonts w:ascii="Arial" w:cs="Arial" w:eastAsia="Arial" w:hAnsi="Arial"/>
          <w:sz w:val="16"/>
          <w:szCs w:val="16"/>
          <w:color w:val="auto"/>
        </w:rPr>
        <w:t>Second Amended and Restated Credit Agreement, as effected by the Loan Agreement, Waiver and Amendment No. 2 to the Credit Agreement, dated as of February 3, 2011 (Incorporated by reference to Exhibit 10.2 to the Company’s Periodic Report on Form 8-K (File No. 001-34972))</w:t>
      </w:r>
    </w:p>
    <w:p>
      <w:pPr>
        <w:spacing w:after="0" w:line="31" w:lineRule="exact"/>
        <w:rPr>
          <w:sz w:val="20"/>
          <w:szCs w:val="20"/>
          <w:color w:val="auto"/>
        </w:rPr>
      </w:pPr>
    </w:p>
    <w:p>
      <w:pPr>
        <w:jc w:val="both"/>
        <w:ind w:left="820" w:right="620" w:hanging="809"/>
        <w:spacing w:after="0" w:line="259"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Management Agreement, among Booz Allen Hamilton Holding Corporation (formerly known as Explorer Holding Corporation), Booz Allen Hamilton Inc., and TC Group V US, LLC, dated as of July 31, 2008 (Incorporated by reference to Exhibit 10.6 to the Company’s Registration Statement on Form S-1 (File No. 333-167645))</w:t>
      </w:r>
    </w:p>
    <w:p>
      <w:pPr>
        <w:spacing w:after="0" w:line="86" w:lineRule="exact"/>
        <w:rPr>
          <w:sz w:val="20"/>
          <w:szCs w:val="20"/>
          <w:color w:val="auto"/>
        </w:rPr>
      </w:pPr>
    </w:p>
    <w:p>
      <w:pPr>
        <w:ind w:left="820" w:right="680" w:hanging="809"/>
        <w:spacing w:after="0" w:line="268"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Equity Incentive Plan of Booz Allen Hamilton Holding Corporation (Incorporated by reference to Exhibit 10.7 to the Company’s Registration Statement on Form S-1 (File No. 333-167645))</w:t>
      </w:r>
    </w:p>
    <w:p>
      <w:pPr>
        <w:spacing w:after="0" w:line="78"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Booz Allen Hamilton Holding Corporation Officers’ Rollover Stock Plan (Incorporated by reference to Exhibit 10.8 to the Company’s Registration Statement on Form S-1 (File No. 333-167645))</w:t>
      </w:r>
    </w:p>
    <w:p>
      <w:pPr>
        <w:spacing w:after="0" w:line="78"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Booz Allen Hamilton Holding Corporation Rollover Stock Option Agreement (Incorporated by reference to Exhibit 10.9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10.10 to the Company’s Registration Statement on Form S-1 (File No. 333-167645))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10.11 to the Company’s Registration Statement on Form S-1 (File No. 333-167645))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Subscription Agreement (Incorporated by reference to Exhibit 10.12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ind w:left="820" w:right="300" w:hanging="809"/>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Agreement for Directors under the Equity Incentive Plan of Booz Allen Hamilton Holding Corporation (Incorporated by reference to Exhibit 10.13 to the Company’s Registration Statement on Form S-1 (File No. 333-167645))</w:t>
      </w:r>
    </w:p>
    <w:p>
      <w:pPr>
        <w:spacing w:after="0" w:line="78" w:lineRule="exact"/>
        <w:rPr>
          <w:sz w:val="20"/>
          <w:szCs w:val="20"/>
          <w:color w:val="auto"/>
        </w:rPr>
      </w:pPr>
    </w:p>
    <w:p>
      <w:pPr>
        <w:ind w:left="820" w:right="18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Agreement for Employees under the Equity Incentive Plan of Booz Allen Hamilton Holding Corporation (Incorporated by reference to Exhibit 10.14 to the Company’s Registration Statement on Form S-1 (File No. 333-167645))</w:t>
      </w:r>
    </w:p>
    <w:p>
      <w:pPr>
        <w:spacing w:after="0" w:line="78" w:lineRule="exact"/>
        <w:rPr>
          <w:sz w:val="20"/>
          <w:szCs w:val="20"/>
          <w:color w:val="auto"/>
        </w:rPr>
      </w:pPr>
    </w:p>
    <w:p>
      <w:pPr>
        <w:ind w:left="820" w:right="66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Booz Allen Hamilton Holding Corporation Annual Incentive Plan (Incorporated by reference to Exhibit 10.15 to the Company’s Registration Statement on Form S-1 (File No. 333-167645))</w:t>
      </w:r>
    </w:p>
    <w:p>
      <w:pPr>
        <w:spacing w:after="0" w:line="78" w:lineRule="exact"/>
        <w:rPr>
          <w:sz w:val="20"/>
          <w:szCs w:val="20"/>
          <w:color w:val="auto"/>
        </w:rPr>
      </w:pPr>
    </w:p>
    <w:p>
      <w:pPr>
        <w:ind w:left="820" w:right="420" w:hanging="809"/>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Booz Allen Hamilton Holding Corporation Officers’ Retirement Plan (Incorporated by reference to Exhibit 10.16 to the Company’s Registration Statement on Form S-1 (File No. 333-167645))</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Officer’s Comprehensive Medical and Dental Plans (Incorporated by reference to Exhibit 10.17 to the Company’s Registration Statement on Form S-1 (File No. 333-167645))</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Retired Officer’s Comprehensive Medical and Dental Plans (Incorporated by reference to Exhibit 10.18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Excess ECAP Payment Program (Incorporated by reference to Exhibit 10.19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Group Variable Universal Life Insurance (Incorporated by reference to Exhibit 10.20 to the Company’s Registration Statement on Form S-1 (File No.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333-167645))</w:t>
      </w:r>
    </w:p>
    <w:p>
      <w:pPr>
        <w:spacing w:after="0" w:line="111"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Group Personal Excess Liability Insurance (Incorporated by reference to Exhibit 10.21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Annual Performance Program (Incorporated by reference to Exhibit 10.22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Booz Allen Hamilton Holding Corporation Director and Officer Indemnification Agreement (Incorporated by reference to Exhibit 10.23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10.23 to the Company’s Annual Report for the year ended March 31, 2011 on Form 10-K (File No. 001-34972))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Officer Transition Policy (Incorporated by reference to Exhibit 10.24 to the Company’s Annual Report for the year ended March 31, 2011 on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(File No. 001-34972))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820" w:right="22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required by Rule 13a-14(b) or Rule 15d-14(b) and Section 1350 of Chapter 63 of Title 18 of the United States Code (18 U.S.C. 1350)*</w:t>
      </w:r>
    </w:p>
    <w:p>
      <w:pPr>
        <w:sectPr>
          <w:pgSz w:w="11900" w:h="16838" w:orient="portrait"/>
          <w:cols w:equalWidth="0" w:num="1">
            <w:col w:w="11400"/>
          </w:cols>
          <w:pgMar w:left="240" w:top="388"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388" w:right="259" w:bottom="1440" w:gutter="0" w:footer="0" w:header="0"/>
          <w:type w:val="continuous"/>
        </w:sectPr>
      </w:pPr>
    </w:p>
    <w:bookmarkStart w:id="33" w:name="page34"/>
    <w:bookmarkEnd w:id="33"/>
    <w:p>
      <w:pPr>
        <w:ind w:left="692" w:right="260" w:hanging="688"/>
        <w:spacing w:after="0" w:line="268" w:lineRule="auto"/>
        <w:tabs>
          <w:tab w:leader="none" w:pos="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32.2</w:t>
      </w:r>
      <w:r>
        <w:rPr>
          <w:sz w:val="20"/>
          <w:szCs w:val="20"/>
          <w:color w:val="auto"/>
        </w:rPr>
        <w:tab/>
      </w:r>
      <w:r>
        <w:rPr>
          <w:rFonts w:ascii="Arial" w:cs="Arial" w:eastAsia="Arial" w:hAnsi="Arial"/>
          <w:sz w:val="18"/>
          <w:szCs w:val="18"/>
          <w:color w:val="auto"/>
        </w:rPr>
        <w:t>Certification of the Chief Financial Officer required by Rule 13a-14(b) or Rule 15d-14(b) and Section 1350 of Chapter 63 of Title 18 of the United States Code (18 U.S.C. 1350)*</w:t>
      </w:r>
    </w:p>
    <w:p>
      <w:pPr>
        <w:spacing w:after="0" w:line="78" w:lineRule="exact"/>
        <w:rPr>
          <w:sz w:val="20"/>
          <w:szCs w:val="20"/>
          <w:color w:val="auto"/>
        </w:rPr>
      </w:pPr>
    </w:p>
    <w:p>
      <w:pPr>
        <w:ind w:left="692" w:hanging="692"/>
        <w:spacing w:after="0" w:line="318" w:lineRule="auto"/>
        <w:tabs>
          <w:tab w:leader="none" w:pos="692"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following materials from Booz Allen Hamilton Holding Corporation’s Quarterly Report on Form 10-Q for the three months ended December 31, 2011, formatted in XBRL (eXtensible Business Reporting Language): (i) Condensed Consolidated Statements of Operations for the three and nine months ended December 31, 2011 and 2010; (ii) Condensed Consolidated Statements of Comprehensive Income for the three and nine months ended December 31, 2011 and 2010; (iii) Condensed Consolidated Balance Sheets at December 31, 2011 and March 31, 2011; (iv) Condensed Consolidated Statements of Cash Flows for the nine months ended December 31, 2011 and 2010;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6"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15" w:lineRule="exact"/>
        <w:rPr>
          <w:sz w:val="20"/>
          <w:szCs w:val="20"/>
          <w:color w:val="auto"/>
        </w:rPr>
      </w:pPr>
    </w:p>
    <w:p>
      <w:pPr>
        <w:ind w:left="452" w:right="100" w:hanging="452"/>
        <w:spacing w:after="0" w:line="302"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52"/>
          </w:cols>
          <w:pgMar w:left="248" w:top="388" w:right="399" w:bottom="1440" w:gutter="0" w:footer="0" w:header="0"/>
        </w:sectPr>
      </w:pPr>
    </w:p>
    <w:bookmarkStart w:id="34" w:name="page35"/>
    <w:bookmarkEnd w:id="3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84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spacing w:after="0"/>
        <w:tabs>
          <w:tab w:leader="none" w:pos="5720" w:val="left"/>
          <w:tab w:leader="none" w:pos="6380" w:val="left"/>
        </w:tabs>
        <w:rPr>
          <w:sz w:val="20"/>
          <w:szCs w:val="20"/>
          <w:color w:val="auto"/>
        </w:rPr>
      </w:pPr>
      <w:r>
        <w:rPr>
          <w:rFonts w:ascii="Arial" w:cs="Arial" w:eastAsia="Arial" w:hAnsi="Arial"/>
          <w:sz w:val="18"/>
          <w:szCs w:val="18"/>
          <w:color w:val="auto"/>
        </w:rPr>
        <w:t>Date: February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Samuel R. Strickland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Chief Financial Officer, Chief Administrative Officer and Director</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240" w:top="274" w:right="5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NOTICE</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otherwise defined herein, the terms defined in the Amended and Restated Equity Incentive Plan of Booz Allen Hamilton Holding Corporation (the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same defined meanings in this Stock Option Agreement, which includes the terms in this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Appendices A, B</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C</w:t>
      </w:r>
      <w:r>
        <w:rPr>
          <w:rFonts w:ascii="Arial" w:cs="Arial" w:eastAsia="Arial" w:hAnsi="Arial"/>
          <w:sz w:val="18"/>
          <w:szCs w:val="18"/>
          <w:color w:val="auto"/>
        </w:rPr>
        <w:t xml:space="preserve"> attached hereto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You have been granted an Option to purchase Class A Common Stock of Booz Allen Hamilton Holding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subject to the terms and conditions of the Plan and this Agreement,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Type of Option:</w:t>
            </w:r>
          </w:p>
        </w:tc>
        <w:tc>
          <w:tcPr>
            <w:tcW w:w="7580" w:type="dxa"/>
            <w:vAlign w:val="bottom"/>
            <w:gridSpan w:val="3"/>
          </w:tcPr>
          <w:p>
            <w:pPr>
              <w:ind w:left="2200"/>
              <w:spacing w:after="0"/>
              <w:rPr>
                <w:sz w:val="20"/>
                <w:szCs w:val="20"/>
                <w:color w:val="auto"/>
              </w:rPr>
            </w:pPr>
            <w:r>
              <w:rPr>
                <w:rFonts w:ascii="Arial" w:cs="Arial" w:eastAsia="Arial" w:hAnsi="Arial"/>
                <w:sz w:val="18"/>
                <w:szCs w:val="18"/>
                <w:color w:val="auto"/>
              </w:rPr>
              <w:t>Non-Qualified Stock Option</w:t>
            </w: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Final Expiration Date:</w:t>
            </w:r>
          </w:p>
        </w:tc>
        <w:tc>
          <w:tcPr>
            <w:tcW w:w="7580" w:type="dxa"/>
            <w:vAlign w:val="bottom"/>
            <w:gridSpan w:val="3"/>
          </w:tcPr>
          <w:p>
            <w:pPr>
              <w:ind w:left="2200"/>
              <w:spacing w:after="0"/>
              <w:rPr>
                <w:sz w:val="20"/>
                <w:szCs w:val="20"/>
                <w:color w:val="auto"/>
              </w:rPr>
            </w:pPr>
            <w:r>
              <w:rPr>
                <w:rFonts w:ascii="Arial" w:cs="Arial" w:eastAsia="Arial" w:hAnsi="Arial"/>
                <w:sz w:val="18"/>
                <w:szCs w:val="18"/>
                <w:color w:val="auto"/>
              </w:rPr>
              <w:t>Ten years from the date of grant</w:t>
            </w: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Vesting Schedule:</w:t>
            </w:r>
          </w:p>
        </w:tc>
        <w:tc>
          <w:tcPr>
            <w:tcW w:w="7580" w:type="dxa"/>
            <w:vAlign w:val="bottom"/>
            <w:gridSpan w:val="3"/>
          </w:tcPr>
          <w:p>
            <w:pPr>
              <w:ind w:left="2200"/>
              <w:spacing w:after="0"/>
              <w:rPr>
                <w:sz w:val="20"/>
                <w:szCs w:val="20"/>
                <w:color w:val="auto"/>
              </w:rPr>
            </w:pPr>
            <w:r>
              <w:rPr>
                <w:rFonts w:ascii="Arial" w:cs="Arial" w:eastAsia="Arial" w:hAnsi="Arial"/>
                <w:sz w:val="18"/>
                <w:szCs w:val="18"/>
                <w:color w:val="auto"/>
                <w:w w:val="88"/>
              </w:rPr>
              <w:t>This Option will vest and become exercisable in accordance with the vesting</w:t>
            </w:r>
          </w:p>
        </w:tc>
      </w:tr>
      <w:tr>
        <w:trPr>
          <w:trHeight w:val="184"/>
        </w:trPr>
        <w:tc>
          <w:tcPr>
            <w:tcW w:w="3760" w:type="dxa"/>
            <w:vAlign w:val="bottom"/>
          </w:tcPr>
          <w:p>
            <w:pPr>
              <w:spacing w:after="0"/>
              <w:rPr>
                <w:sz w:val="15"/>
                <w:szCs w:val="15"/>
                <w:color w:val="auto"/>
              </w:rPr>
            </w:pPr>
          </w:p>
        </w:tc>
        <w:tc>
          <w:tcPr>
            <w:tcW w:w="7580" w:type="dxa"/>
            <w:vAlign w:val="bottom"/>
            <w:gridSpan w:val="3"/>
          </w:tcPr>
          <w:p>
            <w:pPr>
              <w:ind w:left="2200"/>
              <w:spacing w:after="0" w:line="184" w:lineRule="exact"/>
              <w:rPr>
                <w:sz w:val="20"/>
                <w:szCs w:val="20"/>
                <w:color w:val="auto"/>
              </w:rPr>
            </w:pPr>
            <w:r>
              <w:rPr>
                <w:rFonts w:ascii="Arial" w:cs="Arial" w:eastAsia="Arial" w:hAnsi="Arial"/>
                <w:sz w:val="18"/>
                <w:szCs w:val="18"/>
                <w:color w:val="auto"/>
                <w:w w:val="94"/>
              </w:rPr>
              <w:t>schedule set forth in Appendix A, depending on the classification of the</w:t>
            </w:r>
          </w:p>
        </w:tc>
      </w:tr>
      <w:tr>
        <w:trPr>
          <w:trHeight w:val="20"/>
        </w:trPr>
        <w:tc>
          <w:tcPr>
            <w:tcW w:w="3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35"/>
        </w:trPr>
        <w:tc>
          <w:tcPr>
            <w:tcW w:w="3760" w:type="dxa"/>
            <w:vAlign w:val="bottom"/>
          </w:tcPr>
          <w:p>
            <w:pPr>
              <w:spacing w:after="0"/>
              <w:rPr>
                <w:sz w:val="20"/>
                <w:szCs w:val="20"/>
                <w:color w:val="auto"/>
              </w:rPr>
            </w:pPr>
          </w:p>
        </w:tc>
        <w:tc>
          <w:tcPr>
            <w:tcW w:w="7580" w:type="dxa"/>
            <w:vAlign w:val="bottom"/>
            <w:gridSpan w:val="3"/>
          </w:tcPr>
          <w:p>
            <w:pPr>
              <w:ind w:left="2200"/>
              <w:spacing w:after="0"/>
              <w:rPr>
                <w:sz w:val="20"/>
                <w:szCs w:val="20"/>
                <w:color w:val="auto"/>
              </w:rPr>
            </w:pPr>
            <w:r>
              <w:rPr>
                <w:rFonts w:ascii="Arial" w:cs="Arial" w:eastAsia="Arial" w:hAnsi="Arial"/>
                <w:sz w:val="18"/>
                <w:szCs w:val="18"/>
                <w:color w:val="auto"/>
              </w:rPr>
              <w:t>Option, as specified in the grant.</w:t>
            </w:r>
          </w:p>
        </w:tc>
      </w:tr>
    </w:tbl>
    <w:p>
      <w:pPr>
        <w:spacing w:after="0" w:line="156"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 xml:space="preserve">Your acknowledgment of this grant indicates your agreement and understanding that this Option is subject to all of the terms and conditions contained in the Agreement (including this Grant Notice and </w:t>
      </w:r>
      <w:r>
        <w:rPr>
          <w:rFonts w:ascii="Arial" w:cs="Arial" w:eastAsia="Arial" w:hAnsi="Arial"/>
          <w:sz w:val="16"/>
          <w:szCs w:val="16"/>
          <w:u w:val="single" w:color="auto"/>
          <w:color w:val="auto"/>
        </w:rPr>
        <w:t>Appendices A</w:t>
      </w:r>
      <w:r>
        <w:rPr>
          <w:rFonts w:ascii="Arial" w:cs="Arial" w:eastAsia="Arial" w:hAnsi="Arial"/>
          <w:sz w:val="16"/>
          <w:szCs w:val="16"/>
          <w:color w:val="auto"/>
        </w:rPr>
        <w:t xml:space="preserve"> ,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to the Agreement) and the Plan. </w:t>
      </w:r>
      <w:r>
        <w:rPr>
          <w:rFonts w:ascii="Arial" w:cs="Arial" w:eastAsia="Arial" w:hAnsi="Arial"/>
          <w:sz w:val="16"/>
          <w:szCs w:val="16"/>
          <w:b w:val="1"/>
          <w:bCs w:val="1"/>
          <w:color w:val="auto"/>
        </w:rPr>
        <w:t>ACCORDINGLY, PLEASE BE SURE TO READ ALL OF</w:t>
      </w:r>
    </w:p>
    <w:p>
      <w:pPr>
        <w:ind w:right="140"/>
        <w:spacing w:after="0" w:line="255" w:lineRule="auto"/>
        <w:rPr>
          <w:sz w:val="20"/>
          <w:szCs w:val="20"/>
          <w:color w:val="auto"/>
        </w:rPr>
      </w:pPr>
      <w:r>
        <w:rPr>
          <w:rFonts w:ascii="Arial" w:cs="Arial" w:eastAsia="Arial" w:hAnsi="Arial"/>
          <w:sz w:val="18"/>
          <w:szCs w:val="18"/>
          <w:b w:val="1"/>
          <w:bCs w:val="1"/>
          <w:color w:val="auto"/>
        </w:rPr>
        <w:t xml:space="preserve">THE PLAN AND </w:t>
      </w:r>
      <w:r>
        <w:rPr>
          <w:rFonts w:ascii="Arial" w:cs="Arial" w:eastAsia="Arial" w:hAnsi="Arial"/>
          <w:sz w:val="18"/>
          <w:szCs w:val="18"/>
          <w:b w:val="1"/>
          <w:bCs w:val="1"/>
          <w:u w:val="single" w:color="auto"/>
          <w:color w:val="auto"/>
        </w:rPr>
        <w:t>APPENDICES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C</w:t>
      </w:r>
      <w:r>
        <w:rPr>
          <w:rFonts w:ascii="Arial" w:cs="Arial" w:eastAsia="Arial" w:hAnsi="Arial"/>
          <w:sz w:val="18"/>
          <w:szCs w:val="18"/>
          <w:b w:val="1"/>
          <w:bCs w:val="1"/>
          <w:color w:val="auto"/>
        </w:rPr>
        <w:t xml:space="preserve"> TO THE AGREEMENT WHICH CONTAIN THE SPECIFIC TERMS AND CONDITIONS OF THIS OPTION. IN PARTICULAR, BY ACKNOWLEDGMENT OF THIS GRANT, YOU AGREE TO THE TERMS AND CONDITIONS CONTAINED IN THE AGREEMENT RELATING TO ELECTRONIC DELIVERY OF ANY DOCUMENTS RELATED TO THE OPTION.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6" w:name="page37"/>
    <w:bookmarkEnd w:id="36"/>
    <w:p>
      <w:pPr>
        <w:ind w:left="37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 TO STOCK OPTION AGREEMENT</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GRANT OF OPTION</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Section 1.1 Grant of Option</w:t>
      </w:r>
      <w:r>
        <w:rPr>
          <w:rFonts w:ascii="Arial" w:cs="Arial" w:eastAsia="Arial" w:hAnsi="Arial"/>
          <w:sz w:val="16"/>
          <w:szCs w:val="16"/>
          <w:color w:val="auto"/>
        </w:rPr>
        <w:t xml:space="preserve">. The Company hereby grants to the Optionee the Option to purchase any part or all of an aggregate of the Shares, upon the terms and conditions set forth in the Plan and this Agreement (including the Grant Notice, this Appendix,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C</w:t>
      </w:r>
      <w:r>
        <w:rPr>
          <w:rFonts w:ascii="Arial" w:cs="Arial" w:eastAsia="Arial" w:hAnsi="Arial"/>
          <w:sz w:val="16"/>
          <w:szCs w:val="16"/>
          <w:color w:val="auto"/>
        </w:rPr>
        <w:t>).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11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u w:val="single" w:color="auto"/>
          <w:color w:val="auto"/>
        </w:rPr>
        <w:t>Section 1.2 Option Subject to Plan</w:t>
      </w:r>
      <w:r>
        <w:rPr>
          <w:rFonts w:ascii="Arial" w:cs="Arial" w:eastAsia="Arial" w:hAnsi="Arial"/>
          <w:sz w:val="18"/>
          <w:szCs w:val="18"/>
          <w:color w:val="auto"/>
        </w:rPr>
        <w:t>. The Option granted hereunder is subject to the terms and provisions of the Plan, including, but not limited to, Article V, Article XI, Article XII, Article XIII and Article XIV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 Exercise Price</w:t>
      </w:r>
      <w:r>
        <w:rPr>
          <w:rFonts w:ascii="Arial" w:cs="Arial" w:eastAsia="Arial" w:hAnsi="Arial"/>
          <w:sz w:val="18"/>
          <w:szCs w:val="18"/>
          <w:color w:val="auto"/>
        </w:rPr>
        <w:t>. The Exercise Price of the Shares covered by the Option does not include commission or other charge.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VESTING SCHEDULE; EXERCISABILITY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 Vesting and Exercisability of the Time Option</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68"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Except as provided below, the Time Option shall become vested and exercisable, so long as the Optionee remains continuously in service as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Provider, from the date hereof through each relevant date set forth below, as follows: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of the Time Option shall become vested and exercisable on June 30, 2012;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of the Time Option shall become vested and exercisable on June 30, 2013;</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of the Time Option shall become vested and exercisable on June 30, 2014;</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of the Time Option shall become vested and exercisable on June 30, 2015;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of the Time Option shall become vested and exercisable on June 30, 2016.</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Vesting. </w:t>
      </w:r>
      <w:r>
        <w:rPr>
          <w:rFonts w:ascii="Arial" w:cs="Arial" w:eastAsia="Arial" w:hAnsi="Arial"/>
          <w:sz w:val="18"/>
          <w:szCs w:val="18"/>
          <w:color w:val="auto"/>
        </w:rPr>
        <w:t>Upon the occurrence of a Change in Control, any Time Option shall vest as set forth in Section 2.11.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90" w:right="239" w:bottom="1440" w:gutter="0" w:footer="0" w:header="0"/>
        </w:sectPr>
      </w:pPr>
    </w:p>
    <w:bookmarkStart w:id="37" w:name="page38"/>
    <w:bookmarkEnd w:id="37"/>
    <w:p>
      <w:pPr>
        <w:ind w:right="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Vesting</w:t>
      </w:r>
      <w:r>
        <w:rPr>
          <w:rFonts w:ascii="Arial" w:cs="Arial" w:eastAsia="Arial" w:hAnsi="Arial"/>
          <w:sz w:val="18"/>
          <w:szCs w:val="18"/>
          <w:color w:val="auto"/>
        </w:rPr>
        <w:t>. The Administrator in its sole discretion may accelerate the vesting of any portion of the Time Option that does not otherwise vest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2.2 Vesting and Exercisability of the Performance Option</w:t>
      </w:r>
      <w:r>
        <w:rPr>
          <w:rFonts w:ascii="Arial" w:cs="Arial" w:eastAsia="Arial" w:hAnsi="Arial"/>
          <w:sz w:val="18"/>
          <w:szCs w:val="18"/>
          <w:color w:val="auto"/>
        </w:rPr>
        <w:t>.</w:t>
      </w:r>
    </w:p>
    <w:p>
      <w:pPr>
        <w:spacing w:after="0" w:line="171" w:lineRule="exact"/>
        <w:rPr>
          <w:sz w:val="20"/>
          <w:szCs w:val="20"/>
          <w:color w:val="auto"/>
        </w:rPr>
      </w:pPr>
    </w:p>
    <w:p>
      <w:pPr>
        <w:jc w:val="both"/>
        <w:ind w:right="40" w:firstLine="464"/>
        <w:spacing w:after="0" w:line="255"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Based Vesting. </w:t>
      </w:r>
      <w:r>
        <w:rPr>
          <w:rFonts w:ascii="Arial" w:cs="Arial" w:eastAsia="Arial" w:hAnsi="Arial"/>
          <w:sz w:val="18"/>
          <w:szCs w:val="18"/>
          <w:color w:val="auto"/>
        </w:rPr>
        <w:t>Subject to the provisions set forth below, the Performance Option shall vest and become exercisable as follows: 20%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Option shall vest and become exercisable on June 30 of each year beginning on June 30, 2012 and ending on June 30, 2016 if, in each case, on such date (or, if the audited financial statements for the Company have not been finalized by such date, within 30 days thereafter), the Administrator determines that the following conditions are met as of the end of the immediately preceding Fiscal Year (each such Fiscal Year through Fiscal Year 2017, an “</w:t>
      </w:r>
      <w:r>
        <w:rPr>
          <w:rFonts w:ascii="Arial" w:cs="Arial" w:eastAsia="Arial" w:hAnsi="Arial"/>
          <w:sz w:val="18"/>
          <w:szCs w:val="18"/>
          <w:u w:val="single" w:color="auto"/>
          <w:color w:val="auto"/>
        </w:rPr>
        <w:t>Applicable Year</w:t>
      </w:r>
      <w:r>
        <w:rPr>
          <w:rFonts w:ascii="Arial" w:cs="Arial" w:eastAsia="Arial" w:hAnsi="Arial"/>
          <w:sz w:val="18"/>
          <w:szCs w:val="18"/>
          <w:color w:val="auto"/>
        </w:rPr>
        <w:t>” and, such vesting, the “</w:t>
      </w:r>
      <w:r>
        <w:rPr>
          <w:rFonts w:ascii="Arial" w:cs="Arial" w:eastAsia="Arial" w:hAnsi="Arial"/>
          <w:sz w:val="18"/>
          <w:szCs w:val="18"/>
          <w:u w:val="single" w:color="auto"/>
          <w:color w:val="auto"/>
        </w:rPr>
        <w:t>Yearly Performance Based Vesting</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460" w:right="40" w:firstLine="443"/>
        <w:spacing w:after="0" w:line="256" w:lineRule="auto"/>
        <w:tabs>
          <w:tab w:leader="none" w:pos="11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EBITDA for the Applicable Year equals or exceeds the EBITDA Target for the Applicable Year, then 65% of such installment (consisting of 13% of the Performance Option) shall become vested and exercisable (“</w:t>
      </w:r>
      <w:r>
        <w:rPr>
          <w:rFonts w:ascii="Arial" w:cs="Arial" w:eastAsia="Arial" w:hAnsi="Arial"/>
          <w:sz w:val="18"/>
          <w:szCs w:val="18"/>
          <w:u w:val="single" w:color="auto"/>
          <w:color w:val="auto"/>
        </w:rPr>
        <w:t>EBITDA Vesting</w:t>
      </w:r>
      <w:r>
        <w:rPr>
          <w:rFonts w:ascii="Arial" w:cs="Arial" w:eastAsia="Arial" w:hAnsi="Arial"/>
          <w:sz w:val="18"/>
          <w:szCs w:val="18"/>
          <w:color w:val="auto"/>
        </w:rPr>
        <w:t>”) and if EBITDA for the Applicable Year is less than 90% of the EBITDA Target for the Applicable Year, then 65% of such installment (consisting of 13% of the Performance Option) shall terminate and shall not become exercisable; and</w:t>
      </w:r>
    </w:p>
    <w:p>
      <w:pPr>
        <w:spacing w:after="0" w:line="62" w:lineRule="exact"/>
        <w:rPr>
          <w:rFonts w:ascii="Arial" w:cs="Arial" w:eastAsia="Arial" w:hAnsi="Arial"/>
          <w:sz w:val="18"/>
          <w:szCs w:val="18"/>
          <w:color w:val="auto"/>
        </w:rPr>
      </w:pPr>
    </w:p>
    <w:p>
      <w:pPr>
        <w:ind w:left="460" w:right="80" w:firstLine="443"/>
        <w:spacing w:after="0" w:line="291" w:lineRule="auto"/>
        <w:tabs>
          <w:tab w:leader="none" w:pos="11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Cumulative Cash Flow for the Applicable Year equals or exceeds the Cumulative Cash Flow Target for such Applicable Year, then the remaining 35% of such installment (consisting of 7% of the Performance Option) shall become vested and exercisable (“</w:t>
      </w:r>
      <w:r>
        <w:rPr>
          <w:rFonts w:ascii="Arial" w:cs="Arial" w:eastAsia="Arial" w:hAnsi="Arial"/>
          <w:sz w:val="16"/>
          <w:szCs w:val="16"/>
          <w:u w:val="single" w:color="auto"/>
          <w:color w:val="auto"/>
        </w:rPr>
        <w:t>Cumulative Cash Flow Vesting</w:t>
      </w:r>
      <w:r>
        <w:rPr>
          <w:rFonts w:ascii="Arial" w:cs="Arial" w:eastAsia="Arial" w:hAnsi="Arial"/>
          <w:sz w:val="16"/>
          <w:szCs w:val="16"/>
          <w:color w:val="auto"/>
        </w:rPr>
        <w:t>”). In addition, if the Cumulative Cash Flow for an Applicable Year equals or exceeds the Cumulative Cash Flow Target for such Applicable Year, any portion of the Performance Option subject to Cumulative Cash Flow Vesting that did not vest and become exercisable with respect to a prior Applicable Year shall become vested and exercisable on the June 30 following such Applicable Year for which the Cumulative Cash Flow Target is achieved. Any Performance Option subject to Cumulative Cash Flow Vesting that has not vested as of June 30, 2016 shall terminate and shall not become exercisable.</w:t>
      </w:r>
    </w:p>
    <w:p>
      <w:pPr>
        <w:spacing w:after="0" w:line="120" w:lineRule="exact"/>
        <w:rPr>
          <w:rFonts w:ascii="Arial" w:cs="Arial" w:eastAsia="Arial" w:hAnsi="Arial"/>
          <w:sz w:val="16"/>
          <w:szCs w:val="16"/>
          <w:color w:val="auto"/>
        </w:rPr>
      </w:pPr>
    </w:p>
    <w:p>
      <w:pPr>
        <w:ind w:firstLine="464"/>
        <w:spacing w:after="0" w:line="253"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Catch-up Vesting. </w:t>
      </w:r>
      <w:r>
        <w:rPr>
          <w:rFonts w:ascii="Arial" w:cs="Arial" w:eastAsia="Arial" w:hAnsi="Arial"/>
          <w:sz w:val="18"/>
          <w:szCs w:val="18"/>
          <w:color w:val="auto"/>
        </w:rPr>
        <w:t>Except as provided below, the Performance Option subject to EBITDA Vesting which would otherwise fail to become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in accordance with Section 2.2(a)(i) shall be eligible for vesting in accordance with this Section 2.2(b). If EBITDA for the Applicable Year is less than the EBITDA Target for such Applicable Year but at least 90% of the EBITDA Target for such Applicable Year (the “</w:t>
      </w:r>
      <w:r>
        <w:rPr>
          <w:rFonts w:ascii="Arial" w:cs="Arial" w:eastAsia="Arial" w:hAnsi="Arial"/>
          <w:sz w:val="18"/>
          <w:szCs w:val="18"/>
          <w:u w:val="single" w:color="auto"/>
          <w:color w:val="auto"/>
        </w:rPr>
        <w:t>EBITDA Missed Year</w:t>
      </w:r>
      <w:r>
        <w:rPr>
          <w:rFonts w:ascii="Arial" w:cs="Arial" w:eastAsia="Arial" w:hAnsi="Arial"/>
          <w:sz w:val="18"/>
          <w:szCs w:val="18"/>
          <w:color w:val="auto"/>
        </w:rPr>
        <w:t>”), that portion of the Performance Option that was subject to EBITDA Vesting with respect to the EBITDA Missed Year shall become exercisable on the June 30 following the first Fiscal Year or second Fiscal Year thereafter, (or in the event the EBITDA Missed Year is Fiscal Year 2016, June 30, 2017) (any such year, the “</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w:t>
      </w:r>
      <w:r>
        <w:rPr>
          <w:rFonts w:ascii="Arial" w:cs="Arial" w:eastAsia="Arial" w:hAnsi="Arial"/>
          <w:sz w:val="18"/>
          <w:szCs w:val="18"/>
          <w:u w:val="single" w:color="auto"/>
          <w:color w:val="auto"/>
        </w:rPr>
        <w:t>Cumulative Catch Up Year</w:t>
      </w:r>
      <w:r>
        <w:rPr>
          <w:rFonts w:ascii="Arial" w:cs="Arial" w:eastAsia="Arial" w:hAnsi="Arial"/>
          <w:sz w:val="18"/>
          <w:szCs w:val="18"/>
          <w:color w:val="auto"/>
        </w:rPr>
        <w:t>”) if, on such date (or, if the audited financial statements for the Company have not been finalized by such date, within 30 days thereafter), the Administrator determines that in the EBITDA Cumulative Catch Up Year: (i) EBITDA equals or exceeds the EBITDA Target for the EBITDA Cumulative Catch Up Year;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38" w:name="page39"/>
    <w:bookmarkEnd w:id="3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(ii) the Cumulative EBITDA equals or exceeds the Cumulative EBITDA Target for the EBITDA Cumulative Catch Up Year, and any Performance Option subject to EBITDA Vesting that does not vest as of June 30 of the Fiscal Year after the final EBITDA Cumulative Catch Up Year with respect to such Option shall terminate and shall not become exercisable.</w:t>
      </w:r>
    </w:p>
    <w:p>
      <w:pPr>
        <w:spacing w:after="0" w:line="140" w:lineRule="exact"/>
        <w:rPr>
          <w:sz w:val="20"/>
          <w:szCs w:val="20"/>
          <w:color w:val="auto"/>
        </w:rPr>
      </w:pPr>
    </w:p>
    <w:p>
      <w:pPr>
        <w:ind w:left="700" w:hanging="23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Vesting. </w:t>
      </w:r>
      <w:r>
        <w:rPr>
          <w:rFonts w:ascii="Arial" w:cs="Arial" w:eastAsia="Arial" w:hAnsi="Arial"/>
          <w:sz w:val="16"/>
          <w:szCs w:val="16"/>
          <w:color w:val="auto"/>
        </w:rPr>
        <w:t>Upon the occurrence of a Change in Control, any Performance Option shall vest as set forth in Section 2.11.</w:t>
      </w:r>
    </w:p>
    <w:p>
      <w:pPr>
        <w:spacing w:after="0" w:line="194"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Discretionary Vesting</w:t>
      </w:r>
      <w:r>
        <w:rPr>
          <w:rFonts w:ascii="Arial" w:cs="Arial" w:eastAsia="Arial" w:hAnsi="Arial"/>
          <w:sz w:val="18"/>
          <w:szCs w:val="18"/>
          <w:color w:val="auto"/>
        </w:rPr>
        <w:t>. The Administrator in its sole discretion may accelerate the vesting of any portion of the Performance Option that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vest pursuant to this Section 2.2.</w:t>
      </w:r>
    </w:p>
    <w:p>
      <w:pPr>
        <w:spacing w:after="0" w:line="1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u w:val="single" w:color="auto"/>
          <w:color w:val="auto"/>
        </w:rPr>
        <w:t>Section 2.3 Administrator Determination of Targets</w:t>
      </w:r>
      <w:r>
        <w:rPr>
          <w:rFonts w:ascii="Arial" w:cs="Arial" w:eastAsia="Arial" w:hAnsi="Arial"/>
          <w:sz w:val="18"/>
          <w:szCs w:val="18"/>
          <w:color w:val="auto"/>
        </w:rPr>
        <w:t>. The Administrator shall make the determination as to whether the respective EBITDA Targets, Cumulative EBITDA Targets and Cumulative Cash Flow Targets, have been met, and shall determine the extent, if any, to which the Option has become exercisable, on any such date as the Administrator in its sole discretion shall determine; provided, however, that with respect to each Fiscal Year such date shall not be later than the 120th day following the end of such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2.4 Termination of Employment or Service; Final Performance Option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Due to Death. </w:t>
      </w:r>
      <w:r>
        <w:rPr>
          <w:rFonts w:ascii="Arial" w:cs="Arial" w:eastAsia="Arial" w:hAnsi="Arial"/>
          <w:sz w:val="18"/>
          <w:szCs w:val="18"/>
          <w:color w:val="auto"/>
        </w:rPr>
        <w:t>If an Optionee’s employment or service terminates due to the Optionee’s death, all Options shall immediately vest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first anniversary of the date of the Optionee’s death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140" w:lineRule="exact"/>
        <w:rPr>
          <w:rFonts w:ascii="Arial" w:cs="Arial" w:eastAsia="Arial" w:hAnsi="Arial"/>
          <w:sz w:val="18"/>
          <w:szCs w:val="18"/>
          <w:color w:val="auto"/>
        </w:rPr>
      </w:pPr>
    </w:p>
    <w:p>
      <w:pPr>
        <w:ind w:right="220" w:firstLine="464"/>
        <w:spacing w:after="0" w:line="256"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Due to Disability. </w:t>
      </w:r>
      <w:r>
        <w:rPr>
          <w:rFonts w:ascii="Arial" w:cs="Arial" w:eastAsia="Arial" w:hAnsi="Arial"/>
          <w:sz w:val="18"/>
          <w:szCs w:val="18"/>
          <w:color w:val="auto"/>
        </w:rPr>
        <w:t>If an Optionee’s employment or service terminates due to the Optionee’s Disability, unvested Options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 and shall continue to vest in accordance with the schedule set forth in this Stock Option Agreement. All vested Options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later of the first anniversary of either (</w:t>
      </w:r>
      <w:r>
        <w:rPr>
          <w:rFonts w:ascii="Arial" w:cs="Arial" w:eastAsia="Arial" w:hAnsi="Arial"/>
          <w:sz w:val="18"/>
          <w:szCs w:val="18"/>
          <w:u w:val="single" w:color="auto"/>
          <w:color w:val="auto"/>
        </w:rPr>
        <w:t>x</w:t>
      </w:r>
      <w:r>
        <w:rPr>
          <w:rFonts w:ascii="Arial" w:cs="Arial" w:eastAsia="Arial" w:hAnsi="Arial"/>
          <w:sz w:val="18"/>
          <w:szCs w:val="18"/>
          <w:color w:val="auto"/>
        </w:rPr>
        <w:t>) the date of termination due to Disability or (</w:t>
      </w:r>
      <w:r>
        <w:rPr>
          <w:rFonts w:ascii="Arial" w:cs="Arial" w:eastAsia="Arial" w:hAnsi="Arial"/>
          <w:sz w:val="18"/>
          <w:szCs w:val="18"/>
          <w:u w:val="single" w:color="auto"/>
          <w:color w:val="auto"/>
        </w:rPr>
        <w:t>y</w:t>
      </w:r>
      <w:r>
        <w:rPr>
          <w:rFonts w:ascii="Arial" w:cs="Arial" w:eastAsia="Arial" w:hAnsi="Arial"/>
          <w:sz w:val="18"/>
          <w:szCs w:val="18"/>
          <w:color w:val="auto"/>
        </w:rPr>
        <w:t>) the date of vesting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143" w:lineRule="exact"/>
        <w:rPr>
          <w:rFonts w:ascii="Arial" w:cs="Arial" w:eastAsia="Arial" w:hAnsi="Arial"/>
          <w:sz w:val="18"/>
          <w:szCs w:val="18"/>
          <w:color w:val="auto"/>
        </w:rPr>
      </w:pPr>
    </w:p>
    <w:p>
      <w:pPr>
        <w:jc w:val="both"/>
        <w:ind w:right="80" w:firstLine="464"/>
        <w:spacing w:after="0" w:line="255"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Reason of a Company Approved Departure. </w:t>
      </w:r>
      <w:r>
        <w:rPr>
          <w:rFonts w:ascii="Arial" w:cs="Arial" w:eastAsia="Arial" w:hAnsi="Arial"/>
          <w:sz w:val="18"/>
          <w:szCs w:val="18"/>
          <w:color w:val="auto"/>
        </w:rPr>
        <w:t>Unless otherwise determined by the Administrator, if an Optionee’s employment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in a Company Approved Departure, unvested Options shall not be forfeited and shall continue to vest in accordance with the schedule set forth in this Stock Option Agreement. All vested Options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later of the 60</w:t>
      </w:r>
      <w:r>
        <w:rPr>
          <w:rFonts w:ascii="Arial" w:cs="Arial" w:eastAsia="Arial" w:hAnsi="Arial"/>
          <w:sz w:val="11"/>
          <w:szCs w:val="11"/>
          <w:color w:val="auto"/>
        </w:rPr>
        <w:t>th</w:t>
      </w:r>
      <w:r>
        <w:rPr>
          <w:rFonts w:ascii="Arial" w:cs="Arial" w:eastAsia="Arial" w:hAnsi="Arial"/>
          <w:sz w:val="18"/>
          <w:szCs w:val="18"/>
          <w:color w:val="auto"/>
        </w:rPr>
        <w:t xml:space="preserve"> day after either (</w:t>
      </w:r>
      <w:r>
        <w:rPr>
          <w:rFonts w:ascii="Arial" w:cs="Arial" w:eastAsia="Arial" w:hAnsi="Arial"/>
          <w:sz w:val="18"/>
          <w:szCs w:val="18"/>
          <w:u w:val="single" w:color="auto"/>
          <w:color w:val="auto"/>
        </w:rPr>
        <w:t>x</w:t>
      </w:r>
      <w:r>
        <w:rPr>
          <w:rFonts w:ascii="Arial" w:cs="Arial" w:eastAsia="Arial" w:hAnsi="Arial"/>
          <w:sz w:val="18"/>
          <w:szCs w:val="18"/>
          <w:color w:val="auto"/>
        </w:rPr>
        <w:t>) the date of termination of Optionee’s employment or service or (</w:t>
      </w:r>
      <w:r>
        <w:rPr>
          <w:rFonts w:ascii="Arial" w:cs="Arial" w:eastAsia="Arial" w:hAnsi="Arial"/>
          <w:sz w:val="18"/>
          <w:szCs w:val="18"/>
          <w:u w:val="single" w:color="auto"/>
          <w:color w:val="auto"/>
        </w:rPr>
        <w:t>y</w:t>
      </w:r>
      <w:r>
        <w:rPr>
          <w:rFonts w:ascii="Arial" w:cs="Arial" w:eastAsia="Arial" w:hAnsi="Arial"/>
          <w:sz w:val="18"/>
          <w:szCs w:val="18"/>
          <w:color w:val="auto"/>
        </w:rPr>
        <w:t>) the date of vesting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Unless otherwise determined by the Administrator, if the Optionee’s employment or service terminates for Cause, 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vested or unvested, shall be immediately forfeited and canceled, effective as of the date of the Optionee’s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39" w:name="page40"/>
    <w:bookmarkEnd w:id="39"/>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or service. Notwithstanding the foregoing, unless otherwise determined by the Administrator and set forth in writing, any Option that vested during the twelve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143" w:lineRule="exact"/>
        <w:rPr>
          <w:sz w:val="20"/>
          <w:szCs w:val="20"/>
          <w:color w:val="auto"/>
        </w:rPr>
      </w:pPr>
    </w:p>
    <w:p>
      <w:pPr>
        <w:ind w:firstLine="464"/>
        <w:spacing w:after="0" w:line="284"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Termination for Any Other Reason</w:t>
      </w:r>
      <w:r>
        <w:rPr>
          <w:rFonts w:ascii="Arial" w:cs="Arial" w:eastAsia="Arial" w:hAnsi="Arial"/>
          <w:sz w:val="16"/>
          <w:szCs w:val="16"/>
          <w:color w:val="auto"/>
        </w:rPr>
        <w:t>. Unless otherwise determined by the Administrator and set forth in writing, if an Optionee’s employment or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terminates for any reason other than death, Disability, a Company Approved Departure, or Cause, all Options that are unvested shall be immediately forfeited and canceled, and all Options that are vested shall remain outstanding until (</w:t>
      </w:r>
      <w:r>
        <w:rPr>
          <w:rFonts w:ascii="Arial" w:cs="Arial" w:eastAsia="Arial" w:hAnsi="Arial"/>
          <w:sz w:val="16"/>
          <w:szCs w:val="16"/>
          <w:u w:val="single" w:color="auto"/>
          <w:color w:val="auto"/>
        </w:rPr>
        <w:t>x</w:t>
      </w:r>
      <w:r>
        <w:rPr>
          <w:rFonts w:ascii="Arial" w:cs="Arial" w:eastAsia="Arial" w:hAnsi="Arial"/>
          <w:sz w:val="16"/>
          <w:szCs w:val="16"/>
          <w:color w:val="auto"/>
        </w:rPr>
        <w:t>) the 60</w:t>
      </w:r>
      <w:r>
        <w:rPr>
          <w:rFonts w:ascii="Arial" w:cs="Arial" w:eastAsia="Arial" w:hAnsi="Arial"/>
          <w:sz w:val="10"/>
          <w:szCs w:val="10"/>
          <w:color w:val="auto"/>
        </w:rPr>
        <w:t>th</w:t>
      </w:r>
      <w:r>
        <w:rPr>
          <w:rFonts w:ascii="Arial" w:cs="Arial" w:eastAsia="Arial" w:hAnsi="Arial"/>
          <w:sz w:val="16"/>
          <w:szCs w:val="16"/>
          <w:color w:val="auto"/>
        </w:rPr>
        <w:t xml:space="preserve"> day after the date of termination of Optionee’s employment or service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w:t>
      </w:r>
      <w:r>
        <w:rPr>
          <w:rFonts w:ascii="Arial" w:cs="Arial" w:eastAsia="Arial" w:hAnsi="Arial"/>
          <w:sz w:val="18"/>
          <w:szCs w:val="18"/>
          <w:color w:val="auto"/>
        </w:rPr>
        <w:t>) the Final Expiration Date, whichever is earlier, after which any unexercised Options shall immediately terminate.</w:t>
      </w:r>
    </w:p>
    <w:p>
      <w:pPr>
        <w:spacing w:after="0" w:line="164" w:lineRule="exact"/>
        <w:rPr>
          <w:rFonts w:ascii="Arial" w:cs="Arial" w:eastAsia="Arial" w:hAnsi="Arial"/>
          <w:sz w:val="16"/>
          <w:szCs w:val="16"/>
          <w:color w:val="auto"/>
        </w:rPr>
      </w:pPr>
    </w:p>
    <w:p>
      <w:pPr>
        <w:ind w:right="100" w:firstLine="464"/>
        <w:spacing w:after="0" w:line="288" w:lineRule="auto"/>
        <w:tabs>
          <w:tab w:leader="none" w:pos="67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Final Performance Option. </w:t>
      </w:r>
      <w:r>
        <w:rPr>
          <w:rFonts w:ascii="Arial" w:cs="Arial" w:eastAsia="Arial" w:hAnsi="Arial"/>
          <w:sz w:val="16"/>
          <w:szCs w:val="16"/>
          <w:color w:val="auto"/>
        </w:rPr>
        <w:t>Notwithstanding anything to the contrary in this Stock Option Agreement, any portion of the Option that was scheduled to</w:t>
      </w:r>
      <w:r>
        <w:rPr>
          <w:rFonts w:ascii="Arial" w:cs="Arial" w:eastAsia="Arial" w:hAnsi="Arial"/>
          <w:sz w:val="16"/>
          <w:szCs w:val="16"/>
          <w:i w:val="1"/>
          <w:iCs w:val="1"/>
          <w:color w:val="auto"/>
        </w:rPr>
        <w:t xml:space="preserve"> </w:t>
      </w:r>
      <w:r>
        <w:rPr>
          <w:rFonts w:ascii="Arial" w:cs="Arial" w:eastAsia="Arial" w:hAnsi="Arial"/>
          <w:sz w:val="16"/>
          <w:szCs w:val="16"/>
          <w:color w:val="auto"/>
        </w:rPr>
        <w:t>vest or may vest under a catch-up vesting provision based on the achievement of performance goals at the end of the Fiscal Year prior to the year of such termination of service as a Service Provider or entrance into the transition phase to cease employment with the Company (the “</w:t>
      </w:r>
      <w:r>
        <w:rPr>
          <w:rFonts w:ascii="Arial" w:cs="Arial" w:eastAsia="Arial" w:hAnsi="Arial"/>
          <w:sz w:val="16"/>
          <w:szCs w:val="16"/>
          <w:u w:val="single" w:color="auto"/>
          <w:color w:val="auto"/>
        </w:rPr>
        <w:t>Final Performance Option</w:t>
      </w:r>
      <w:r>
        <w:rPr>
          <w:rFonts w:ascii="Arial" w:cs="Arial" w:eastAsia="Arial" w:hAnsi="Arial"/>
          <w:sz w:val="16"/>
          <w:szCs w:val="16"/>
          <w:color w:val="auto"/>
        </w:rPr>
        <w:t>”) shall remain outstanding if the Administrator has not determined whether the performance goals have been achieved for the Fiscal Year in question, unless the Optionee is terminated for Cause, until the date that the Administrator determines whether such performance goals have been achieved for the Fiscal Year in question; provided, further, that the Final Performance Option shall in no event become vested and exercisable unless it is determined by the Administrator that such performance goals were actually achieved for the Fiscal Year in question (a “</w:t>
      </w:r>
      <w:r>
        <w:rPr>
          <w:rFonts w:ascii="Arial" w:cs="Arial" w:eastAsia="Arial" w:hAnsi="Arial"/>
          <w:sz w:val="16"/>
          <w:szCs w:val="16"/>
          <w:u w:val="single" w:color="auto"/>
          <w:color w:val="auto"/>
        </w:rPr>
        <w:t>Final Performance Goal Determination</w:t>
      </w:r>
      <w:r>
        <w:rPr>
          <w:rFonts w:ascii="Arial" w:cs="Arial" w:eastAsia="Arial" w:hAnsi="Arial"/>
          <w:sz w:val="16"/>
          <w:szCs w:val="16"/>
          <w:color w:val="auto"/>
        </w:rPr>
        <w:t>”). The Final Performance Option that does not become vested and exercisable shall be forfeited on the date of the Final Performance Goal Determination and the Final Performance Option that becomes vested and exercisable shall remain exercisable as provided in this Section 2.4 and Section 2.7.</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Section 2.5 Additional Forfeiture Provisions</w:t>
      </w:r>
      <w:r>
        <w:rPr>
          <w:rFonts w:ascii="Arial" w:cs="Arial" w:eastAsia="Arial" w:hAnsi="Arial"/>
          <w:sz w:val="18"/>
          <w:szCs w:val="18"/>
          <w:color w:val="auto"/>
        </w:rPr>
        <w:t>. The Optionee acknowledges and agrees that the Option shall be immediately forfeited and cease to be exercisable, and the Optionee shall be required to disgorge to the Company all gains earned or accrued due to the exercise of Options or sale of any Shares issued pursuant to such Option upon certain accounting statements, if the Optionee engages in Competitive Activity,* as required by applicable law or if the Optionee engages in certain other misconduct as provided in Section 11.4 of the Plan.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Section 2.6 Exercisability of the Option</w:t>
      </w:r>
      <w:r>
        <w:rPr>
          <w:rFonts w:ascii="Arial" w:cs="Arial" w:eastAsia="Arial" w:hAnsi="Arial"/>
          <w:sz w:val="16"/>
          <w:szCs w:val="16"/>
          <w:color w:val="auto"/>
        </w:rPr>
        <w:t>. The Optionee shall not have the right to exercise the Option until the date the applicable portion of the Option becomes vested pursuant to Section 2.1, Section 2.2, Section 2.3 or Section 2.4. The date that the applicable portion of the Option becomes exercisable is referred to herein as the “</w:t>
      </w:r>
      <w:r>
        <w:rPr>
          <w:rFonts w:ascii="Arial" w:cs="Arial" w:eastAsia="Arial" w:hAnsi="Arial"/>
          <w:sz w:val="16"/>
          <w:szCs w:val="16"/>
          <w:u w:val="single" w:color="auto"/>
          <w:color w:val="auto"/>
        </w:rPr>
        <w:t>Exercise Commencement Date</w:t>
      </w:r>
      <w:r>
        <w:rPr>
          <w:rFonts w:ascii="Arial" w:cs="Arial" w:eastAsia="Arial" w:hAnsi="Arial"/>
          <w:sz w:val="16"/>
          <w:szCs w:val="16"/>
          <w:color w:val="auto"/>
        </w:rPr>
        <w:t>.” Subject to Section 14.1 of the Plan, following the Exercise Commencement Date, the applicable portion of the Option shall remain exercisable until it becomes unexercisable under Section 2.7. Once the Option becomes unexercisable, it shall be forfeited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5580" w:right="1780" w:hanging="5572"/>
        <w:spacing w:after="0" w:line="440" w:lineRule="auto"/>
        <w:tabs>
          <w:tab w:leader="none" w:pos="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California participants, add the following “(excluding clause (a) of the definition of Competitive Activity contained in the Plan)”. A-5</w:t>
      </w:r>
    </w:p>
    <w:p>
      <w:pPr>
        <w:sectPr>
          <w:pgSz w:w="11900" w:h="16838" w:orient="portrait"/>
          <w:cols w:equalWidth="0" w:num="1">
            <w:col w:w="11380"/>
          </w:cols>
          <w:pgMar w:left="240" w:top="280"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2.7 Expiration of Option</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Option may not be exercised to any extent by anyone after the first to occur of the following events: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Final Expiration Date;</w:t>
      </w:r>
    </w:p>
    <w:p>
      <w:pPr>
        <w:spacing w:after="0" w:line="90" w:lineRule="exact"/>
        <w:rPr>
          <w:rFonts w:ascii="Arial" w:cs="Arial" w:eastAsia="Arial" w:hAnsi="Arial"/>
          <w:sz w:val="18"/>
          <w:szCs w:val="18"/>
          <w:color w:val="auto"/>
        </w:rPr>
      </w:pPr>
    </w:p>
    <w:p>
      <w:pPr>
        <w:ind w:left="460" w:firstLine="443"/>
        <w:spacing w:after="0" w:line="294" w:lineRule="auto"/>
        <w:tabs>
          <w:tab w:leader="none" w:pos="115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in the event of a termination of the Optionee’s employment or service as a Service Provider for any reason other than Cause, death or Disability or in a Company Approved Departure, the later of (</w:t>
      </w:r>
      <w:r>
        <w:rPr>
          <w:rFonts w:ascii="Arial" w:cs="Arial" w:eastAsia="Arial" w:hAnsi="Arial"/>
          <w:sz w:val="16"/>
          <w:szCs w:val="16"/>
          <w:u w:val="single" w:color="auto"/>
          <w:color w:val="auto"/>
        </w:rPr>
        <w:t>A</w:t>
      </w:r>
      <w:r>
        <w:rPr>
          <w:rFonts w:ascii="Arial" w:cs="Arial" w:eastAsia="Arial" w:hAnsi="Arial"/>
          <w:sz w:val="16"/>
          <w:szCs w:val="16"/>
          <w:color w:val="auto"/>
        </w:rPr>
        <w:t>) sixty (60) days following the date of the Optionee’s termination of employment or service as a Service Provider for any reason other than Cause, death, or Disability or in a Company Approved Departure, or (</w:t>
      </w:r>
      <w:r>
        <w:rPr>
          <w:rFonts w:ascii="Arial" w:cs="Arial" w:eastAsia="Arial" w:hAnsi="Arial"/>
          <w:sz w:val="16"/>
          <w:szCs w:val="16"/>
          <w:u w:val="single" w:color="auto"/>
          <w:color w:val="auto"/>
        </w:rPr>
        <w:t>B</w:t>
      </w:r>
      <w:r>
        <w:rPr>
          <w:rFonts w:ascii="Arial" w:cs="Arial" w:eastAsia="Arial" w:hAnsi="Arial"/>
          <w:sz w:val="16"/>
          <w:szCs w:val="16"/>
          <w:color w:val="auto"/>
        </w:rPr>
        <w:t>) with respect to the Final Performance Option, sixty (60) days following the Final Performance Goal Determination, in which case such Final Performance Option may become a Non-Qualified Stock Option;</w:t>
      </w:r>
    </w:p>
    <w:p>
      <w:pPr>
        <w:spacing w:after="0" w:line="34" w:lineRule="exact"/>
        <w:rPr>
          <w:rFonts w:ascii="Arial" w:cs="Arial" w:eastAsia="Arial" w:hAnsi="Arial"/>
          <w:sz w:val="16"/>
          <w:szCs w:val="16"/>
          <w:color w:val="auto"/>
        </w:rPr>
      </w:pPr>
    </w:p>
    <w:p>
      <w:pPr>
        <w:ind w:left="460" w:right="220" w:firstLine="443"/>
        <w:spacing w:after="0" w:line="268" w:lineRule="auto"/>
        <w:tabs>
          <w:tab w:leader="none" w:pos="12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date that the Company terminates the Optionee’s employment or service as a Service Provider for Cause;</w:t>
      </w:r>
    </w:p>
    <w:p>
      <w:pPr>
        <w:spacing w:after="0" w:line="50" w:lineRule="exact"/>
        <w:rPr>
          <w:rFonts w:ascii="Arial" w:cs="Arial" w:eastAsia="Arial" w:hAnsi="Arial"/>
          <w:sz w:val="18"/>
          <w:szCs w:val="18"/>
          <w:color w:val="auto"/>
        </w:rPr>
      </w:pPr>
    </w:p>
    <w:p>
      <w:pPr>
        <w:ind w:left="460" w:right="600" w:firstLine="443"/>
        <w:spacing w:after="0" w:line="268" w:lineRule="auto"/>
        <w:tabs>
          <w:tab w:leader="none" w:pos="11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for such longer period of time as the Administrator may otherwise approve, the first anniversary of the Optionee’s termination of employment or service as a Service Provider by reason of the Optionee’s death;</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for such longer period of time as the Administrator may otherwise approve, in the event of the Optionee’s termination of employment or service as a Service Provider by reason of the Optionee’s Disability, the first anniversary of the later of (</w:t>
      </w:r>
      <w:r>
        <w:rPr>
          <w:rFonts w:ascii="Arial" w:cs="Arial" w:eastAsia="Arial" w:hAnsi="Arial"/>
          <w:sz w:val="18"/>
          <w:szCs w:val="18"/>
          <w:u w:val="single" w:color="auto"/>
          <w:color w:val="auto"/>
        </w:rPr>
        <w:t>A</w:t>
      </w:r>
      <w:r>
        <w:rPr>
          <w:rFonts w:ascii="Arial" w:cs="Arial" w:eastAsia="Arial" w:hAnsi="Arial"/>
          <w:sz w:val="18"/>
          <w:szCs w:val="18"/>
          <w:color w:val="auto"/>
        </w:rPr>
        <w:t>) the Optionee’s termination of employment or service or (</w:t>
      </w:r>
      <w:r>
        <w:rPr>
          <w:rFonts w:ascii="Arial" w:cs="Arial" w:eastAsia="Arial" w:hAnsi="Arial"/>
          <w:sz w:val="18"/>
          <w:szCs w:val="18"/>
          <w:u w:val="single" w:color="auto"/>
          <w:color w:val="auto"/>
        </w:rPr>
        <w:t>B</w:t>
      </w:r>
      <w:r>
        <w:rPr>
          <w:rFonts w:ascii="Arial" w:cs="Arial" w:eastAsia="Arial" w:hAnsi="Arial"/>
          <w:sz w:val="18"/>
          <w:szCs w:val="18"/>
          <w:color w:val="auto"/>
        </w:rPr>
        <w:t>) the date of vesting of the applicable Option;</w:t>
      </w:r>
    </w:p>
    <w:p>
      <w:pPr>
        <w:spacing w:after="0" w:line="59" w:lineRule="exact"/>
        <w:rPr>
          <w:rFonts w:ascii="Arial" w:cs="Arial" w:eastAsia="Arial" w:hAnsi="Arial"/>
          <w:sz w:val="18"/>
          <w:szCs w:val="18"/>
          <w:color w:val="auto"/>
        </w:rPr>
      </w:pPr>
    </w:p>
    <w:p>
      <w:pPr>
        <w:jc w:val="both"/>
        <w:ind w:left="460" w:right="60" w:firstLine="443"/>
        <w:spacing w:after="0" w:line="259" w:lineRule="auto"/>
        <w:tabs>
          <w:tab w:leader="none" w:pos="11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for such longer period of time as the Administrator may otherwise approve, in the event of the Optionee’s termination of employment or service as a Service Provider by reason of a Company Approved Departure, the 60</w:t>
      </w:r>
      <w:r>
        <w:rPr>
          <w:rFonts w:ascii="Arial" w:cs="Arial" w:eastAsia="Arial" w:hAnsi="Arial"/>
          <w:sz w:val="11"/>
          <w:szCs w:val="11"/>
          <w:color w:val="auto"/>
        </w:rPr>
        <w:t>th</w:t>
      </w:r>
      <w:r>
        <w:rPr>
          <w:rFonts w:ascii="Arial" w:cs="Arial" w:eastAsia="Arial" w:hAnsi="Arial"/>
          <w:sz w:val="18"/>
          <w:szCs w:val="18"/>
          <w:color w:val="auto"/>
        </w:rPr>
        <w:t xml:space="preserve"> day after the later of (</w:t>
      </w:r>
      <w:r>
        <w:rPr>
          <w:rFonts w:ascii="Arial" w:cs="Arial" w:eastAsia="Arial" w:hAnsi="Arial"/>
          <w:sz w:val="18"/>
          <w:szCs w:val="18"/>
          <w:u w:val="single" w:color="auto"/>
          <w:color w:val="auto"/>
        </w:rPr>
        <w:t>A</w:t>
      </w:r>
      <w:r>
        <w:rPr>
          <w:rFonts w:ascii="Arial" w:cs="Arial" w:eastAsia="Arial" w:hAnsi="Arial"/>
          <w:sz w:val="18"/>
          <w:szCs w:val="18"/>
          <w:color w:val="auto"/>
        </w:rPr>
        <w:t>) the Optionee’s termination of employment or service or (</w:t>
      </w:r>
      <w:r>
        <w:rPr>
          <w:rFonts w:ascii="Arial" w:cs="Arial" w:eastAsia="Arial" w:hAnsi="Arial"/>
          <w:sz w:val="18"/>
          <w:szCs w:val="18"/>
          <w:u w:val="single" w:color="auto"/>
          <w:color w:val="auto"/>
        </w:rPr>
        <w:t>B</w:t>
      </w:r>
      <w:r>
        <w:rPr>
          <w:rFonts w:ascii="Arial" w:cs="Arial" w:eastAsia="Arial" w:hAnsi="Arial"/>
          <w:sz w:val="18"/>
          <w:szCs w:val="18"/>
          <w:color w:val="auto"/>
        </w:rPr>
        <w:t>) the date of vesting of the applicable Option; or</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Upon forfeiture of an Option as provided in Section 11.4 of the Plan.</w:t>
      </w:r>
    </w:p>
    <w:p>
      <w:pPr>
        <w:spacing w:after="0" w:line="17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purposes of the Plan and this Agreement, the date of the Optionee’s termination of employment or service as a Service Provider shall be the last day that the Optionee provided employment or service as a Service Provider, as determined by the Administrator, whether such day is selected by agreement with the Optionee or unilaterally by the Company or its Subsidiaries and whether with or without advance notice. For the avoidance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41" w:name="page42"/>
    <w:bookmarkEnd w:id="41"/>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doubt, except as expressly provided in Section 2.4, no period of notice that is given or that ought to have been given to the Optionee under applicable law in respect of such termination of employment or service as a Service Provider will be utilized in determining entitlement under the Plan or this Agreement. Any action by the Company or its Subsidiaries taken in accordance with the terms of the Plan and this Agreement as set out aforesaid shall be deemed to fully and completely satisfy any liability or obligation of the Company or its Subsidiaries to the Optionee in respect of the Plan or this Agreement arising from or in connection with the Optionee’s termination of employment or service as a Service Provider, including in respect of any period of notice given or that ought to have been given under applicable law in respect of such termination of employment or service as a Service Provider.</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Section 2.8 Partial Exercise</w:t>
      </w:r>
      <w:r>
        <w:rPr>
          <w:rFonts w:ascii="Arial" w:cs="Arial" w:eastAsia="Arial" w:hAnsi="Arial"/>
          <w:sz w:val="18"/>
          <w:szCs w:val="18"/>
          <w:color w:val="auto"/>
        </w:rPr>
        <w:t>. Any exercisable portion of the Option or the entire Option, if then wholly exercisable, may be exercised in whole or in part at any time prior to the time when the Option or portion thereof becomes unexercisable.</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u w:val="single" w:color="auto"/>
          <w:color w:val="auto"/>
        </w:rPr>
        <w:t>Section 2.9 Exercise of Option</w:t>
      </w:r>
      <w:r>
        <w:rPr>
          <w:rFonts w:ascii="Arial" w:cs="Arial" w:eastAsia="Arial" w:hAnsi="Arial"/>
          <w:sz w:val="18"/>
          <w:szCs w:val="18"/>
          <w:color w:val="auto"/>
        </w:rPr>
        <w:t>. The exercise of the Option shall be governed by the terms of this Agreement and the terms of the Plan, including, without limitation, the provisions of Article V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2.10 Manner of Exercise; Tax Withholding</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a condition to the exercise of the Option, the Optionee shall (</w:t>
      </w:r>
      <w:r>
        <w:rPr>
          <w:rFonts w:ascii="Arial" w:cs="Arial" w:eastAsia="Arial" w:hAnsi="Arial"/>
          <w:sz w:val="16"/>
          <w:szCs w:val="16"/>
          <w:u w:val="single" w:color="auto"/>
          <w:color w:val="auto"/>
        </w:rPr>
        <w:t>i</w:t>
      </w:r>
      <w:r>
        <w:rPr>
          <w:rFonts w:ascii="Arial" w:cs="Arial" w:eastAsia="Arial" w:hAnsi="Arial"/>
          <w:sz w:val="16"/>
          <w:szCs w:val="16"/>
          <w:color w:val="auto"/>
        </w:rPr>
        <w:t>) notify the Company at least three (3) days prior to exercise and no earlier than ninety</w:t>
      </w:r>
    </w:p>
    <w:p>
      <w:pPr>
        <w:spacing w:after="0" w:line="38" w:lineRule="exact"/>
        <w:rPr>
          <w:rFonts w:ascii="Arial" w:cs="Arial" w:eastAsia="Arial" w:hAnsi="Arial"/>
          <w:sz w:val="16"/>
          <w:szCs w:val="16"/>
          <w:color w:val="auto"/>
        </w:rPr>
      </w:pPr>
    </w:p>
    <w:p>
      <w:pPr>
        <w:ind w:firstLine="8"/>
        <w:spacing w:after="0" w:line="255" w:lineRule="auto"/>
        <w:tabs>
          <w:tab w:leader="none" w:pos="3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days prior to exercise that the Optionee intends to exercise and (</w:t>
      </w:r>
      <w:r>
        <w:rPr>
          <w:rFonts w:ascii="Arial" w:cs="Arial" w:eastAsia="Arial" w:hAnsi="Arial"/>
          <w:sz w:val="18"/>
          <w:szCs w:val="18"/>
          <w:u w:val="single" w:color="auto"/>
          <w:color w:val="auto"/>
        </w:rPr>
        <w:t>ii</w:t>
      </w:r>
      <w:r>
        <w:rPr>
          <w:rFonts w:ascii="Arial" w:cs="Arial" w:eastAsia="Arial" w:hAnsi="Arial"/>
          <w:sz w:val="18"/>
          <w:szCs w:val="18"/>
          <w:color w:val="auto"/>
        </w:rPr>
        <w:t>) provide the Company with payment of the Exercise Price of the Option, together with any Withholding Tax payment required by Section 3.9 below, which shall be payable to the Company in full as set forth in Section 2.10(b) or Section 2.10(c) below, as applicable.</w:t>
      </w:r>
    </w:p>
    <w:p>
      <w:pPr>
        <w:spacing w:after="0" w:line="144" w:lineRule="exact"/>
        <w:rPr>
          <w:rFonts w:ascii="Arial" w:cs="Arial" w:eastAsia="Arial" w:hAnsi="Arial"/>
          <w:sz w:val="18"/>
          <w:szCs w:val="18"/>
          <w:color w:val="auto"/>
        </w:rPr>
      </w:pPr>
    </w:p>
    <w:p>
      <w:pPr>
        <w:ind w:right="80" w:firstLine="464"/>
        <w:spacing w:after="0" w:line="309" w:lineRule="auto"/>
        <w:tabs>
          <w:tab w:leader="none" w:pos="705" w:val="left"/>
        </w:tabs>
        <w:numPr>
          <w:ilvl w:val="1"/>
          <w:numId w:val="30"/>
        </w:numPr>
        <w:rPr>
          <w:rFonts w:ascii="Arial" w:cs="Arial" w:eastAsia="Arial" w:hAnsi="Arial"/>
          <w:sz w:val="15"/>
          <w:szCs w:val="15"/>
          <w:color w:val="auto"/>
        </w:rPr>
      </w:pPr>
      <w:r>
        <w:rPr>
          <w:rFonts w:ascii="Arial" w:cs="Arial" w:eastAsia="Arial" w:hAnsi="Arial"/>
          <w:sz w:val="15"/>
          <w:szCs w:val="15"/>
          <w:color w:val="auto"/>
        </w:rPr>
        <w:t xml:space="preserve">To the extent permitted by law or the applicable listing rules, if any, the Optionee may pay for the Shares with respect to which such Option or portion of such Option is exercised through (i) payment in cash; (ii) with the consent of the Administrator, the delivery of Shares which are owned by the Optionee, duly endorsed for transfer to the Company with a Fair Market Value on the date of delivery equal to the aggregate Exercise Price of the exercised portion of the Option; (iii) with the consent of the Administrator, through the surrender of Shares then issuable upon exercise of the Option having a Fair Market Value on the date of the exercise of the Option equal to the aggregate Exercise Price of the exercised portion of the Option; or (iv)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15"/>
          <w:szCs w:val="15"/>
          <w:i w:val="1"/>
          <w:iCs w:val="1"/>
          <w:color w:val="auto"/>
        </w:rPr>
        <w:t>provided</w:t>
      </w:r>
      <w:r>
        <w:rPr>
          <w:rFonts w:ascii="Arial" w:cs="Arial" w:eastAsia="Arial" w:hAnsi="Arial"/>
          <w:sz w:val="15"/>
          <w:szCs w:val="15"/>
          <w:color w:val="auto"/>
        </w:rPr>
        <w:t>, that payment of such proceeds is then made to the Company upon settlement of such sale. Notwithstanding the foregoing, the consent of the Administrator shall not be required with respect to clauses (iii) and (iv) of this Section 2.10(b) if the Optionee exercises such Option on or after the date of the Optionee’s Retirement.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80" w:right="279" w:bottom="1440" w:gutter="0" w:footer="0" w:header="0"/>
        </w:sectPr>
      </w:pPr>
    </w:p>
    <w:bookmarkStart w:id="42" w:name="page43"/>
    <w:bookmarkEnd w:id="42"/>
    <w:p>
      <w:pPr>
        <w:ind w:firstLine="464"/>
        <w:spacing w:after="0" w:line="312" w:lineRule="auto"/>
        <w:tabs>
          <w:tab w:leader="none" w:pos="695" w:val="left"/>
        </w:tabs>
        <w:numPr>
          <w:ilvl w:val="0"/>
          <w:numId w:val="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condition to exercise, the Optionee must make appropriate arrangements for the payment to the Company (or its Subsidiary, as applicable) in cash or by delivery of a certified or bank cashier check, or by any other means of payment approved by the Administrator, of the amount which the Company (or its Subsidiary, as applicable) is required to withhold under applicable law in connection with the exercise of the Option. With the consent of the Administrator and subject to any applicable legal conditions or restrictions, the Company shall, upon the Optionee’s request, withhold from the Shares issuable to the Optionee upon the exercise of the Option (or any portion thereof) a number of whole Shares having a Fair Market Value, determined as of the date of exercise, not in excess of the minimum of tax required to be withheld by law (or such lower amount as may be necessary to avoid liability award accounting). Any adverse consequences to the Optionee arising in connection with the Share withholding procedure set forth in the preceding sentence shall be the sole responsibility of the Optionee.</w:t>
      </w:r>
    </w:p>
    <w:p>
      <w:pPr>
        <w:spacing w:after="0" w:line="1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u w:val="single" w:color="auto"/>
          <w:color w:val="auto"/>
        </w:rPr>
        <w:t>Section 2.11 Change in Control</w:t>
      </w:r>
      <w:r>
        <w:rPr>
          <w:rFonts w:ascii="Arial" w:cs="Arial" w:eastAsia="Arial" w:hAnsi="Arial"/>
          <w:sz w:val="16"/>
          <w:szCs w:val="16"/>
          <w:color w:val="auto"/>
        </w:rPr>
        <w:t>. Upon the occurrence of a Change in Control, the Options shall vest, forfeit or continue as set forth in Article XIII of the Plan. At the discretion of the Administrator (as constituted immediately prior to the Change in Control), any or all vested Options may be canceled in exchange for an amount equal to the product of (A) the excess, if any, of the Fair Market Value of the Shares upon the Change in Control over the exercise price for such vested Options, multiplied by (B) the aggregate number of shares of Company Common Stock covered by such vested Options. Payment of any amounts calculated in accordance with this Section 2.11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provided that all such payments shall in all events be payable to the stockholders generally within five years after the Change in Control.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Section 3.1 Optionee Representation; Not a Contract of Employment or Service</w:t>
      </w:r>
      <w:r>
        <w:rPr>
          <w:rFonts w:ascii="Arial" w:cs="Arial" w:eastAsia="Arial" w:hAnsi="Arial"/>
          <w:sz w:val="16"/>
          <w:szCs w:val="16"/>
          <w:color w:val="auto"/>
        </w:rPr>
        <w:t xml:space="preserve">. The Optionee hereby represents that the Optionee’s execution of this Agreement and participation in the Plan is voluntary and that the Optionee has in no way been induced to enter into this Agreement in exchange for or as a requirement of the expectation of </w:t>
      </w:r>
      <w:r>
        <w:rPr>
          <w:rFonts w:ascii="Arial" w:cs="Arial" w:eastAsia="Arial" w:hAnsi="Arial"/>
          <w:sz w:val="16"/>
          <w:szCs w:val="16"/>
          <w:u w:val="single" w:color="auto"/>
          <w:color w:val="auto"/>
        </w:rPr>
        <w:t>employment or</w:t>
      </w:r>
      <w:r>
        <w:rPr>
          <w:rFonts w:ascii="Arial" w:cs="Arial" w:eastAsia="Arial" w:hAnsi="Arial"/>
          <w:sz w:val="16"/>
          <w:szCs w:val="16"/>
          <w:color w:val="auto"/>
        </w:rPr>
        <w:t xml:space="preserve"> service with the Company or any of its Subsidiaries. Nothing in this Agreement or in the Plan shall confer upon the Optionee any right to continue as a Service Provider, or shall interfere with or restrict in any way the rights of the Company or its Subsidiaries, which are hereby expressly reserved, to discharge the Optionee at any time for any reason whatsoever, with or without Cause, except to the extent expressly provided otherwise in a written employment or other agreement between the Optionee and the Company or any of its Subsidiaries.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Section 3.2 Shares Subject to Plan; Restrictions on the Transfer of Option and Company Common Stock</w:t>
      </w:r>
      <w:r>
        <w:rPr>
          <w:rFonts w:ascii="Arial" w:cs="Arial" w:eastAsia="Arial" w:hAnsi="Arial"/>
          <w:sz w:val="18"/>
          <w:szCs w:val="18"/>
          <w:color w:val="auto"/>
        </w:rPr>
        <w:t>. The Optionee acknowledges that this Option and any Shares acquired upon exercise of the Option are subject to the terms of the Plan, including, without limitation, the restrictions set forth in Sections 5.7 and 5.8 of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3" w:name="page44"/>
    <w:bookmarkEnd w:id="43"/>
    <w:p>
      <w:pPr>
        <w:ind w:right="4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 Registration of Shares</w:t>
      </w:r>
      <w:r>
        <w:rPr>
          <w:rFonts w:ascii="Arial" w:cs="Arial" w:eastAsia="Arial" w:hAnsi="Arial"/>
          <w:sz w:val="16"/>
          <w:szCs w:val="16"/>
          <w:color w:val="auto"/>
        </w:rPr>
        <w:t>.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of 1933, as amended from time to time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if such Shares are not then so registered, such sale would be exempt from the registration requirements of 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3.4 Construction</w:t>
      </w:r>
      <w:r>
        <w:rPr>
          <w:rFonts w:ascii="Arial" w:cs="Arial" w:eastAsia="Arial" w:hAnsi="Arial"/>
          <w:sz w:val="18"/>
          <w:szCs w:val="18"/>
          <w:color w:val="auto"/>
        </w:rPr>
        <w:t>. This Agreement shall be administered, interpreted and enforced under the laws of the State of Delaware.</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Section 3.5 Conformity to Securities Laws</w:t>
      </w:r>
      <w:r>
        <w:rPr>
          <w:rFonts w:ascii="Arial" w:cs="Arial" w:eastAsia="Arial" w:hAnsi="Arial"/>
          <w:sz w:val="16"/>
          <w:szCs w:val="16"/>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Section 3.6 Adjustments in EBITDA and Cumulative Cash Flow Targets</w:t>
      </w:r>
      <w:r>
        <w:rPr>
          <w:rFonts w:ascii="Arial" w:cs="Arial" w:eastAsia="Arial" w:hAnsi="Arial"/>
          <w:sz w:val="16"/>
          <w:szCs w:val="16"/>
          <w:color w:val="auto"/>
        </w:rPr>
        <w:t>. The EBITDA Targets (including the Cumulative EBITDA Targets) and the Cumulative Cash Flow Targets specified in Appendix B (collectively the “</w:t>
      </w:r>
      <w:r>
        <w:rPr>
          <w:rFonts w:ascii="Arial" w:cs="Arial" w:eastAsia="Arial" w:hAnsi="Arial"/>
          <w:sz w:val="16"/>
          <w:szCs w:val="16"/>
          <w:u w:val="single" w:color="auto"/>
          <w:color w:val="auto"/>
        </w:rPr>
        <w:t>Financial Targets</w:t>
      </w:r>
      <w:r>
        <w:rPr>
          <w:rFonts w:ascii="Arial" w:cs="Arial" w:eastAsia="Arial" w:hAnsi="Arial"/>
          <w:sz w:val="16"/>
          <w:szCs w:val="16"/>
          <w:color w:val="auto"/>
        </w:rPr>
        <w:t>”) are based upon (</w:t>
      </w:r>
      <w:r>
        <w:rPr>
          <w:rFonts w:ascii="Arial" w:cs="Arial" w:eastAsia="Arial" w:hAnsi="Arial"/>
          <w:sz w:val="16"/>
          <w:szCs w:val="16"/>
          <w:u w:val="single" w:color="auto"/>
          <w:color w:val="auto"/>
        </w:rPr>
        <w:t>i</w:t>
      </w:r>
      <w:r>
        <w:rPr>
          <w:rFonts w:ascii="Arial" w:cs="Arial" w:eastAsia="Arial" w:hAnsi="Arial"/>
          <w:sz w:val="16"/>
          <w:szCs w:val="16"/>
          <w:color w:val="auto"/>
        </w:rPr>
        <w:t>) certain revenue and expense assumptions about the future business of the Company, (</w:t>
      </w:r>
      <w:r>
        <w:rPr>
          <w:rFonts w:ascii="Arial" w:cs="Arial" w:eastAsia="Arial" w:hAnsi="Arial"/>
          <w:sz w:val="16"/>
          <w:szCs w:val="16"/>
          <w:u w:val="single" w:color="auto"/>
          <w:color w:val="auto"/>
        </w:rPr>
        <w:t>ii</w:t>
      </w:r>
      <w:r>
        <w:rPr>
          <w:rFonts w:ascii="Arial" w:cs="Arial" w:eastAsia="Arial" w:hAnsi="Arial"/>
          <w:sz w:val="16"/>
          <w:szCs w:val="16"/>
          <w:color w:val="auto"/>
        </w:rPr>
        <w:t>) a model agreed to by the management of the Company for the projected financial performance of the Company, and (</w:t>
      </w:r>
      <w:r>
        <w:rPr>
          <w:rFonts w:ascii="Arial" w:cs="Arial" w:eastAsia="Arial" w:hAnsi="Arial"/>
          <w:sz w:val="16"/>
          <w:szCs w:val="16"/>
          <w:u w:val="single" w:color="auto"/>
          <w:color w:val="auto"/>
        </w:rPr>
        <w:t>iii</w:t>
      </w:r>
      <w:r>
        <w:rPr>
          <w:rFonts w:ascii="Arial" w:cs="Arial" w:eastAsia="Arial" w:hAnsi="Arial"/>
          <w:sz w:val="16"/>
          <w:szCs w:val="16"/>
          <w:color w:val="auto"/>
        </w:rPr>
        <w:t>) the continued application of accounting policies used by the Company as of the date the Option is granted. Accordingly, in the event that, after such date, any acquisition or disposition of any significant business or assets by the Company, any reorganization, merger, consolidation, split-up, spin-off or combination, any major capital investment program or any changes in generally accepted accounting principles related to equity-based compensation or promulgated by accounting standards applicable to the Company (or the accounting policies used by the Company) (if such accounting standards or policies materially affected the assumptions used in determining the initial Financial Targets), occurs, or the Company utilizes capital leases or other financial mechanisms other than operating leases for the purchase of property, plant and equipment, (each,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that is reasonably expected to materially affect EBITDA or Cash Flow, the EBITDA Target for such year and the Cumulative EBITDA Target and Cumulative Cash Flow Target for such year and subsequent years, as applicable, will be adjusted, fairly and appropriately, by the amount determined by the Administrator, in the exercise of its good faith judgment, after consultation with the Company’s Chief Executive Officer and accountants, to be reasonably necessary to accurately reflect the expected direct and measurable effect such event has on such Financial Targets. In the event of any Corporate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44" w:name="page45"/>
    <w:bookmarkEnd w:id="4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such adjustment shall reflect the change in EBITDA and/or Cash Flow resulting from such Corporate Transaction as presented to the Board or other decision-making party at the time the Corporate Transaction is approved by the Board or other decision making party. The intent of such adjustments is to keep the probability of achieving the Financial Targets the same as if the event triggering such adjustment had not occurred. The Administrator’s determination of such necessary adjustment shall be made within 60 days following the completion or closing of the Corporate Transaction, and shall be based on the Company’s accounting as set forth in its books and records and in accordance with its financial statements (prepared in accordance with applicable generally accepted accounting principles) and on the Company’s financial plan pursuant to which the applicable Financial Targets were originally established. All determinations and adjustments made by the Administrator in good faith pursuant to this Section 3.6 shall be final and binding on the Company and the Optionee.</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u w:val="single" w:color="auto"/>
          <w:color w:val="auto"/>
        </w:rPr>
        <w:t>Section 3.7 Amendment, Suspension and Termination</w:t>
      </w:r>
      <w:r>
        <w:rPr>
          <w:rFonts w:ascii="Arial" w:cs="Arial" w:eastAsia="Arial" w:hAnsi="Arial"/>
          <w:sz w:val="18"/>
          <w:szCs w:val="18"/>
          <w:color w:val="auto"/>
        </w:rPr>
        <w:t xml:space="preserve">. The Option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that</w:t>
      </w:r>
      <w:r>
        <w:rPr>
          <w:rFonts w:ascii="Arial" w:cs="Arial" w:eastAsia="Arial" w:hAnsi="Arial"/>
          <w:sz w:val="18"/>
          <w:szCs w:val="18"/>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143" w:lineRule="exact"/>
        <w:rPr>
          <w:sz w:val="20"/>
          <w:szCs w:val="20"/>
          <w:color w:val="auto"/>
        </w:rPr>
      </w:pPr>
    </w:p>
    <w:p>
      <w:pPr>
        <w:spacing w:after="0" w:line="305" w:lineRule="auto"/>
        <w:rPr>
          <w:sz w:val="20"/>
          <w:szCs w:val="20"/>
          <w:color w:val="auto"/>
        </w:rPr>
      </w:pPr>
      <w:r>
        <w:rPr>
          <w:rFonts w:ascii="Arial" w:cs="Arial" w:eastAsia="Arial" w:hAnsi="Arial"/>
          <w:sz w:val="15"/>
          <w:szCs w:val="15"/>
          <w:u w:val="single" w:color="auto"/>
          <w:color w:val="auto"/>
        </w:rPr>
        <w:t>Section 3.8 Data Privacy Consent</w:t>
      </w:r>
      <w:r>
        <w:rPr>
          <w:rFonts w:ascii="Arial" w:cs="Arial" w:eastAsia="Arial" w:hAnsi="Arial"/>
          <w:sz w:val="15"/>
          <w:szCs w:val="15"/>
          <w:color w:val="auto"/>
        </w:rPr>
        <w:t>. As a condition of the Option grant if the Optionee is a Non-U.S. Optionee, the Optionee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Optionee’s participation in the Plan. The Optionee understands that the Company and its Subsidiaries and Affiliates hold certain personal information about the Optionee, including the Optionee’s name, home address and telephone number, date of birth, social insurance number or other identification number, salary, nationality, job title, any shares of stock or directorships held in the Company, details of all restricted stock or any other entitlement to Shares awarded, canceled, exercised, vested, unvested or outstanding in the Optionee’s favor, for the purpose of implementing, managing and administering the Plan (the “</w:t>
      </w:r>
      <w:r>
        <w:rPr>
          <w:rFonts w:ascii="Arial" w:cs="Arial" w:eastAsia="Arial" w:hAnsi="Arial"/>
          <w:sz w:val="15"/>
          <w:szCs w:val="15"/>
          <w:u w:val="single" w:color="auto"/>
          <w:color w:val="auto"/>
        </w:rPr>
        <w:t>Data</w:t>
      </w:r>
      <w:r>
        <w:rPr>
          <w:rFonts w:ascii="Arial" w:cs="Arial" w:eastAsia="Arial" w:hAnsi="Arial"/>
          <w:sz w:val="15"/>
          <w:szCs w:val="15"/>
          <w:color w:val="auto"/>
        </w:rPr>
        <w:t>”). The Optionee further understands that the Company and its Subsidiaries and Affiliates may transfer the Data amongst themselves as necessary for the purpose of implementation, administration and management of the Optionee’s participation in the Plan, and that the Company and its Subsidiaries and Affiliates may each further transfer the Data to any third parties assisting the Company in the implementation, administration and management of the Plan. The Optionee understands that these recipients may be located in the Optionee’s country, or elsewhere, and that the recipient’s country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such recipients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The Optionee understands that the Data will be held only as long as is necessary to implement, administer, and manage the Optionee’s participation in the Plan. The Optionee understands that he or she may, at any time, view the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80" w:right="259" w:bottom="1440" w:gutter="0" w:footer="0" w:header="0"/>
        </w:sectPr>
      </w:pPr>
    </w:p>
    <w:bookmarkStart w:id="45" w:name="page46"/>
    <w:bookmarkEnd w:id="4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request additional information about the storage and processing of the Data, require any necessary amendments to the Data, or refuse or withdraw the consents herein in writing, in any case without cost, by contacting his or her local human resources representative. The Optionee understands that refusal or withdrawal of consent may affect the Optionee’s ability to participate in the Plan. For more information on the consequences of refusal to consent or withdrawal of consent, the Optionee understands that he or she may contact his or her local human resources representative.</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Section 3.9 Withholding Taxes</w:t>
      </w:r>
      <w:r>
        <w:rPr>
          <w:rFonts w:ascii="Arial" w:cs="Arial" w:eastAsia="Arial" w:hAnsi="Arial"/>
          <w:sz w:val="16"/>
          <w:szCs w:val="16"/>
          <w:color w:val="auto"/>
        </w:rPr>
        <w:t xml:space="preserve">. In addition to any rights or obligations with respect to Withholding Taxes under this Agreement or the Plan, the Company shall have the right to withhold from the Optionee, or otherwise require the Optionee or an assignee to pay, any Withholding Taxes arising as a result of exercise of the Option, or any other taxable event occurring pursuant to the Plan or this Agreement, including, but not limited to, to the extent permitted by law, have the right to deduct any such Withholding Taxes from any payment of any kind otherwise due to the Optionee or to take such other action (including, but not limited to, withholding Shares or cash deliverable pursuant to the Plan or any Option) as may be necessary to satisfy such Withholding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Company withholds Shares issuable to the Optionee upon the exercise of the Option (or any portion thereof) to satisfy the Withholding Taxes, the Company shall withhold a number of whole Shares having a Fair Market Value, determined as of the date of exercise, not in excess of the minimum of tax required to be withheld by law (or such lower amount as may be necessary to avoid liability award accounting). The Optionee shall be responsible for all Withholding Taxes and other tax consequences of this Award.</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Section 3.10 Electronic Delivery</w:t>
      </w:r>
      <w:r>
        <w:rPr>
          <w:rFonts w:ascii="Arial" w:cs="Arial" w:eastAsia="Arial" w:hAnsi="Arial"/>
          <w:sz w:val="16"/>
          <w:szCs w:val="16"/>
          <w:color w:val="auto"/>
        </w:rPr>
        <w:t>. The Company may, in its sole discretion, decide to deliver any documents related to any Option granted under the Plan by electronic means or to request the Optionee’s consent to participate in the Plan by electronic means. The Optionee hereby explicitly and unambiguously consents to receive such documents by electronic delivery and, if requested, to agree to participate in the Plan through an on-line or electronic system established and maintained by the Company or another third 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 party administrator with a paper copy of any documents if the attempted electronic delivery of such documents fails.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3.11 Miscellaneous</w:t>
      </w:r>
      <w:r>
        <w:rPr>
          <w:rFonts w:ascii="Arial" w:cs="Arial" w:eastAsia="Arial" w:hAnsi="Arial"/>
          <w:sz w:val="18"/>
          <w:szCs w:val="18"/>
          <w:color w:val="auto"/>
        </w:rPr>
        <w:t>.</w:t>
      </w:r>
    </w:p>
    <w:p>
      <w:pPr>
        <w:spacing w:after="0" w:line="171" w:lineRule="exact"/>
        <w:rPr>
          <w:sz w:val="20"/>
          <w:szCs w:val="20"/>
          <w:color w:val="auto"/>
        </w:rPr>
      </w:pPr>
    </w:p>
    <w:p>
      <w:pPr>
        <w:jc w:val="both"/>
        <w:ind w:right="240" w:firstLine="464"/>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Optionee shall have no rights as a stockholder of the Company with respect to the shares of Company Common Stock subject to this Agreement until such time as the purchase price has been paid and the other requirements of Section 2.10 above have been satisfied, and the shares of Company Common Stock have been issued and delivered to the Optionee.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80"/>
          </w:cols>
          <w:pgMar w:left="240" w:top="280" w:right="279" w:bottom="1440" w:gutter="0" w:footer="0" w:header="0"/>
        </w:sectPr>
      </w:pPr>
    </w:p>
    <w:bookmarkStart w:id="46" w:name="page47"/>
    <w:bookmarkEnd w:id="46"/>
    <w:p>
      <w:pPr>
        <w:ind w:right="1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be subject to all applicable laws, rules, and regulations, and to such approvals by any governmental agencies or United States or foreign securities exchanges as may be required.</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Delaware regardless of the application of rules of conflict of law that would apply the laws of any other jurisdiction.</w:t>
      </w:r>
    </w:p>
    <w:p>
      <w:pPr>
        <w:spacing w:after="0" w:line="131"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40" w:lineRule="exact"/>
        <w:rPr>
          <w:rFonts w:ascii="Arial" w:cs="Arial" w:eastAsia="Arial" w:hAnsi="Arial"/>
          <w:sz w:val="18"/>
          <w:szCs w:val="18"/>
          <w:color w:val="auto"/>
        </w:rPr>
      </w:pPr>
    </w:p>
    <w:p>
      <w:pPr>
        <w:ind w:right="20" w:firstLine="464"/>
        <w:spacing w:after="0" w:line="332"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Whenever the following terms are used in this Agreement (including the Grant Notice),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Adjusted Working Capital</w:t>
      </w:r>
      <w:r>
        <w:rPr>
          <w:rFonts w:ascii="Arial" w:cs="Arial" w:eastAsia="Arial" w:hAnsi="Arial"/>
          <w:sz w:val="18"/>
          <w:szCs w:val="18"/>
          <w:color w:val="auto"/>
        </w:rPr>
        <w:t>” as of any given date shall mean (i) accounts receivable (net) less (ii) accounts payable, less (iii) other accrued expenses, all as reflected on the Company’s audited consolidated balance sheet as of such date.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Cash Flow</w:t>
      </w:r>
      <w:r>
        <w:rPr>
          <w:rFonts w:ascii="Arial" w:cs="Arial" w:eastAsia="Arial" w:hAnsi="Arial"/>
          <w:sz w:val="18"/>
          <w:szCs w:val="18"/>
          <w:color w:val="auto"/>
        </w:rPr>
        <w:t>” for a given Fiscal Year shall mean (i) EBITDA for such Fiscal Year less (ii) the increase in Adjusted Working Capital in such Fiscal Year (which may be a positive or a negative number) less (iii) any overruns in the annual budget for capital expenditures in the financial plan approved by the Board for that Fiscal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shall mean Booz Allen Hamilton Holding Corporation, a Delaware corporation.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Approved Departure</w:t>
      </w:r>
      <w:r>
        <w:rPr>
          <w:rFonts w:ascii="Arial" w:cs="Arial" w:eastAsia="Arial" w:hAnsi="Arial"/>
          <w:sz w:val="18"/>
          <w:szCs w:val="18"/>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Cumulative Cash Flow</w:t>
      </w:r>
      <w:r>
        <w:rPr>
          <w:rFonts w:ascii="Arial" w:cs="Arial" w:eastAsia="Arial" w:hAnsi="Arial"/>
          <w:sz w:val="16"/>
          <w:szCs w:val="16"/>
          <w:color w:val="auto"/>
        </w:rPr>
        <w:t>” as of a given date shall mean the total Cash Flow from and after April 1, 2012 through such date. In determining whether Cash Flow targets have been met, the Administrator shall take into account any large, unusual non-recurring capital expenditures approved by the Board.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47" w:name="page48"/>
    <w:bookmarkEnd w:id="47"/>
    <w:p>
      <w:pPr>
        <w:ind w:right="6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4.6</w:t>
      </w:r>
      <w:r>
        <w:rPr>
          <w:rFonts w:ascii="Arial" w:cs="Arial" w:eastAsia="Arial" w:hAnsi="Arial"/>
          <w:sz w:val="18"/>
          <w:szCs w:val="18"/>
          <w:color w:val="auto"/>
        </w:rPr>
        <w:t xml:space="preserve"> “</w:t>
      </w:r>
      <w:r>
        <w:rPr>
          <w:rFonts w:ascii="Arial" w:cs="Arial" w:eastAsia="Arial" w:hAnsi="Arial"/>
          <w:sz w:val="18"/>
          <w:szCs w:val="18"/>
          <w:u w:val="single" w:color="auto"/>
          <w:color w:val="auto"/>
        </w:rPr>
        <w:t>Cumulative Cash Flow Target</w:t>
      </w:r>
      <w:r>
        <w:rPr>
          <w:rFonts w:ascii="Arial" w:cs="Arial" w:eastAsia="Arial" w:hAnsi="Arial"/>
          <w:sz w:val="18"/>
          <w:szCs w:val="18"/>
          <w:color w:val="auto"/>
        </w:rPr>
        <w:t>” for any given year shall be as set forth in Appendix B of this Agreement, adjusted as provided in Appendix B and subject to the provisions of Section 3.6, determined as provided in Section 4.5.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4.7 “EBITDA”</w:t>
      </w:r>
      <w:r>
        <w:rPr>
          <w:rFonts w:ascii="Arial" w:cs="Arial" w:eastAsia="Arial" w:hAnsi="Arial"/>
          <w:sz w:val="18"/>
          <w:szCs w:val="18"/>
          <w:color w:val="auto"/>
        </w:rPr>
        <w:t xml:space="preserve"> for a given Fiscal Year shall have the meaning set forth in Appendix 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w:t>
      </w:r>
      <w:r>
        <w:rPr>
          <w:rFonts w:ascii="Arial" w:cs="Arial" w:eastAsia="Arial" w:hAnsi="Arial"/>
          <w:sz w:val="18"/>
          <w:szCs w:val="18"/>
          <w:u w:val="single" w:color="auto"/>
          <w:color w:val="auto"/>
        </w:rPr>
        <w:t>Cumulative EBITDA</w:t>
      </w:r>
      <w:r>
        <w:rPr>
          <w:rFonts w:ascii="Arial" w:cs="Arial" w:eastAsia="Arial" w:hAnsi="Arial"/>
          <w:sz w:val="18"/>
          <w:szCs w:val="18"/>
          <w:color w:val="auto"/>
        </w:rPr>
        <w:t>” as of a given date shall mean the total EBITDA from and after April 1, 2012 through such date.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t>
      </w:r>
      <w:r>
        <w:rPr>
          <w:rFonts w:ascii="Arial" w:cs="Arial" w:eastAsia="Arial" w:hAnsi="Arial"/>
          <w:sz w:val="18"/>
          <w:szCs w:val="18"/>
          <w:u w:val="single" w:color="auto"/>
          <w:color w:val="auto"/>
        </w:rPr>
        <w:t>EBITDA Target</w:t>
      </w:r>
      <w:r>
        <w:rPr>
          <w:rFonts w:ascii="Arial" w:cs="Arial" w:eastAsia="Arial" w:hAnsi="Arial"/>
          <w:sz w:val="18"/>
          <w:szCs w:val="18"/>
          <w:color w:val="auto"/>
        </w:rPr>
        <w:t>” and “</w:t>
      </w:r>
      <w:r>
        <w:rPr>
          <w:rFonts w:ascii="Arial" w:cs="Arial" w:eastAsia="Arial" w:hAnsi="Arial"/>
          <w:sz w:val="18"/>
          <w:szCs w:val="18"/>
          <w:u w:val="single" w:color="auto"/>
          <w:color w:val="auto"/>
        </w:rPr>
        <w:t>Cumulative EBITDA Target</w:t>
      </w:r>
      <w:r>
        <w:rPr>
          <w:rFonts w:ascii="Arial" w:cs="Arial" w:eastAsia="Arial" w:hAnsi="Arial"/>
          <w:sz w:val="18"/>
          <w:szCs w:val="18"/>
          <w:color w:val="auto"/>
        </w:rPr>
        <w:t xml:space="preserve">” for any given year shall be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of this Agreement, subject to the provisions of Section 3.6.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and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shall mean the fiscal year of the Company, as in effect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shall mean the date set forth in the Grant Notice.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 Notice</w:t>
      </w:r>
      <w:r>
        <w:rPr>
          <w:rFonts w:ascii="Arial" w:cs="Arial" w:eastAsia="Arial" w:hAnsi="Arial"/>
          <w:sz w:val="18"/>
          <w:szCs w:val="18"/>
          <w:color w:val="auto"/>
        </w:rPr>
        <w:t>” shall mean the Grant Notice referred to in Section 1.1 of this Agreement, which Grant Notice is for all purposes a part of the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shall mean the option to purchase Company Common Stock granted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Option</w:t>
      </w:r>
      <w:r>
        <w:rPr>
          <w:rFonts w:ascii="Arial" w:cs="Arial" w:eastAsia="Arial" w:hAnsi="Arial"/>
          <w:sz w:val="18"/>
          <w:szCs w:val="18"/>
          <w:color w:val="auto"/>
        </w:rPr>
        <w:t>” shall mean the portion of the Option designated as a Performance Option in the Grant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shall mean the Amended and Restated Equity Incentive Plan of Booz Allen Hamilton Holding Corporation, as amended from time to time.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Principal Stockholder</w:t>
      </w:r>
      <w:r>
        <w:rPr>
          <w:rFonts w:ascii="Arial" w:cs="Arial" w:eastAsia="Arial" w:hAnsi="Arial"/>
          <w:sz w:val="18"/>
          <w:szCs w:val="18"/>
          <w:color w:val="auto"/>
        </w:rPr>
        <w:t>” means Explorer Coinvest LLC, a Delaware limited liability company and any of its affiliates to which Explorer Coinvest LLC or any other Person transfers Company Common Stock or to which the Company issues Company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w:t>
      </w:r>
      <w:r>
        <w:rPr>
          <w:rFonts w:ascii="Arial" w:cs="Arial" w:eastAsia="Arial" w:hAnsi="Arial"/>
          <w:sz w:val="18"/>
          <w:szCs w:val="18"/>
          <w:color w:val="auto"/>
        </w:rPr>
        <w:t>” shall have the meaning set forth in the Company’s Retirement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 Option</w:t>
      </w:r>
      <w:r>
        <w:rPr>
          <w:rFonts w:ascii="Arial" w:cs="Arial" w:eastAsia="Arial" w:hAnsi="Arial"/>
          <w:sz w:val="18"/>
          <w:szCs w:val="18"/>
          <w:color w:val="auto"/>
        </w:rPr>
        <w:t>” shall mean the portion of the Option designated as a Time Option in the Grant Notice.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80"/>
          </w:cols>
          <w:pgMar w:left="240" w:top="280" w:right="47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4.20 “Withholding Taxes</w:t>
      </w:r>
      <w:r>
        <w:rPr>
          <w:rFonts w:ascii="Arial" w:cs="Arial" w:eastAsia="Arial" w:hAnsi="Arial"/>
          <w:sz w:val="18"/>
          <w:szCs w:val="18"/>
          <w:color w:val="auto"/>
        </w:rPr>
        <w:t>” means any federal, state, local, or foreign income taxes, withholding taxes, or employment taxes required to be withheld under Applicable Law.</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40"/>
          </w:cols>
          <w:pgMar w:left="240" w:top="280" w:right="3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 TO STOCK OPTION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EBITDA AND CUMULATIVE CASH FLOW TARGETS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Millions)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the end of the fiscal year, subject to any applicable adjustments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Performance Measure</w:t>
            </w:r>
          </w:p>
        </w:tc>
        <w:tc>
          <w:tcPr>
            <w:tcW w:w="6720" w:type="dxa"/>
            <w:vAlign w:val="bottom"/>
          </w:tcPr>
          <w:p>
            <w:pPr>
              <w:jc w:val="right"/>
              <w:ind w:right="212"/>
              <w:spacing w:after="0"/>
              <w:rPr>
                <w:sz w:val="20"/>
                <w:szCs w:val="20"/>
                <w:color w:val="auto"/>
              </w:rPr>
            </w:pPr>
            <w:r>
              <w:rPr>
                <w:rFonts w:ascii="Arial" w:cs="Arial" w:eastAsia="Arial" w:hAnsi="Arial"/>
                <w:sz w:val="14"/>
                <w:szCs w:val="14"/>
                <w:color w:val="auto"/>
              </w:rPr>
              <w:t>2012</w:t>
            </w: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2013</w:t>
            </w: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2014</w:t>
            </w: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2015</w:t>
            </w:r>
          </w:p>
        </w:tc>
        <w:tc>
          <w:tcPr>
            <w:tcW w:w="580" w:type="dxa"/>
            <w:vAlign w:val="bottom"/>
          </w:tcPr>
          <w:p>
            <w:pPr>
              <w:jc w:val="right"/>
              <w:spacing w:after="0"/>
              <w:rPr>
                <w:sz w:val="20"/>
                <w:szCs w:val="20"/>
                <w:color w:val="auto"/>
              </w:rPr>
            </w:pPr>
            <w:r>
              <w:rPr>
                <w:rFonts w:ascii="Arial" w:cs="Arial" w:eastAsia="Arial" w:hAnsi="Arial"/>
                <w:sz w:val="14"/>
                <w:szCs w:val="14"/>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EBITDA Target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Cumulative EBITDA Target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Cumulative Cash Flow Target (adjusted as provided in the following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any adjustments that may be made pursuant to Section 3.6, the Cash Flow Targets shall be adjusted as follows: (</w:t>
      </w:r>
      <w:r>
        <w:rPr>
          <w:rFonts w:ascii="Arial" w:cs="Arial" w:eastAsia="Arial" w:hAnsi="Arial"/>
          <w:sz w:val="18"/>
          <w:szCs w:val="18"/>
          <w:u w:val="single" w:color="auto"/>
          <w:color w:val="auto"/>
        </w:rPr>
        <w:t>i</w:t>
      </w:r>
      <w:r>
        <w:rPr>
          <w:rFonts w:ascii="Arial" w:cs="Arial" w:eastAsia="Arial" w:hAnsi="Arial"/>
          <w:sz w:val="18"/>
          <w:szCs w:val="18"/>
          <w:color w:val="auto"/>
        </w:rPr>
        <w:t>) in the event that the growth in net revenue in any relevant Fiscal Year is greater than 12%, the Cash Flow Target with respect to such Fiscal Year shall be reduced by 3.4% for each 1% of growth in excess of 12% and (</w:t>
      </w:r>
      <w:r>
        <w:rPr>
          <w:rFonts w:ascii="Arial" w:cs="Arial" w:eastAsia="Arial" w:hAnsi="Arial"/>
          <w:sz w:val="18"/>
          <w:szCs w:val="18"/>
          <w:u w:val="single" w:color="auto"/>
          <w:color w:val="auto"/>
        </w:rPr>
        <w:t>ii</w:t>
      </w:r>
      <w:r>
        <w:rPr>
          <w:rFonts w:ascii="Arial" w:cs="Arial" w:eastAsia="Arial" w:hAnsi="Arial"/>
          <w:sz w:val="18"/>
          <w:szCs w:val="18"/>
          <w:color w:val="auto"/>
        </w:rPr>
        <w:t>) in the event that the growth in net revenue in any relevant Fiscal Year is less than 12%, the Cash Flow Target with respect to such Fiscal Year shall be increased by 3.4% for each 1% of growth below 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 TO STOCK OPTION AGREEMENT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purposes of this Appendix C, capitalized terms not defined in the Plan or the Agreement shall have the respective meanings ascribed to such terms in the Credit Agreement, dated as of July 31, 2008, amended and restated as of December 11, 2009 and as further amended and restated as of February 3, 2011, among Booz Allen Hamilton Investor Corporation (f/k/a Explorer Investor Corporation and as successor to BAH Borrower Corporation), a Delaware corporation, Booz Allen Hamilton Inc. (as successor to Explorer Merger Sub Corporation), the several banks and other financial institutions from time to time parties thereto, Credit Suisse AG, Cayman Islands Branch (f/k/a Credit Suisse, Cayman Islands Branch), as Administrative Agent and Collateral Agent for the Lenders and as Issuing Lender and Swingline Lender, Merrill Lynch, Pierce, Fenner &amp; Smith Incorporated (as successor to Banc of America Securities LLC) and Credit Suisse Securities (USA) LLC, as Joint Lead Arrangers, Merrill Lynch, Pierce, Fenner &amp; Smith Incorporated (as successor to Banc of America Securities LLC), Credit Suisse Securities (USA) LLC, Morgan Stanley Senior Funding, Inc., Goldman Sachs Bank USA, Barclays Capital and Sumitomo Mitsui Banking Corporation, as Joint Bookrunners, Bank of America, N.A., as Syndication Agent, and Barclays Bank PLC, as Documentation Agent</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of any Person for any period, Consolidated Net Income of such Person and its Restricted Subsidiaries for such period plus, without duplication and, if applicable, to the extent reflected as a charge in the statement of such Consolidated Net Income (regardless of classification) for such period, the sum of:</w:t>
      </w:r>
    </w:p>
    <w:p>
      <w:pPr>
        <w:spacing w:after="0" w:line="85" w:lineRule="exact"/>
        <w:rPr>
          <w:sz w:val="20"/>
          <w:szCs w:val="20"/>
          <w:color w:val="auto"/>
        </w:rPr>
      </w:pPr>
    </w:p>
    <w:p>
      <w:pPr>
        <w:ind w:right="180" w:firstLine="464"/>
        <w:spacing w:after="0" w:line="268"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taxes based on income (or similar taxes in lieu of income taxes), profits, capital (or equivalents), including federal, foreign, state, local, franchise, excise and similar taxes and foreign withholding taxes of such Person paid or accrued during such period;</w:t>
      </w:r>
    </w:p>
    <w:p>
      <w:pPr>
        <w:spacing w:after="0" w:line="13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Net Interest Expense and, to the extent not reflected in such Consolidated Net Interest Expense, any net losses on hedging obligations or other derivative instruments entered into for the purpose of hedging interest rate risk, amortization or write-off of debt discount and debt issuance costs and commissions, discounts and other fees and charges associated with Indebtedness (including commitment, letter of credit and administrative fees and charges with respect to the Facilities and the Mezzanine Loan Facility);</w:t>
      </w:r>
    </w:p>
    <w:p>
      <w:pPr>
        <w:spacing w:after="0" w:line="143" w:lineRule="exact"/>
        <w:rPr>
          <w:rFonts w:ascii="Arial" w:cs="Arial" w:eastAsia="Arial" w:hAnsi="Arial"/>
          <w:sz w:val="18"/>
          <w:szCs w:val="18"/>
          <w:color w:val="auto"/>
        </w:rPr>
      </w:pPr>
    </w:p>
    <w:p>
      <w:pPr>
        <w:ind w:right="280" w:firstLine="464"/>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and amortization expense and impairment charges (including deferred financing fees, capitalized software expenditures, intangibles (including goodwill), organization costs and amortization of unrecognized prior service costs and actuarial gains and losses related to pensions and other post-employment benefits);</w:t>
      </w:r>
    </w:p>
    <w:p>
      <w:pPr>
        <w:spacing w:after="0" w:line="140" w:lineRule="exact"/>
        <w:rPr>
          <w:rFonts w:ascii="Arial" w:cs="Arial" w:eastAsia="Arial" w:hAnsi="Arial"/>
          <w:sz w:val="18"/>
          <w:szCs w:val="18"/>
          <w:color w:val="auto"/>
        </w:rPr>
      </w:pPr>
    </w:p>
    <w:p>
      <w:pPr>
        <w:ind w:right="420" w:firstLine="464"/>
        <w:spacing w:after="0" w:line="259"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extraordinary, unusual or non-recurring expenses or losses (including losses on sales of assets outside of the ordinary course of business and restructuring and integration costs or reserves, including any severance costs, costs associated with office and facility openings, closings and consolidations, relocation costs and other non-recurring business optimization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4" w:right="259" w:bottom="1440" w:gutter="0" w:footer="0" w:header="0"/>
        </w:sectPr>
      </w:pPr>
    </w:p>
    <w:bookmarkStart w:id="51" w:name="page52"/>
    <w:bookmarkEnd w:id="51"/>
    <w:p>
      <w:pPr>
        <w:ind w:right="600" w:firstLine="464"/>
        <w:spacing w:after="0" w:line="268"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non-cash charges, expenses or losses (except to the extent such charges, expenses or losses represent an accrual of or reserve for cash expenses in any future period or an amortization of a prepaid cash expense paid in a prior period);</w:t>
      </w:r>
    </w:p>
    <w:p>
      <w:pPr>
        <w:spacing w:after="0" w:line="131" w:lineRule="exact"/>
        <w:rPr>
          <w:rFonts w:ascii="Arial" w:cs="Arial" w:eastAsia="Arial" w:hAnsi="Arial"/>
          <w:sz w:val="18"/>
          <w:szCs w:val="18"/>
          <w:color w:val="auto"/>
        </w:rPr>
      </w:pPr>
    </w:p>
    <w:p>
      <w:pPr>
        <w:ind w:right="140" w:firstLine="464"/>
        <w:spacing w:after="0" w:line="259" w:lineRule="auto"/>
        <w:tabs>
          <w:tab w:leader="none" w:pos="6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stock-option based and other equity-based compensation expenses (incurred pursuant to the Booz Allen Hamilton Holding Corporation Officers Rollover Stock Plan, the Amended and Restated Equity Incentive Plan of Booz Allen Hamilton Holding Corporation or any new equity incentive plans adopted by the Company);</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adjustments related to the impact of the purchase accounting treatment for the Transactions, including but not limited to accounting for contract award fees and deferred rent;</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savings in borrowing costs (i.e. possible reductions in interest expense) associated with any new deferred compensation programs, including but not limited to the Booz Allen Hamilton Inc. Executive Performance Plan;</w:t>
      </w:r>
    </w:p>
    <w:p>
      <w:pPr>
        <w:spacing w:after="0" w:line="131" w:lineRule="exact"/>
        <w:rPr>
          <w:rFonts w:ascii="Arial" w:cs="Arial" w:eastAsia="Arial" w:hAnsi="Arial"/>
          <w:sz w:val="18"/>
          <w:szCs w:val="18"/>
          <w:color w:val="auto"/>
        </w:rPr>
      </w:pPr>
    </w:p>
    <w:p>
      <w:pPr>
        <w:ind w:firstLine="464"/>
        <w:spacing w:after="0" w:line="294" w:lineRule="auto"/>
        <w:tabs>
          <w:tab w:leader="none" w:pos="6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transaction costs, fees, losses and expenses (whether or not any transaction is actually consummated) (including those relating to the Merger Transactions, the transactions contemplated hereby and by the Mezzanine Loan Documents (including any amendments or waivers of the Loan Documents or the Mezzanine Loan Documents), and those payable in connection with the sale of Capital Stock, the incurrence of Indebtedness permitted by Section 7.2 of the Credit Agreement, transactions permitted by Section 7.4 of the Credit Agreement, Dispositions permitted by Section 7.5 of the Credit Agreement, or any Permitted Acquisition or other Investment permitted by Section 7.7 of the Credit Agreement (in each case whether or not successful));</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fees and expenses paid pursuant to the Management Agreement;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proceeds from any business interruption insurance (to the extent not reflected as revenue or income in such statement of such Consolidated Net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w:t>
      </w:r>
    </w:p>
    <w:p>
      <w:pPr>
        <w:spacing w:after="0" w:line="164" w:lineRule="exact"/>
        <w:rPr>
          <w:rFonts w:ascii="Arial" w:cs="Arial" w:eastAsia="Arial" w:hAnsi="Arial"/>
          <w:sz w:val="16"/>
          <w:szCs w:val="16"/>
          <w:color w:val="auto"/>
        </w:rPr>
      </w:pPr>
    </w:p>
    <w:p>
      <w:pPr>
        <w:ind w:left="680" w:hanging="21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expenses relating to earn-outs and similar obligations;</w:t>
      </w:r>
    </w:p>
    <w:p>
      <w:pPr>
        <w:spacing w:after="0" w:line="171" w:lineRule="exact"/>
        <w:rPr>
          <w:rFonts w:ascii="Arial" w:cs="Arial" w:eastAsia="Arial" w:hAnsi="Arial"/>
          <w:sz w:val="18"/>
          <w:szCs w:val="18"/>
          <w:color w:val="auto"/>
        </w:rPr>
      </w:pPr>
    </w:p>
    <w:p>
      <w:pPr>
        <w:ind w:firstLine="464"/>
        <w:spacing w:after="0" w:line="259" w:lineRule="auto"/>
        <w:tabs>
          <w:tab w:leader="none" w:pos="7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charges, losses, lost profits, expenses or write-offs to the extent indemnified or insured by a third party, including expenses covered by indemnification provisions in any agreement in connection with the Merger Transactions, a Permitted Acquisition or any other acquisition permitted by Section 7.7 of the Credit Agreement;</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recognized and expenses incurred in connection with the effect of currency and exchange rate fluctuations on intercompany balances and other balance sheet items;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280"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minus, to the extent reflected as income or a gain in the statement of such Consolidated Net Income for such period, the sum of:</w:t>
      </w:r>
    </w:p>
    <w:p>
      <w:pPr>
        <w:spacing w:after="0" w:line="171"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extraordinary, unusual or non-recurring income or gains (including gains on the sales of assets outside of the ordinary course of business);</w:t>
      </w:r>
    </w:p>
    <w:p>
      <w:pPr>
        <w:spacing w:after="0" w:line="194" w:lineRule="exact"/>
        <w:rPr>
          <w:rFonts w:ascii="Arial" w:cs="Arial" w:eastAsia="Arial" w:hAnsi="Arial"/>
          <w:sz w:val="16"/>
          <w:szCs w:val="16"/>
          <w:color w:val="auto"/>
        </w:rPr>
      </w:pPr>
    </w:p>
    <w:p>
      <w:pPr>
        <w:jc w:val="both"/>
        <w:ind w:right="60" w:firstLine="464"/>
        <w:spacing w:after="0" w:line="306"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other non-cash income or gains (other than the accrual of revenue in the ordinary course), but excluding any such items (i) in respect of which cash was received in a prior period or will be received in a future period or (ii) which represent the reversal in such period of any accrual of, or reserve for, anticipated cash charges in any prior period where such accrual or reserve is no longer required, all as determined on a consolidated basis; and</w:t>
      </w:r>
    </w:p>
    <w:p>
      <w:pPr>
        <w:spacing w:after="0" w:line="106" w:lineRule="exact"/>
        <w:rPr>
          <w:rFonts w:ascii="Arial" w:cs="Arial" w:eastAsia="Arial" w:hAnsi="Arial"/>
          <w:sz w:val="16"/>
          <w:szCs w:val="16"/>
          <w:color w:val="auto"/>
        </w:rPr>
      </w:pPr>
    </w:p>
    <w:p>
      <w:pPr>
        <w:ind w:right="40" w:firstLine="464"/>
        <w:spacing w:after="0" w:line="268"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realized and income accrued in connection with the effect of currency and exchange rate fluctuations on intercompany balances and other balance sheet items;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provided that for purposes of calculating EBITDA of the Borrower and its Restricted Subsidiaries for any period, (A) the EBITDA of any Person or Properties constituting a division or line of business of any business entity, division or line of business, in each case, acquired by the Borrower or any of the Restricted Subsidiaries during such period and assuming any synergies, cost savings and other operating improvements to the extent certified by the Borrower as having been determined in good faith to be reasonably anticipated to be realizable within 12 months following such acquisition, or of any Subsidiary designated as a Restricted Subsidiary during such period, shall be included on a pro forma basis for such period (but assuming the consummation of such acquisition or such designation, as the case may be, occurred on the first day of such period) and (B) the EBITDA of any Person or Properties constituting a division or line of business of any business entity, division or line of business, in each case, Disposed of by the Borrower or any of the Restricted Subsidiaries during such period, or of any Subsidiary designated as an Unrestricted Subsidiary during such period, shall be excluded for such period (assuming the consummation of such Disposition or such designation, as the case may be, occurred on the first day of such period). With respect to each Subsidiary that is not a wholly-owned Subsidiary or any joint venture, for purposes of calculating EBITDA, the amount of income attributable to such Subsidiary or joint venture, as applicable, that shall be counted for such purposes shall equal the product of (x) the Borrower’s direct and/or indirect percentage ownership of such Subsidiary or joint venture and (y) the aggregate amount of the applicable item of such Subsidiary or joint venture, as applicable, except to the extent the application of GAAP already takes into account the non-wholly owned subsidiary relationship. Notwithstanding the forgoing, EBITDA shall be calculated without giving effect to the effects of purchase accounting or similar adjustments required or permitted by GAAP in connection with the Transactions, any Investment (including any Permitted Acquisition) and any other acquisition or Investment.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80"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1" w:lineRule="exact"/>
        <w:rPr>
          <w:rFonts w:ascii="Arial" w:cs="Arial" w:eastAsia="Arial" w:hAnsi="Arial"/>
          <w:sz w:val="18"/>
          <w:szCs w:val="18"/>
          <w:color w:val="auto"/>
        </w:rPr>
      </w:pPr>
    </w:p>
    <w:p>
      <w:pPr>
        <w:ind w:right="240" w:firstLine="8"/>
        <w:spacing w:after="0" w:line="332"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5" w:lineRule="exact"/>
        <w:rPr>
          <w:sz w:val="20"/>
          <w:szCs w:val="20"/>
          <w:color w:val="auto"/>
        </w:rPr>
      </w:pPr>
    </w:p>
    <w:p>
      <w:pPr>
        <w:ind w:right="8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sz w:val="20"/>
          <w:szCs w:val="20"/>
          <w:color w:val="auto"/>
        </w:rPr>
      </w:pPr>
    </w:p>
    <w:p>
      <w:pPr>
        <w:ind w:right="480" w:firstLine="8"/>
        <w:spacing w:after="0" w:line="268" w:lineRule="auto"/>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20" w:val="left"/>
          <w:tab w:leader="none" w:pos="6380" w:val="left"/>
        </w:tabs>
        <w:rPr>
          <w:sz w:val="20"/>
          <w:szCs w:val="20"/>
          <w:color w:val="auto"/>
        </w:rPr>
      </w:pPr>
      <w:r>
        <w:rPr>
          <w:rFonts w:ascii="Arial" w:cs="Arial" w:eastAsia="Arial" w:hAnsi="Arial"/>
          <w:sz w:val="18"/>
          <w:szCs w:val="18"/>
          <w:color w:val="auto"/>
        </w:rPr>
        <w:t>Date: February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Ralph W. Shrader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jc w:val="both"/>
        <w:ind w:right="320" w:firstLine="8"/>
        <w:spacing w:after="0" w:line="259"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and procedures (as defined in Exchange Act Rules 13a-15(e) and 15d-15(e)) for the registrant and have:</w:t>
      </w:r>
    </w:p>
    <w:p>
      <w:pPr>
        <w:spacing w:after="0" w:line="140"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1" w:lineRule="exact"/>
        <w:rPr>
          <w:rFonts w:ascii="Arial" w:cs="Arial" w:eastAsia="Arial" w:hAnsi="Arial"/>
          <w:sz w:val="18"/>
          <w:szCs w:val="18"/>
          <w:color w:val="auto"/>
        </w:rPr>
      </w:pPr>
    </w:p>
    <w:p>
      <w:pPr>
        <w:ind w:right="240" w:firstLine="8"/>
        <w:spacing w:after="0" w:line="332"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5" w:lineRule="exact"/>
        <w:rPr>
          <w:sz w:val="20"/>
          <w:szCs w:val="20"/>
          <w:color w:val="auto"/>
        </w:rPr>
      </w:pPr>
    </w:p>
    <w:p>
      <w:pPr>
        <w:ind w:right="80" w:firstLine="8"/>
        <w:spacing w:after="0" w:line="268" w:lineRule="auto"/>
        <w:tabs>
          <w:tab w:leader="none" w:pos="1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sz w:val="20"/>
          <w:szCs w:val="20"/>
          <w:color w:val="auto"/>
        </w:rPr>
      </w:pPr>
    </w:p>
    <w:p>
      <w:pPr>
        <w:ind w:right="480" w:firstLine="8"/>
        <w:spacing w:after="0" w:line="268" w:lineRule="auto"/>
        <w:tabs>
          <w:tab w:leader="none" w:pos="2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Date: February 3, 2012</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Samuel R. Strickland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2011,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43"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February 3, 2012</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Ralph W. Shrader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2011,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43"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February 3, 2012</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Samuel R. Strickland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1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5"/>
    </w:lvl>
  </w:abstractNum>
  <w:abstractNum w:abstractNumId="7">
    <w:nsid w:val="54E49EB4"/>
    <w:multiLevelType w:val="hybridMultilevel"/>
    <w:lvl w:ilvl="0">
      <w:lvlJc w:val="left"/>
      <w:lvlText w:val="•"/>
      <w:numFmt w:val="bullet"/>
      <w:start w:val="1"/>
    </w:lvl>
    <w:lvl w:ilvl="1">
      <w:lvlJc w:val="left"/>
      <w:lvlText w:val="(%2)"/>
      <w:numFmt w:val="lowerRoman"/>
      <w:start w:val="2"/>
    </w:lvl>
  </w:abstractNum>
  <w:abstractNum w:abstractNumId="8">
    <w:nsid w:val="71F32454"/>
    <w:multiLevelType w:val="hybridMultilevel"/>
    <w:lvl w:ilvl="0">
      <w:lvlJc w:val="left"/>
      <w:lvlText w:val="•"/>
      <w:numFmt w:val="bullet"/>
      <w:start w:val="1"/>
    </w:lvl>
    <w:lvl w:ilvl="1">
      <w:lvlJc w:val="left"/>
      <w:lvlText w:val="(%2)"/>
      <w:numFmt w:val="lowerRoman"/>
      <w:start w:val="4"/>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0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lvl w:ilvl="1">
      <w:lvlJc w:val="left"/>
      <w:lvlText w:val="(%2)"/>
      <w:numFmt w:val="lowerRoman"/>
      <w:start w:val="1"/>
    </w:lvl>
  </w:abstractNum>
  <w:abstractNum w:abstractNumId="21">
    <w:nsid w:val="614FD4A1"/>
    <w:multiLevelType w:val="hybridMultilevel"/>
    <w:lvl w:ilvl="0">
      <w:lvlJc w:val="left"/>
      <w:lvlText w:val="(%1)"/>
      <w:numFmt w:val="lowerLetter"/>
      <w:start w:val="3"/>
    </w:lvl>
  </w:abstractNum>
  <w:abstractNum w:abstractNumId="22">
    <w:nsid w:val="419AC241"/>
    <w:multiLevelType w:val="hybridMultilevel"/>
    <w:lvl w:ilvl="0">
      <w:lvlJc w:val="left"/>
      <w:lvlText w:val="(%1)"/>
      <w:numFmt w:val="lowerLetter"/>
      <w:start w:val="1"/>
    </w:lvl>
    <w:lvl w:ilvl="1">
      <w:lvlJc w:val="left"/>
      <w:lvlText w:val="(%2)"/>
      <w:numFmt w:val="lowerRoman"/>
      <w:start w:val="1"/>
    </w:lvl>
  </w:abstractNum>
  <w:abstractNum w:abstractNumId="23">
    <w:nsid w:val="5577F8E1"/>
    <w:multiLevelType w:val="hybridMultilevel"/>
    <w:lvl w:ilvl="0">
      <w:lvlJc w:val="left"/>
      <w:lvlText w:val="(%1)"/>
      <w:numFmt w:val="lowerLetter"/>
      <w:start w:val="3"/>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5"/>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lvl w:ilvl="1">
      <w:lvlJc w:val="left"/>
      <w:lvlText w:val="(%2)"/>
      <w:numFmt w:val="lowerRoman"/>
      <w:start w:val="1"/>
    </w:lvl>
  </w:abstractNum>
  <w:abstractNum w:abstractNumId="28">
    <w:nsid w:val="7724C67E"/>
    <w:multiLevelType w:val="hybridMultilevel"/>
    <w:lvl w:ilvl="0">
      <w:lvlJc w:val="left"/>
      <w:lvlText w:val="%1"/>
      <w:numFmt w:val="decimal"/>
      <w:start w:val="1"/>
    </w:lvl>
    <w:lvl w:ilvl="1">
      <w:lvlJc w:val="left"/>
      <w:lvlText w:val="(%2)"/>
      <w:numFmt w:val="lowerLetter"/>
      <w:start w:val="1"/>
    </w:lvl>
  </w:abstractNum>
  <w:abstractNum w:abstractNumId="29">
    <w:nsid w:val="5C482A97"/>
    <w:multiLevelType w:val="hybridMultilevel"/>
    <w:lvl w:ilvl="0">
      <w:lvlJc w:val="left"/>
      <w:lvlText w:val="(%1)"/>
      <w:numFmt w:val="decimal"/>
      <w:start w:val="90"/>
    </w:lvl>
    <w:lvl w:ilvl="1">
      <w:lvlJc w:val="left"/>
      <w:lvlText w:val="(%2)"/>
      <w:numFmt w:val="lowerLetter"/>
      <w:start w:val="2"/>
    </w:lvl>
  </w:abstractNum>
  <w:abstractNum w:abstractNumId="30">
    <w:nsid w:val="2463B9EA"/>
    <w:multiLevelType w:val="hybridMultilevel"/>
    <w:lvl w:ilvl="0">
      <w:lvlJc w:val="left"/>
      <w:lvlText w:val="(%1)"/>
      <w:numFmt w:val="lowerLetter"/>
      <w:start w:val="3"/>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2"/>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5"/>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2019-12-09T19:57:12Z</dcterms:created>
  <dcterms:modified xsi:type="dcterms:W3CDTF">2019-12-09T19:57:12Z</dcterms:modified>
</cp:coreProperties>
</file>