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715010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840" w:right="40" w:hanging="805"/>
        <w:spacing w:after="0" w:line="256" w:lineRule="auto"/>
        <w:tabs>
          <w:tab w:leader="none" w:pos="84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70" w:lineRule="exact"/>
        <w:rPr>
          <w:sz w:val="24"/>
          <w:szCs w:val="24"/>
          <w:color w:val="auto"/>
        </w:rPr>
      </w:pPr>
    </w:p>
    <w:p>
      <w:pPr>
        <w:ind w:left="840" w:right="38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351"/>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5"/>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34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113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5020" w:type="dxa"/>
            <w:vAlign w:val="bottom"/>
          </w:tcPr>
          <w:p>
            <w:pPr>
              <w:jc w:val="right"/>
              <w:ind w:right="41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040" w:type="dxa"/>
            <w:vAlign w:val="bottom"/>
          </w:tcPr>
          <w:p>
            <w:pPr>
              <w:spacing w:after="0"/>
              <w:rPr>
                <w:sz w:val="16"/>
                <w:szCs w:val="16"/>
                <w:color w:val="auto"/>
              </w:rPr>
            </w:pPr>
          </w:p>
        </w:tc>
        <w:tc>
          <w:tcPr>
            <w:tcW w:w="5020" w:type="dxa"/>
            <w:vAlign w:val="bottom"/>
          </w:tcPr>
          <w:p>
            <w:pPr>
              <w:jc w:val="right"/>
              <w:ind w:right="316"/>
              <w:spacing w:after="0"/>
              <w:rPr>
                <w:sz w:val="20"/>
                <w:szCs w:val="20"/>
                <w:color w:val="auto"/>
              </w:rPr>
            </w:pPr>
            <w:r>
              <w:rPr>
                <w:rFonts w:ascii="Arial" w:cs="Arial" w:eastAsia="Arial" w:hAnsi="Arial"/>
                <w:sz w:val="14"/>
                <w:szCs w:val="14"/>
                <w:b w:val="1"/>
                <w:bCs w:val="1"/>
                <w:color w:val="auto"/>
              </w:rPr>
              <w:t>as of November 1, 2017</w:t>
            </w: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145,812,022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502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5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502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60"/>
          </w:cols>
          <w:pgMar w:left="240" w:top="854" w:right="5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21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1">
              <w:r>
                <w:rPr>
                  <w:rFonts w:ascii="Arial" w:cs="Arial" w:eastAsia="Arial" w:hAnsi="Arial"/>
                  <w:sz w:val="18"/>
                  <w:szCs w:val="18"/>
                  <w:b w:val="1"/>
                  <w:bCs w:val="1"/>
                  <w:color w:val="0000EE"/>
                  <w:w w:val="79"/>
                </w:rPr>
                <w:t>38</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41">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1">
              <w:r>
                <w:rPr>
                  <w:rFonts w:ascii="Arial" w:cs="Arial" w:eastAsia="Arial" w:hAnsi="Arial"/>
                  <w:sz w:val="18"/>
                  <w:szCs w:val="18"/>
                  <w:b w:val="1"/>
                  <w:bCs w:val="1"/>
                  <w:color w:val="0000EE"/>
                  <w:w w:val="79"/>
                </w:rPr>
                <w:t>38</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2">
              <w:r>
                <w:rPr>
                  <w:rFonts w:ascii="Arial" w:cs="Arial" w:eastAsia="Arial" w:hAnsi="Arial"/>
                  <w:sz w:val="18"/>
                  <w:szCs w:val="18"/>
                  <w:b w:val="1"/>
                  <w:bCs w:val="1"/>
                  <w:color w:val="0000EE"/>
                  <w:w w:val="79"/>
                </w:rPr>
                <w:t>39</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2">
              <w:r>
                <w:rPr>
                  <w:rFonts w:ascii="Arial" w:cs="Arial" w:eastAsia="Arial" w:hAnsi="Arial"/>
                  <w:sz w:val="18"/>
                  <w:szCs w:val="18"/>
                  <w:b w:val="1"/>
                  <w:bCs w:val="1"/>
                  <w:color w:val="0000EE"/>
                  <w:w w:val="79"/>
                </w:rPr>
                <w:t>39</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1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Defaults Upon Senior Securities</w:t>
              </w:r>
            </w:hyperlink>
          </w:p>
        </w:tc>
        <w:tc>
          <w:tcPr>
            <w:tcW w:w="496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43">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41</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98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217,417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1,026,477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991,810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85,253</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1,449,277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1,294,480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139,167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263,880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271,880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1,571,190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93,568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96,388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3,529,635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3,373,105</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63,150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193,150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504,117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253,305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263,816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140,318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969,507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1,101,401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1,470,174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239,948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227,939</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2,993,352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2,799,514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157,224,367 shares at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6"/>
              </w:rPr>
              <w:t>September 30, 2017 and 155,901,485 shares at March 31, 2017; outstanding, 145,591,022 shares at</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September 30, 2017 and 148,887,708 shares at March 31, 2017</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0"/>
              </w:rPr>
              <w:t>Treasury stock, at cost — 11,633,345 shares at September 30, 2017 and 7,013,777 shares at March 31, 2017</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(191,900)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324,500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302,907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478,102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536,283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573,591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3,529,635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3,373,105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84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800" w:type="dxa"/>
            <w:vAlign w:val="bottom"/>
            <w:gridSpan w:val="4"/>
          </w:tcPr>
          <w:p>
            <w:pPr>
              <w:jc w:val="center"/>
              <w:ind w:right="25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800" w:type="dxa"/>
            <w:vAlign w:val="bottom"/>
            <w:gridSpan w:val="4"/>
          </w:tcPr>
          <w:p>
            <w:pPr>
              <w:jc w:val="center"/>
              <w:ind w:right="27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1,542,085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1,394,853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3,035,655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2,817,575</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700,909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658,068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1,399,447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1,315,022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483,556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409,991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935,220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842,256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215,088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403,543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384,157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16,046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14,677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31,495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29,178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1,415,599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1,277,192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2,769,705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2,570,613</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126,486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265,950</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246,962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106,091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227,569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211,111</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35,178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34,917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77,116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80,464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70,913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150,453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130,647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Dividends declared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500" w:top="985" w:right="479" w:bottom="1440" w:gutter="0" w:footer="0" w:header="0"/>
        </w:sectPr>
      </w:pPr>
    </w:p>
    <w:bookmarkStart w:id="5" w:name="page6"/>
    <w:bookmarkEnd w:id="5"/>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5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gridSpan w:val="4"/>
          </w:tcPr>
          <w:p>
            <w:pPr>
              <w:jc w:val="center"/>
              <w:ind w:right="233"/>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518"/>
              <w:spacing w:after="0" w:line="151" w:lineRule="exact"/>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3"/>
                <w:szCs w:val="13"/>
                <w:color w:val="auto"/>
              </w:rPr>
            </w:pPr>
          </w:p>
        </w:tc>
      </w:tr>
      <w:tr>
        <w:trPr>
          <w:trHeight w:val="192"/>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1"/>
              </w:rPr>
              <w:t>(Amounts in thousands)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70,913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62,830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150,453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130,647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derivatives designated as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Change in postretirement plan costs</w:t>
            </w:r>
          </w:p>
        </w:tc>
        <w:tc>
          <w:tcPr>
            <w:tcW w:w="34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914</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(loss) income,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71,150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63,287</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150,543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131,561</w:t>
            </w:r>
          </w:p>
        </w:tc>
      </w:tr>
      <w:tr>
        <w:trPr>
          <w:trHeight w:val="27"/>
        </w:trPr>
        <w:tc>
          <w:tcPr>
            <w:tcW w:w="5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0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150,453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130,647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29,178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178,062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217,083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Insurance proceeds received for damage to equipment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(168,498)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(676,750)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373,291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630,273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119,694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217,417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187,529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330,043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307,223</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82,035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36,609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98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85" w:right="239" w:bottom="1440" w:gutter="0" w:footer="0" w:header="0"/>
          <w:type w:val="continuous"/>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both"/>
        <w:ind w:left="2180" w:right="2140" w:firstLine="11"/>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Booz Allen Hamilton Holding Corporation, including its wholly owned subsidiaries, or Holding, the Company or we, us, and our, was incorporated in Delaware in May 2008. The Company provides management and technology consulting, engineering, analytics,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24,200 employees as of September 30,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2017.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six months ended September 30, 2017 are not necessarily indicative of results to be expected for the full fiscal year.</w:t>
      </w:r>
    </w:p>
    <w:p>
      <w:pPr>
        <w:spacing w:after="0" w:line="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and costs to complete fixed-price contracts, bonus and other incentive compensation,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In August 2017, the Financial Accounting Standards Board, or the FASB, issued ASU 2017-12, </w:t>
      </w:r>
      <w:r>
        <w:rPr>
          <w:rFonts w:ascii="Arial" w:cs="Arial" w:eastAsia="Arial" w:hAnsi="Arial"/>
          <w:sz w:val="18"/>
          <w:szCs w:val="18"/>
          <w:i w:val="1"/>
          <w:iCs w:val="1"/>
          <w:color w:val="auto"/>
        </w:rPr>
        <w:t>Targeted Improvements to Accounting for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This guidance eliminates the requirement to separately measure and report hedge ineffectiveness and generally requires, for qualifying hedges,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entire change in the fair value of a hedging instrument to be presented in the same income statement line as the hedged item. Additionally, the guidance also expands an entity's ability to apply hedge accounting for nonfinancial and financial risk components, simplifies the hedge documentation and hedge effectiveness assessment requirements, and modifies certain disclosure requirements. ASU 2017-12 is effective for reporting periods beginning after December 15, 2018, with early adoption permitted. The Company does not expect the adoption of this standard to have a material impact on its consolidated financial statements.</w:t>
      </w:r>
    </w:p>
    <w:p>
      <w:pPr>
        <w:spacing w:after="0" w:line="8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which will change the presentation of net periodic benefit cost components on the condensed consolidated statement of operations. Under this guidance, the service cost component of net periodic benefit cost will continue to be presented in the same line items as other employee compensation costs, while the remaining components of net periodic benefit costs are to be presented outside operating income. ASU 2017-07 is effective for annual reporting periods beginning after December 15, 2017 and is to be applied retrospectively, with early adoption permitted. The Company is assessing the effect that the adoption of this guidance will have on its condensed consolidated financial statements.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742" w:right="279" w:bottom="1440" w:gutter="0" w:footer="0" w:header="0"/>
        </w:sectPr>
      </w:pPr>
    </w:p>
    <w:bookmarkStart w:id="8" w:name="page9"/>
    <w:bookmarkEnd w:id="8"/>
    <w:p>
      <w:pPr>
        <w:ind w:firstLine="405"/>
        <w:spacing w:after="0" w:line="273" w:lineRule="auto"/>
        <w:rPr>
          <w:sz w:val="20"/>
          <w:szCs w:val="20"/>
          <w:color w:val="auto"/>
        </w:rPr>
      </w:pPr>
      <w:r>
        <w:rPr>
          <w:rFonts w:ascii="Arial" w:cs="Arial" w:eastAsia="Arial" w:hAnsi="Arial"/>
          <w:sz w:val="17"/>
          <w:szCs w:val="17"/>
          <w:color w:val="auto"/>
        </w:rPr>
        <w:t xml:space="preserve">In March 2016, the FASB issued Accounting Standards Update, or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simplifies several aspects of the accounting for share-based payment award transactions related to accounting for income taxes, forfeitures, statutory tax withholding requirements, classification of awards as either equity or liabilities, and classification of employee taxes paid on the statements of cash flows when an employer withholds shares for tax-withholding purposes. The Company adopted ASU 2016-09 in the first quarter of fiscal 2018. Certain of the simplification provisions were not applicable to the Company. The Company will continue its existing practice of estimating the number of forfeitures that are expected to occur rather than account for forfeitures when they occur as permitted under the new guidance.</w:t>
      </w:r>
    </w:p>
    <w:p>
      <w:pPr>
        <w:spacing w:after="0" w:line="7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primary impacts of adopting ASU 2016-09 were those related to excess tax benefits and tax deficiencies. The new guidance requires that such amounts be recognized as income tax expense or benefit in the statement of operations, which could result in fluctuations in the Company's effective tax rate period over period depending on how many awards vest, or options are exercised, in a quarter. The guidance also requires that the cash flows associated with these transactions be presented with other income tax related cash flows in the operating activities section of the statement of cash flows. The Company recognized excess tax benefits of $2.4 million and $9.3 million during the three and six months ended September 30, 2017, respectively, as a reduction to income tax expense in the condensed consolidated statement of operations. As discussed further in Note 10, the effect of adopting ASU 2016-09 resulted in a decrease in the Company's current period effective tax rate. As permitted, the Company adopted the guidance related to the presentation of excess tax benefits in the condensed consolidated statement of cash flows on a prospective basis. Prior period amounts were not adjusted.</w:t>
      </w:r>
    </w:p>
    <w:p>
      <w:pPr>
        <w:spacing w:after="0" w:line="5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to increase transparency and comparability of accounting for lease transactions. The new standard requires lessees to recognize lease assets and lease liabilities on their balance sheet for all leases with a lease term of greater than 12 months. Lessor accounting is largely unchanged. ASU 2016-02 is effective for fiscal years beginning after December 15, 2018, with early adoption permitted. The Company is assessing what effect the adoption of this standard may have on its condensed consolidated financial statements.</w:t>
      </w:r>
    </w:p>
    <w:p>
      <w:pPr>
        <w:spacing w:after="0" w:line="63"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In May 2014, the FASB issued Accounting Standard Codification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w:t>
      </w:r>
      <w:r>
        <w:rPr>
          <w:rFonts w:ascii="Arial" w:cs="Arial" w:eastAsia="Arial" w:hAnsi="Arial"/>
          <w:sz w:val="18"/>
          <w:szCs w:val="18"/>
          <w:i w:val="1"/>
          <w:iCs w:val="1"/>
          <w:color w:val="auto"/>
        </w:rPr>
        <w:t>.</w:t>
      </w:r>
      <w:r>
        <w:rPr>
          <w:rFonts w:ascii="Arial" w:cs="Arial" w:eastAsia="Arial" w:hAnsi="Arial"/>
          <w:sz w:val="18"/>
          <w:szCs w:val="18"/>
          <w:color w:val="auto"/>
        </w:rPr>
        <w:t xml:space="preserve"> Topic 606, as amended, will replace existing revenue recognition standards by outlining a single set of comprehensive principles for recognizing revenue. Amendments to Topic 606 have generally focused on promoting a more consistent interpretation and application of the principles for recognizing revenue. The new guidance will also significantly expand the disclosure requirements for revenue arrangements. In July 2015, the FASB approved a one-year delay in the effective date of the standard, which will now be effective for the Company beginning on April 1, 2018 (i.e., beginning with the first quarter of fiscal 2019 financial statements). In August 2017, the Securities and Exchange Commission, or the SEC, issued Staff Accounting Bulletin No. 116, which conforms existing SEC staff guidance to the guidance in Topic 606, as amended. This conforming of accounting guidance is not expected to have a significant impact to our revenue recognition policies and related practices.</w:t>
      </w:r>
    </w:p>
    <w:p>
      <w:pPr>
        <w:spacing w:after="0" w:line="84"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The Company anticipates adopting the new revenue standard retrospectively to all periods presented; however, the Company's ability to adopt using the full retrospective method is dependent on system and process readiness and the completion of its analysis of information necessary to recast its prior period financial statements and provide related disclosures. While the effort to modify accounting systems and business processes to enable full retrospective adoption is not transformative, the identified modifications are complex and are still being implemented and tested to ensure they can support changes to the Company's accounting practices. Because Topic 606 will also require expanded disclosures regarding the nature, timing and uncertainty of revenue and contract balances, including how and when the Company satisfies our performance obligations and the relationship between revenue recognized and changes in contract balances during a reporting period, the Company is continuing to evaluate these disclosure requirements and is incorporating the relevant collection of data in its systems and processes. The Company anticipates finalizing its systems and process modifications during the fourth quarter of fiscal 2018.</w:t>
      </w:r>
    </w:p>
    <w:p>
      <w:pPr>
        <w:spacing w:after="0" w:line="89"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 dedicated implementation team continues to make progress toward adopting and implementing the new standard. During the second quarter of fiscal 2018, the Company made substantial progress toward its overall assessment of Topic 606. The Company's comprehensive assessment has currently identified the following key findings:</w:t>
      </w:r>
    </w:p>
    <w:p>
      <w:pPr>
        <w:spacing w:after="0" w:line="73" w:lineRule="exact"/>
        <w:rPr>
          <w:sz w:val="20"/>
          <w:szCs w:val="20"/>
          <w:color w:val="auto"/>
        </w:rPr>
      </w:pPr>
    </w:p>
    <w:p>
      <w:pPr>
        <w:ind w:left="34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continues to expect insignificant changes related to recognizing revenue and earnings over time for long-term contracts as work progresses because of the continuous transfer of control to the customer, generally using an input measure (e.g., costs incurred) to reflect progress.</w:t>
      </w:r>
    </w:p>
    <w:p>
      <w:pPr>
        <w:spacing w:after="0" w:line="15" w:lineRule="exact"/>
        <w:rPr>
          <w:rFonts w:ascii="Arial" w:cs="Arial" w:eastAsia="Arial" w:hAnsi="Arial"/>
          <w:sz w:val="16"/>
          <w:szCs w:val="16"/>
          <w:color w:val="auto"/>
        </w:rPr>
      </w:pPr>
    </w:p>
    <w:p>
      <w:pPr>
        <w:ind w:left="340" w:right="18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determination of the customer and contract under Topic 606 is not expected to significantly change; however, revenue previously deferred for non-federal government arrangements that commenced without a signed, written contract may be recognized under Topic 606 when such arrangements are legally enforceable under applicable laws and regulations.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54" w:right="259" w:bottom="1440" w:gutter="0" w:footer="0" w:header="0"/>
        </w:sectPr>
      </w:pPr>
    </w:p>
    <w:bookmarkStart w:id="9" w:name="page10"/>
    <w:bookmarkEnd w:id="9"/>
    <w:p>
      <w:pPr>
        <w:ind w:left="340" w:right="40" w:hanging="332"/>
        <w:spacing w:after="0" w:line="2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determined that in its federal government contract portfolio, there are certain periods of performance option exercises that will be evaluated as separate performance obligations or new arrangements for accounting purposes due to their distinct nature. For example, these situations may arise when options to renew the period of performance are not exercised within a relatively short period after execution of the base contract are thus evaluated to be separate and unrelated purchasing decisions by the customer, or when an option exercise is the continuation of an integrated service, finished deliverable, or a single combined output.</w:t>
      </w:r>
    </w:p>
    <w:p>
      <w:pPr>
        <w:spacing w:after="0" w:line="80"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determination of contract transaction price associated with performance-based contracts (i.e., incentive or award-based contracts) will generally be consistent with the Company's current measurement practices for such contracts. Additionally, although the amount of revenue is not expected to change, the Company's estimates at completion for most fixed price contracts will now include unfunded components.</w:t>
      </w:r>
    </w:p>
    <w:p>
      <w:pPr>
        <w:spacing w:after="0" w:line="57"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with significant up-front materials are expected to see an increase in the amount of revenue and costs recognized upon the date of the adoption, but the change in profitability is not expected to be significant.</w:t>
      </w:r>
    </w:p>
    <w:p>
      <w:pPr>
        <w:spacing w:after="0" w:line="6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is continuing to refine its process for quantifying the financial statement impacts associated with the full retrospective method and it anticipates disclosing those impacts and its assessment of materiality in conjunction with reporting its results for the third quarter of fiscal 2018. The Company will continue to evaluate the impact of Topic 606 and changes thereto on its accounting policies, internal controls (including the adoption of implementation-periods controls), and business processes through the date of adoption.</w:t>
      </w:r>
    </w:p>
    <w:p>
      <w:pPr>
        <w:spacing w:after="0" w:line="79"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Other accounting and reporting pronouncements issued after September 30, 2017 are not expected to have a material impact on the Company's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and second quarters of fiscal 2018 and 2017.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5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252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129,286</w:t>
            </w:r>
          </w:p>
        </w:tc>
        <w:tc>
          <w:tcPr>
            <w:tcW w:w="0" w:type="dxa"/>
            <w:vAlign w:val="bottom"/>
          </w:tcPr>
          <w:p>
            <w:pPr>
              <w:spacing w:after="0"/>
              <w:rPr>
                <w:sz w:val="1"/>
                <w:szCs w:val="1"/>
                <w:color w:val="auto"/>
              </w:rPr>
            </w:pPr>
          </w:p>
        </w:tc>
      </w:tr>
      <w:tr>
        <w:trPr>
          <w:trHeight w:val="229"/>
        </w:trPr>
        <w:tc>
          <w:tcPr>
            <w:tcW w:w="536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for basic</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20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w w:val="97"/>
              </w:rPr>
              <w:t>147,085,314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148,008,994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w w:val="97"/>
              </w:rPr>
              <w:t>147,400,153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147,625,388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diluted computations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129,300</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1,802,183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2,191,460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1,976,722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2,289,028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for diluted</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148,887,497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150,200,454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149,376,875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149,914,416</w:t>
            </w:r>
          </w:p>
        </w:tc>
        <w:tc>
          <w:tcPr>
            <w:tcW w:w="0" w:type="dxa"/>
            <w:vAlign w:val="bottom"/>
          </w:tcPr>
          <w:p>
            <w:pPr>
              <w:spacing w:after="0"/>
              <w:rPr>
                <w:sz w:val="1"/>
                <w:szCs w:val="1"/>
                <w:color w:val="auto"/>
              </w:rPr>
            </w:pPr>
          </w:p>
        </w:tc>
      </w:tr>
      <w:tr>
        <w:trPr>
          <w:trHeight w:val="223"/>
        </w:trPr>
        <w:tc>
          <w:tcPr>
            <w:tcW w:w="536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8"/>
        <w:spacing w:after="0" w:line="25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ended September 30, 2017 and 2016, approximately 1.4 million and 1.6 million participating securities, respectively, were paid dividends totaling $0.2 million in both periods. During the six months ended September 30, 2017 and 2016, approximately 1.4 million and 1.6 million participating securities, respectively, were paid dividends totaling $0.4 million in both periods. For the three and six months ended September 30, 2017, there were undistributed earnings of $0.4 million and $0.9 million, respectively, allocated to the participating class of securities in both basic and diluted EPS. For the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854" w:right="27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three and six months ended September 30, 2016 there were undistributed earnings of $0.4 million and $0.9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and six months ended September 30, 2017 and 2016.</w:t>
      </w:r>
    </w:p>
    <w:p>
      <w:pPr>
        <w:spacing w:after="0" w:line="29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EPS calculation for the three and six months ended September 30, 2017 excludes 0.4 million and 0.3 million options, respectively, as their impact was anti-dilutive. The EPS calculation for the three months ended September 30, 2016 excludes no anti-dilutive options. The EPS calculation for the six months ended September 30, 2016 excludes 0.5 million options, as their impact was anti-dilutive.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On January 24, 2017, the Company acquired eGov Holdings, Inc., which we refer to as Aquilent. As a result of the transaction, Aquilent became a wholly owned subsidiary of the Company. Aquilent is an architect of IT solutions for the U.S. federal government. The acquisition further expands the Company's ability to blend its consulting heritage with advanced technical expertise.</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acquisition of Aquilent has been accounted for under the acquisition method of accounting, which requires the total acquisition consideration to be allocated to the assets acquired and liabilities assumed based on an estimate of the acquisition date fair value, with the difference reflected in goodwill. During the first quarter of fiscal 2018, the Company finalized Aquilent's post-closing working capital.</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final determination of the total consideration transferred (including adjustments subsequent to closing):</w:t>
      </w:r>
    </w:p>
    <w:p>
      <w:pPr>
        <w:spacing w:after="0" w:line="267" w:lineRule="exact"/>
        <w:rPr>
          <w:sz w:val="20"/>
          <w:szCs w:val="20"/>
          <w:color w:val="auto"/>
        </w:rPr>
      </w:pPr>
    </w:p>
    <w:tbl>
      <w:tblPr>
        <w:tblLayout w:type="fixed"/>
        <w:tblInd w:w="700" w:type="dxa"/>
        <w:tblCellMar>
          <w:top w:w="0" w:type="dxa"/>
          <w:left w:w="0" w:type="dxa"/>
          <w:bottom w:w="0" w:type="dxa"/>
          <w:right w:w="0" w:type="dxa"/>
        </w:tblCellMar>
      </w:tblP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purchase price paid to Aquilent shareholders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Working capital and other closing adjustments</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cash on hand</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Acquisition-related compensation expenses</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r>
      <w:tr>
        <w:trPr>
          <w:trHeight w:val="257"/>
        </w:trPr>
        <w:tc>
          <w:tcPr>
            <w:tcW w:w="7820" w:type="dxa"/>
            <w:vAlign w:val="bottom"/>
          </w:tcPr>
          <w:p>
            <w:pPr>
              <w:ind w:left="160"/>
              <w:spacing w:after="0"/>
              <w:rPr>
                <w:sz w:val="20"/>
                <w:szCs w:val="20"/>
                <w:color w:val="auto"/>
              </w:rPr>
            </w:pPr>
            <w:r>
              <w:rPr>
                <w:rFonts w:ascii="Arial" w:cs="Arial" w:eastAsia="Arial" w:hAnsi="Arial"/>
                <w:sz w:val="18"/>
                <w:szCs w:val="18"/>
                <w:color w:val="auto"/>
              </w:rPr>
              <w:t>Total purchase consideration transferred at closing</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253,554</w:t>
            </w:r>
          </w:p>
        </w:tc>
      </w:tr>
      <w:tr>
        <w:trPr>
          <w:trHeight w:val="20"/>
        </w:trPr>
        <w:tc>
          <w:tcPr>
            <w:tcW w:w="7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As part of the acquisition, the Company and the selling shareholders of Aquilent agreed to jointly make an election under Section 338(h)(10) of the Internal Revenue Code of 1986, as amended, or the Code, to treat the acquisition as an asset purchase for income tax purposes. The Company agreed to reimburse the selling stockholders for previously unrealized tax consequences on Aquilent's prior tax-return positions that became realized upon acquisition; and agreed to indemnify the selling stockholders for potential, incremental increases in income taxes and related costs as a result of the Section 338(h)(10) election. The indemnity was evaluated to be acquisition-related contingent consideration, which was valued at the acquisition date fair value of $3.6 million. The acquisition-related contingent consideration was calculated using probability-weighted cash flows and significant unobservable inputs (Level 3) as described under the fair value hierarchy of ASC 820, Fair Value Measurements, or ASC 820.</w:t>
      </w:r>
    </w:p>
    <w:p>
      <w:pPr>
        <w:spacing w:after="0" w:line="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recorded the assets acquired and liabilities assumed at their acquisition date fair value, with the difference between the fair value of the net assets acquired and the acquisition consideration reflected as goodwill. The following table represents the final fair value of assets acquired and liabilities assumed: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854" w:right="299" w:bottom="1440" w:gutter="0" w:footer="0" w:header="0"/>
        </w:sectPr>
      </w:pPr>
    </w:p>
    <w:bookmarkStart w:id="11" w:name="page12"/>
    <w:bookmarkEnd w:id="11"/>
    <w:tbl>
      <w:tblPr>
        <w:tblLayout w:type="fixed"/>
        <w:tblInd w:w="700" w:type="dxa"/>
        <w:tblCellMar>
          <w:top w:w="0" w:type="dxa"/>
          <w:left w:w="0" w:type="dxa"/>
          <w:bottom w:w="0" w:type="dxa"/>
          <w:right w:w="0" w:type="dxa"/>
        </w:tblCellMar>
      </w:tblP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Final allocation:</w:t>
            </w: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15,809</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tangible assets</w:t>
            </w:r>
          </w:p>
        </w:tc>
        <w:tc>
          <w:tcPr>
            <w:tcW w:w="8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Customer-relationship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199,826</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Tax liability</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(13,554)</w:t>
            </w:r>
          </w:p>
        </w:tc>
      </w:tr>
      <w:tr>
        <w:trPr>
          <w:trHeight w:val="27"/>
        </w:trPr>
        <w:tc>
          <w:tcPr>
            <w:tcW w:w="7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uncertainty</w:t>
            </w:r>
          </w:p>
        </w:tc>
        <w:tc>
          <w:tcPr>
            <w:tcW w:w="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r>
      <w:tr>
        <w:trPr>
          <w:trHeight w:val="257"/>
        </w:trPr>
        <w:tc>
          <w:tcPr>
            <w:tcW w:w="7820" w:type="dxa"/>
            <w:vAlign w:val="bottom"/>
          </w:tcPr>
          <w:p>
            <w:pPr>
              <w:ind w:left="100"/>
              <w:spacing w:after="0"/>
              <w:rPr>
                <w:sz w:val="20"/>
                <w:szCs w:val="20"/>
                <w:color w:val="auto"/>
              </w:rPr>
            </w:pPr>
            <w:r>
              <w:rPr>
                <w:rFonts w:ascii="Arial" w:cs="Arial" w:eastAsia="Arial" w:hAnsi="Arial"/>
                <w:sz w:val="18"/>
                <w:szCs w:val="18"/>
                <w:color w:val="auto"/>
              </w:rPr>
              <w:t>Total purchase consideration transfer at closing</w:t>
            </w:r>
          </w:p>
        </w:tc>
        <w:tc>
          <w:tcPr>
            <w:tcW w:w="8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253,554</w:t>
            </w:r>
          </w:p>
        </w:tc>
      </w:tr>
      <w:tr>
        <w:trPr>
          <w:trHeight w:val="20"/>
        </w:trPr>
        <w:tc>
          <w:tcPr>
            <w:tcW w:w="7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identifiable customer-relationship intangible asset of $69 million was valued using the excess earnings method discounted cash flow approach, incorporating Level 3 inputs as described under the fair value hierarchy of ASC 820. These unobservable inputs reflect the Company's own assumptions about which assumptions market participants would use in pricing an asset on a non-recurring basis. This asset will be amortized over the estimated useful life of 12 years.</w:t>
      </w:r>
    </w:p>
    <w:p>
      <w:pPr>
        <w:spacing w:after="0" w:line="7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As part of the acquisition, the Company agreed to reimburse the selling stockholders for previously unrealized tax consequences on Aquilent's prior tax-return positions that become realized with the acquisition. Accordingly, the Company recognized a tax liability of $13.6 million. The obligation was relieved and paid during the first quarter of fiscal 2018. The Company continues to carry a related reserve of $10.2 million for income tax uncertainties created with the acquisition resulting from uncertainty in the sustainability of Aquilent's prior tax-return positions under examination with the relevant tax authorities.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goodwill of $199.8 million was primarily attributed to the specialized workforce and the expected synergies between the Company and Aquilent.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goodwill is expected to be deductible for tax purposes.</w:t>
      </w:r>
    </w:p>
    <w:p>
      <w:pPr>
        <w:spacing w:after="0" w:line="10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There were no material acquisitions during the second quarter of fiscal 2018 or through the subsequent period to the issuance of the current financial statements.</w:t>
      </w:r>
    </w:p>
    <w:p>
      <w:pPr>
        <w:spacing w:after="0" w:line="27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 OF ALLOWANCE</w:t>
      </w:r>
    </w:p>
    <w:p>
      <w:pPr>
        <w:spacing w:after="0" w:line="12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net consisted of the following:</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406,228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340,716</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651,094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1,026,477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991,810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59,913</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1,085,191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1,051,723</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Unbilled amounts represent revenues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provision for doubtful accounts (including certain unbilled reserves) of $2.2 million and $0.2 million for the three months ended September 30, 2017 and 2016, respectively, and $3.1 million and $0.8 million for both the six months ended September 30, 2017 and 2016.</w:t>
      </w:r>
    </w:p>
    <w:p>
      <w:pPr>
        <w:spacing w:after="0" w:line="8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continuously reviews its accounts receivable and records provisions for doubtful accounts as needed.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16" w:right="239" w:bottom="1440" w:gutter="0" w:footer="0" w:header="0"/>
        </w:sectPr>
      </w:pPr>
    </w:p>
    <w:bookmarkStart w:id="12" w:name="page13"/>
    <w:bookmarkEnd w:id="12"/>
    <w:p>
      <w:pPr>
        <w:ind w:left="440" w:right="5680" w:hanging="432"/>
        <w:spacing w:after="0" w:line="428" w:lineRule="auto"/>
        <w:tabs>
          <w:tab w:leader="none" w:pos="18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298,325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268,630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232,016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235,487</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530,341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504,117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18 for further discussion of this reserve.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60,910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31,879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126,286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25,146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29,686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DEBT</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Debt consisted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24"/>
                <w:szCs w:val="24"/>
                <w:color w:val="auto"/>
              </w:rPr>
            </w:pPr>
          </w:p>
        </w:tc>
        <w:tc>
          <w:tcPr>
            <w:tcW w:w="288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5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3"/>
                <w:szCs w:val="13"/>
                <w:color w:val="auto"/>
              </w:rPr>
            </w:pPr>
          </w:p>
        </w:tc>
        <w:tc>
          <w:tcPr>
            <w:tcW w:w="1260" w:type="dxa"/>
            <w:vAlign w:val="bottom"/>
            <w:gridSpan w:val="2"/>
          </w:tcPr>
          <w:p>
            <w:pPr>
              <w:jc w:val="right"/>
              <w:ind w:right="350"/>
              <w:spacing w:after="0" w:line="153" w:lineRule="exact"/>
              <w:rPr>
                <w:sz w:val="20"/>
                <w:szCs w:val="20"/>
                <w:color w:val="auto"/>
              </w:rPr>
            </w:pPr>
            <w:r>
              <w:rPr>
                <w:rFonts w:ascii="Arial" w:cs="Arial" w:eastAsia="Arial" w:hAnsi="Arial"/>
                <w:sz w:val="14"/>
                <w:szCs w:val="14"/>
                <w:b w:val="1"/>
                <w:bCs w:val="1"/>
                <w:color w:val="auto"/>
              </w:rPr>
              <w:t>Outstanding</w:t>
            </w:r>
          </w:p>
        </w:tc>
        <w:tc>
          <w:tcPr>
            <w:tcW w:w="142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Pr>
          <w:p>
            <w:pPr>
              <w:spacing w:after="0"/>
              <w:rPr>
                <w:sz w:val="16"/>
                <w:szCs w:val="16"/>
                <w:color w:val="auto"/>
              </w:rPr>
            </w:pPr>
          </w:p>
        </w:tc>
        <w:tc>
          <w:tcPr>
            <w:tcW w:w="12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Balance</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1,153,425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396,000</w:t>
            </w: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398,000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(ABR)</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Revolving Credit Facility (LIBOR)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(22,803)</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1,847,047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1,663,324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(63,150)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1,783,897</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1,470,174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 and Revolving Credit Facility</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February 6, 2017, Booz Allen Hamilton, Booz Allen Hamilton Investor Corporation, or Investor, and certain wholly-owned subsidiaries of Booz Allen Hamilton entered into the Fourth Amendment, or the Fourth Amendment, to the Credit Agreement, or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the Second Amendment to the Credit Agreement, dated as of May 7, 2014, and the Third Amendment to the Credit Agreement, dated as of July 13, 2016). Pursuant to the Fourth Amendment, the Company reduced the interest rate spread applicable to Term Loan B. The interest rate spread applicable to Term Loan A remained unchanged.</w:t>
      </w:r>
    </w:p>
    <w:p>
      <w:pPr>
        <w:spacing w:after="0" w:line="8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September 30, 2017, the Credit Agreement, as amended, provided the Company with a $1,123.9 million Term Loan A ("Term Loan A"), a $396.0 million Term Loan B ("Term Loan B" and, together with Term Loan A, the "Term Loans"), and a $500.0 million revolving credit facility (the “Revolving Credit Facility", and together with the Term Loans, the "Secured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50" w:right="259" w:bottom="1440" w:gutter="0" w:footer="0" w:header="0"/>
        </w:sectPr>
      </w:pPr>
    </w:p>
    <w:bookmarkStart w:id="13" w:name="page14"/>
    <w:bookmarkEnd w:id="13"/>
    <w:p>
      <w:pPr>
        <w:ind w:right="20"/>
        <w:spacing w:after="0" w:line="291" w:lineRule="auto"/>
        <w:rPr>
          <w:sz w:val="20"/>
          <w:szCs w:val="20"/>
          <w:color w:val="auto"/>
        </w:rPr>
      </w:pPr>
      <w:r>
        <w:rPr>
          <w:rFonts w:ascii="Arial" w:cs="Arial" w:eastAsia="Arial" w:hAnsi="Arial"/>
          <w:sz w:val="16"/>
          <w:szCs w:val="16"/>
          <w:color w:val="auto"/>
        </w:rPr>
        <w:t>Credit Facility”), with a sublimit for letters of credit of $100.0 million. As of September 30, 2017, the maturity date of Term Loan A and the termination date for the Revolving Credit Facility was June 30, 2021 and the maturity date of Term Loan B was June 30, 2023. Booz Allen Hamilton’s obligations and the guarantors’ guarantees under the Credit Agreement, as amended, are secured by a first priority lien on substantially all of the assets (including capital stock of subsidiaries) of Booz Allen Hamilton, Investor, and the subsidiary guarantors, subject to certain exceptions set forth in the Credit Agreement, as amended,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 million plus (ii) the aggregate principal amount under which pro forma consolidated net secured leverage remains less than or equal to 3.50:1.00.</w:t>
      </w:r>
    </w:p>
    <w:p>
      <w:pPr>
        <w:spacing w:after="0" w:line="59"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B is 2.25% for LIBOR loans and 1.25% for base rate loans. The applicable margin for Term Loan A and borrowings under the Revolving Credit Facility ranges from 1.50% to 2.25% for LIBOR loans and 0.50% to 1.25% for base rate loans, in each case based on Booz Allen Hamilton’s consolidated total net leverage ratio. Unused commitments under the Revolving Credit Facility are subject to a quarterly fee ranging from 0.30% to 0.40% based on Booz Allen Hamilton’s consolidated total net leverage ratio.</w:t>
      </w:r>
    </w:p>
    <w:p>
      <w:pPr>
        <w:spacing w:after="0" w:line="86"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Booz Allen Hamilton occasionally borrows under the Revolving Credit Facility in anticipation of cash demands. During the first and second quarters of fiscal 2018, Booz Allen Hamilton accessed a total of $30.0 million of the $500.0 million Revolving Credit Facility. As of September 30, 2017, there were no amounts outstanding under the Revolving Credit Facility. As of March 31, 2017, there was $130.0 million outstanding under the Revolving Credit Facility.</w:t>
      </w:r>
    </w:p>
    <w:p>
      <w:pPr>
        <w:spacing w:after="0" w:line="3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ind w:right="380" w:firstLine="8"/>
        <w:spacing w:after="0" w:line="281"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(vi) transactions with affiliates; (vii) sale and lease back transactions; (viii) change in fiscal periods; (ix) negative pledges; (x) restrictive agreements; (xi) line of business; and (xii) speculative hedging. The events of default include the following, in each case subject to certain exceptions:</w:t>
      </w:r>
    </w:p>
    <w:p>
      <w:pPr>
        <w:spacing w:after="0" w:line="1" w:lineRule="exact"/>
        <w:rPr>
          <w:rFonts w:ascii="Arial" w:cs="Arial" w:eastAsia="Arial" w:hAnsi="Arial"/>
          <w:sz w:val="16"/>
          <w:szCs w:val="16"/>
          <w:color w:val="auto"/>
        </w:rPr>
      </w:pPr>
    </w:p>
    <w:p>
      <w:pPr>
        <w:ind w:right="480" w:firstLine="8"/>
        <w:spacing w:after="0" w:line="281"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w:t>
      </w:r>
    </w:p>
    <w:p>
      <w:pPr>
        <w:spacing w:after="0" w:line="2" w:lineRule="exact"/>
        <w:rPr>
          <w:rFonts w:ascii="Arial" w:cs="Arial" w:eastAsia="Arial" w:hAnsi="Arial"/>
          <w:sz w:val="16"/>
          <w:szCs w:val="16"/>
          <w:color w:val="auto"/>
        </w:rPr>
      </w:pPr>
    </w:p>
    <w:p>
      <w:pPr>
        <w:ind w:right="34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On April 25, 2017, Booz Allen Hamilton issued $350 million aggregate principal amount of its 5.125% Senior Notes, or the Senior Notes, under an Indenture, dated as of April 25, 2017, among Booz Allen Hamilton, certain subsidiaries of Booz Allen Hamilton, as guarantors, or the Subsidiary Guarantors, and Wilmington Trust, National Association, as trustee, or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will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w:t>
      </w:r>
    </w:p>
    <w:p>
      <w:pPr>
        <w:spacing w:after="0" w:line="7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September 30, 2017 and March 31, 2017, Booz Allen Hamilton was in compliance with all financial covenants associated with its debt and debt-like instruments.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54" w:right="25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2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92"/>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48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4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 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18,171</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12,759</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Term Loan B Interest Expense</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6,791</w:t>
            </w:r>
          </w:p>
        </w:tc>
        <w:tc>
          <w:tcPr>
            <w:tcW w:w="6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11,963</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Senior Notes Interest Expense</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7,773</w:t>
            </w:r>
          </w:p>
        </w:tc>
        <w:tc>
          <w:tcPr>
            <w:tcW w:w="6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4,022</w:t>
            </w:r>
          </w:p>
        </w:tc>
        <w:tc>
          <w:tcPr>
            <w:tcW w:w="6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4,007</w:t>
            </w:r>
          </w:p>
        </w:tc>
      </w:tr>
      <w:tr>
        <w:trPr>
          <w:trHeight w:val="229"/>
        </w:trPr>
        <w:tc>
          <w:tcPr>
            <w:tcW w:w="4880" w:type="dxa"/>
            <w:vAlign w:val="bottom"/>
          </w:tcPr>
          <w:p>
            <w:pPr>
              <w:ind w:left="40"/>
              <w:spacing w:after="0"/>
              <w:rPr>
                <w:sz w:val="20"/>
                <w:szCs w:val="20"/>
                <w:color w:val="auto"/>
              </w:rPr>
            </w:pPr>
            <w:r>
              <w:rPr>
                <w:rFonts w:ascii="Arial" w:cs="Arial" w:eastAsia="Arial" w:hAnsi="Arial"/>
                <w:sz w:val="18"/>
                <w:szCs w:val="18"/>
                <w:color w:val="auto"/>
              </w:rPr>
              <w:t>Amortization of Debt Issuance Cost (DIC) and Original Issue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48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Discount (OID) </w:t>
            </w:r>
            <w:r>
              <w:rPr>
                <w:rFonts w:ascii="Arial" w:cs="Arial" w:eastAsia="Arial" w:hAnsi="Arial"/>
                <w:sz w:val="25"/>
                <w:szCs w:val="25"/>
                <w:color w:val="auto"/>
                <w:vertAlign w:val="superscript"/>
              </w:rPr>
              <w:t>(2)</w:t>
            </w:r>
          </w:p>
        </w:tc>
        <w:tc>
          <w:tcPr>
            <w:tcW w:w="34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2,633</w:t>
            </w:r>
          </w:p>
        </w:tc>
        <w:tc>
          <w:tcPr>
            <w:tcW w:w="6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3,396</w:t>
            </w: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w:t>
            </w:r>
          </w:p>
        </w:tc>
        <w:tc>
          <w:tcPr>
            <w:tcW w:w="6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57"/>
        </w:trPr>
        <w:tc>
          <w:tcPr>
            <w:tcW w:w="48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20,958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14,753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39,705</w:t>
            </w:r>
          </w:p>
        </w:tc>
        <w:tc>
          <w:tcPr>
            <w:tcW w:w="6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32,581</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Interest payments on the deferred payment obligation are made twice a year in January and July.</w:t>
      </w:r>
    </w:p>
    <w:p>
      <w:pPr>
        <w:spacing w:after="0" w:line="98" w:lineRule="exact"/>
        <w:rPr>
          <w:rFonts w:ascii="Arial" w:cs="Arial" w:eastAsia="Arial" w:hAnsi="Arial"/>
          <w:sz w:val="23"/>
          <w:szCs w:val="23"/>
          <w:color w:val="auto"/>
          <w:vertAlign w:val="superscript"/>
        </w:rPr>
      </w:pPr>
    </w:p>
    <w:p>
      <w:pPr>
        <w:ind w:right="60" w:firstLine="8"/>
        <w:spacing w:after="0" w:line="260" w:lineRule="auto"/>
        <w:tabs>
          <w:tab w:leader="none" w:pos="192"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DIC and OID on the Term Loans and Senior Notes are recorded as a reduction of long term debt in the condensed consolidated balance sheet and are amortized ratably over the life of the related debt using the effective rate method. DIC on the Revolving Credit Facility is recorded as a long term asset on the consolidated balance sheet and amortized ratably over the term of the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utilizes derivative financial instruments to manage interest rate risk related to its variable rate term loans. The Company’s objectives in using these interest rate derivatives, which were designated as cash flow hedges, are to manage its exposure to interest rate movements and reduce volatility to interest expense. During the first quarter of fiscal 2018, the Company entered into several forward starting floating-to-fixed interest rate swap agreements with multiple financial institutions with a start date of April 30, 2018. The aggregate notional amount of these interest rate swap agreements was $450 million as of September 30, 2017. The swaps have staggered maturities, ranging from June 30, 2021 to June 30, 2022. These swaps mature within the last tranche of the Company's floating rate debt (June 30, 2023).</w:t>
      </w:r>
    </w:p>
    <w:p>
      <w:pPr>
        <w:spacing w:after="0" w:line="8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7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Derivative instruments are recorded in the condensed consolidated balance sheet at estimated fair value. As of September 30, 2017, $0.2 million, $0.7 million and $0.5 million, were classified as other long term assets, other current liabilities, and other long term liabilities, respectively, on the condensed consolidated balance sheet. For interest rate swaps designated as cash flow hedges, the effective portion of changes in the fair value of derivatives is recorded in Accumulated Other Comprehensive Income, or AOCI, net of taxes, and is subsequently reclassified into interest expense in the period that the hedged forecasted interest payments are made on the Company's variable-rate debt. As of the three and six months ended September 30, 2017, a $0.1 million and $0.6 million loss have been recognized in AOCI, respectively, and there were no amounts reclassified into interest expense. The ineffective portion of the change in fair value of the derivatives is recognized directly in earnings. As of the three and six months ended September 30, 2017, there was no ineffectiveness recognized in earnings.</w:t>
      </w:r>
    </w:p>
    <w:p>
      <w:pPr>
        <w:spacing w:after="0" w:line="84"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Over the next 12 months, the Company estimates that $0.8 million will be reclassified as an increase to interest expense. Cash flows associated with periodic settlements of interest rate swaps will be classified as operating activities in the condensed consolidated statement of cash flows.</w:t>
      </w:r>
    </w:p>
    <w:p>
      <w:pPr>
        <w:spacing w:after="0" w:line="16"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5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Company’s effective income tax rate was 33.2% and 35.7% for the three months ended September 30, 2017 and 2016, respectively, and 33.9% and 38.1% for the six months ended September 30, 2017 and 2016, respectively. The decrease in the effective tax rate for the three and six months ended September 30, 2017 as compared to the same periods last fiscal year was primarily due to the Company's adoption of ASU 2016-09 in the first quarter of fiscal 2018 as discussed in Note 2. As a result, the Company recorded excess tax benefits related to employee share-based payment awards within income tax (benefit) expense as a discrete item during the reporting period in which they occurred, instead of recording those benefits as adjustments to additional paid-in-capital. The Company recognized excess tax benefits of $2.4 million and $9.3 million in the three and six months ended September 30, 2017, respectively. The three and six months effective tax rates of 33.2% and 33.9% differ from the federal statutory rate of 35.0% primarily due to the inclusion of state income taxes and permanent rate differences, which primarily relate to meals and entertainment, offset in the current three months by discrete tax items.</w:t>
      </w:r>
    </w:p>
    <w:p>
      <w:pPr>
        <w:spacing w:after="0" w:line="5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$10.8 million, net of associated tax benefits. The Company has taken similar tax positions with respect to subsequent fiscal years. As of September 30, 2017, the Company does not maintain reserves for any uncertain tax positions related to the contested tax benefits and does not believe the resolution of these matters will have a material adverse effect on its results of operations, cash flows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72,380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63,854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125,899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123,492</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41,669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40,593</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239,948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227,939</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at September 30, 2017 and March 31, 2017 include the Company's long-term disability obligation of $22.5 million as well as contingent consideration of $3.6 million related to the Company's acquisition as discussed in Note 4.</w:t>
      </w:r>
    </w:p>
    <w:p>
      <w:pPr>
        <w:spacing w:after="0" w:line="275" w:lineRule="exact"/>
        <w:rPr>
          <w:sz w:val="20"/>
          <w:szCs w:val="20"/>
          <w:color w:val="auto"/>
        </w:rPr>
      </w:pPr>
    </w:p>
    <w:p>
      <w:pPr>
        <w:ind w:left="340" w:right="8620" w:hanging="332"/>
        <w:spacing w:after="0" w:line="378" w:lineRule="auto"/>
        <w:tabs>
          <w:tab w:leader="none" w:pos="28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160" w:firstLine="405"/>
        <w:spacing w:after="0" w:line="291"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Code for the ECAP. Total expense recognized under ECAP was $30.7 million and $27.9 million for the three months ended September 30, 2017 and 2016, respectively, and $61.8 million and $56.7 million for the six months ended September 30, 2017 and 2016, respectively. The Company-paid contributions were $15.5 million for both the three months ended September 30, 2017 and 2016, respectively, and $31.1 million and $30.8 million for the six months ended September 30, 2017 and 2016, respectively.</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 Additionally, the Company offers medical and dental benefits to inactive employees (and their eligible dependents) on long-term disability.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2" w:right="25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1,252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1,196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2,391</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1,525</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8"/>
              </w:rPr>
              <w:t>2,936</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3,171</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6,342</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As of September 30, 2017 and March 31, 2017, the unfunded status of the post-retirement medical plan was $121.1 million and $118.1 million, respectively, which is included in other long-term liabilities in the accompanying condensed consolidated balance sheets.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income (loss), net of tax:</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b w:val="1"/>
                <w:bCs w:val="1"/>
                <w:color w:val="auto"/>
                <w:w w:val="93"/>
              </w:rPr>
              <w:t>Three Months Ended September 30, 2017</w:t>
            </w:r>
          </w:p>
        </w:tc>
        <w:tc>
          <w:tcPr>
            <w:tcW w:w="1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4"/>
                <w:szCs w:val="14"/>
                <w:b w:val="1"/>
                <w:bCs w:val="1"/>
                <w:color w:val="auto"/>
                <w:w w:val="92"/>
              </w:rPr>
              <w:t>Six Months Ended September 30, 2017</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Post-retirement</w:t>
            </w:r>
          </w:p>
        </w:tc>
        <w:tc>
          <w:tcPr>
            <w:tcW w:w="140" w:type="dxa"/>
            <w:vAlign w:val="bottom"/>
          </w:tcPr>
          <w:p>
            <w:pPr>
              <w:spacing w:after="0"/>
              <w:rPr>
                <w:sz w:val="13"/>
                <w:szCs w:val="13"/>
                <w:color w:val="auto"/>
              </w:rPr>
            </w:pPr>
          </w:p>
        </w:tc>
        <w:tc>
          <w:tcPr>
            <w:tcW w:w="122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Derivatives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Post-retirement plans</w:t>
            </w:r>
          </w:p>
        </w:tc>
        <w:tc>
          <w:tcPr>
            <w:tcW w:w="100" w:type="dxa"/>
            <w:vAlign w:val="bottom"/>
          </w:tcPr>
          <w:p>
            <w:pPr>
              <w:spacing w:after="0"/>
              <w:rPr>
                <w:sz w:val="12"/>
                <w:szCs w:val="12"/>
                <w:color w:val="auto"/>
              </w:rPr>
            </w:pPr>
          </w:p>
        </w:tc>
        <w:tc>
          <w:tcPr>
            <w:tcW w:w="12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8"/>
              </w:rPr>
              <w:t>designated as cash</w:t>
            </w:r>
          </w:p>
        </w:tc>
        <w:tc>
          <w:tcPr>
            <w:tcW w:w="320" w:type="dxa"/>
            <w:vAlign w:val="bottom"/>
          </w:tcPr>
          <w:p>
            <w:pPr>
              <w:spacing w:after="0"/>
              <w:rPr>
                <w:sz w:val="12"/>
                <w:szCs w:val="12"/>
                <w:color w:val="auto"/>
              </w:rPr>
            </w:pPr>
          </w:p>
        </w:tc>
        <w:tc>
          <w:tcPr>
            <w:tcW w:w="10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Totals</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designated as cash</w:t>
            </w:r>
          </w:p>
        </w:tc>
        <w:tc>
          <w:tcPr>
            <w:tcW w:w="320" w:type="dxa"/>
            <w:vAlign w:val="bottom"/>
          </w:tcPr>
          <w:p>
            <w:pPr>
              <w:spacing w:after="0"/>
              <w:rPr>
                <w:sz w:val="12"/>
                <w:szCs w:val="12"/>
                <w:color w:val="auto"/>
              </w:rPr>
            </w:pPr>
          </w:p>
        </w:tc>
        <w:tc>
          <w:tcPr>
            <w:tcW w:w="10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6"/>
              </w:rPr>
              <w:t>flow hedges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plans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flow hedges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0" w:type="dxa"/>
            <w:vAlign w:val="bottom"/>
          </w:tcPr>
          <w:p>
            <w:pPr>
              <w:spacing w:after="0"/>
              <w:rPr>
                <w:sz w:val="1"/>
                <w:szCs w:val="1"/>
                <w:color w:val="auto"/>
              </w:rPr>
            </w:pPr>
          </w:p>
        </w:tc>
      </w:tr>
      <w:tr>
        <w:trPr>
          <w:trHeight w:val="157"/>
        </w:trPr>
        <w:tc>
          <w:tcPr>
            <w:tcW w:w="3200" w:type="dxa"/>
            <w:vAlign w:val="bottom"/>
          </w:tcPr>
          <w:p>
            <w:pPr>
              <w:ind w:left="160"/>
              <w:spacing w:after="0" w:line="157" w:lineRule="exact"/>
              <w:rPr>
                <w:sz w:val="20"/>
                <w:szCs w:val="20"/>
                <w:color w:val="auto"/>
              </w:rPr>
            </w:pPr>
            <w:r>
              <w:rPr>
                <w:rFonts w:ascii="Arial" w:cs="Arial" w:eastAsia="Arial" w:hAnsi="Arial"/>
                <w:sz w:val="14"/>
                <w:szCs w:val="14"/>
                <w:color w:val="auto"/>
              </w:rPr>
              <w:t>Other comprehensive income (loss) before</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60"/>
              <w:spacing w:after="0"/>
              <w:rPr>
                <w:sz w:val="20"/>
                <w:szCs w:val="20"/>
                <w:color w:val="auto"/>
              </w:rPr>
            </w:pPr>
            <w:r>
              <w:rPr>
                <w:rFonts w:ascii="Arial" w:cs="Arial" w:eastAsia="Arial" w:hAnsi="Arial"/>
                <w:sz w:val="14"/>
                <w:szCs w:val="14"/>
                <w:color w:val="auto"/>
              </w:rPr>
              <w:t>reclassifications (1)</w:t>
            </w:r>
          </w:p>
        </w:tc>
        <w:tc>
          <w:tcPr>
            <w:tcW w:w="46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(634)</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Amounts reclassified from accumulated other</w:t>
            </w: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comprehensive loss</w:t>
            </w: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724</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37"/>
        </w:trPr>
        <w:tc>
          <w:tcPr>
            <w:tcW w:w="3200" w:type="dxa"/>
            <w:vAlign w:val="bottom"/>
          </w:tcPr>
          <w:p>
            <w:pPr>
              <w:ind w:left="280"/>
              <w:spacing w:after="0" w:line="137" w:lineRule="exact"/>
              <w:rPr>
                <w:sz w:val="20"/>
                <w:szCs w:val="20"/>
                <w:color w:val="auto"/>
              </w:rPr>
            </w:pPr>
            <w:r>
              <w:rPr>
                <w:rFonts w:ascii="Arial" w:cs="Arial" w:eastAsia="Arial" w:hAnsi="Arial"/>
                <w:sz w:val="14"/>
                <w:szCs w:val="14"/>
                <w:color w:val="auto"/>
                <w:w w:val="97"/>
              </w:rPr>
              <w:t>Net current-period other comprehensive income</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(loss)</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(16,353)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$0.1 million and $0.4 million for three and six months ended September 30, 2017,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b w:val="1"/>
                <w:bCs w:val="1"/>
                <w:color w:val="auto"/>
                <w:w w:val="93"/>
              </w:rPr>
              <w:t>Three Months Ended September 30, 2016</w:t>
            </w:r>
          </w:p>
        </w:tc>
        <w:tc>
          <w:tcPr>
            <w:tcW w:w="1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4"/>
                <w:szCs w:val="14"/>
                <w:b w:val="1"/>
                <w:bCs w:val="1"/>
                <w:color w:val="auto"/>
                <w:w w:val="92"/>
              </w:rPr>
              <w:t>Six Months Ended September 30, 2016</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Post-retirement</w:t>
            </w:r>
          </w:p>
        </w:tc>
        <w:tc>
          <w:tcPr>
            <w:tcW w:w="12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Post-retirement plans</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designated as cash</w:t>
            </w:r>
          </w:p>
        </w:tc>
        <w:tc>
          <w:tcPr>
            <w:tcW w:w="360" w:type="dxa"/>
            <w:vAlign w:val="bottom"/>
          </w:tcPr>
          <w:p>
            <w:pPr>
              <w:spacing w:after="0"/>
              <w:rPr>
                <w:sz w:val="12"/>
                <w:szCs w:val="12"/>
                <w:color w:val="auto"/>
              </w:rPr>
            </w:pPr>
          </w:p>
        </w:tc>
        <w:tc>
          <w:tcPr>
            <w:tcW w:w="10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Totals</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designated as cash</w:t>
            </w:r>
          </w:p>
        </w:tc>
        <w:tc>
          <w:tcPr>
            <w:tcW w:w="340" w:type="dxa"/>
            <w:vAlign w:val="bottom"/>
          </w:tcPr>
          <w:p>
            <w:pPr>
              <w:spacing w:after="0"/>
              <w:rPr>
                <w:sz w:val="12"/>
                <w:szCs w:val="12"/>
                <w:color w:val="auto"/>
              </w:rPr>
            </w:pPr>
          </w:p>
        </w:tc>
        <w:tc>
          <w:tcPr>
            <w:tcW w:w="10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flow hedges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plans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flow hedges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of period</w:t>
            </w: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(19,156)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(19,613)</w:t>
            </w:r>
          </w:p>
        </w:tc>
        <w:tc>
          <w:tcPr>
            <w:tcW w:w="0" w:type="dxa"/>
            <w:vAlign w:val="bottom"/>
          </w:tcPr>
          <w:p>
            <w:pPr>
              <w:spacing w:after="0"/>
              <w:rPr>
                <w:sz w:val="1"/>
                <w:szCs w:val="1"/>
                <w:color w:val="auto"/>
              </w:rPr>
            </w:pPr>
          </w:p>
        </w:tc>
      </w:tr>
      <w:tr>
        <w:trPr>
          <w:trHeight w:val="157"/>
        </w:trPr>
        <w:tc>
          <w:tcPr>
            <w:tcW w:w="3200" w:type="dxa"/>
            <w:vAlign w:val="bottom"/>
          </w:tcPr>
          <w:p>
            <w:pPr>
              <w:ind w:left="180"/>
              <w:spacing w:after="0" w:line="157" w:lineRule="exact"/>
              <w:rPr>
                <w:sz w:val="20"/>
                <w:szCs w:val="20"/>
                <w:color w:val="auto"/>
              </w:rPr>
            </w:pPr>
            <w:r>
              <w:rPr>
                <w:rFonts w:ascii="Arial" w:cs="Arial" w:eastAsia="Arial" w:hAnsi="Arial"/>
                <w:sz w:val="14"/>
                <w:szCs w:val="14"/>
                <w:color w:val="auto"/>
              </w:rPr>
              <w:t>Other comprehensive income (loss)before</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180"/>
              <w:spacing w:after="0"/>
              <w:rPr>
                <w:sz w:val="20"/>
                <w:szCs w:val="20"/>
                <w:color w:val="auto"/>
              </w:rPr>
            </w:pPr>
            <w:r>
              <w:rPr>
                <w:rFonts w:ascii="Arial" w:cs="Arial" w:eastAsia="Arial" w:hAnsi="Arial"/>
                <w:sz w:val="14"/>
                <w:szCs w:val="14"/>
                <w:color w:val="auto"/>
              </w:rPr>
              <w:t>reclassifications</w:t>
            </w:r>
          </w:p>
        </w:tc>
        <w:tc>
          <w:tcPr>
            <w:tcW w:w="46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ind w:left="10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reclassified from accumulated other</w:t>
            </w: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loss</w:t>
            </w: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914</w:t>
            </w: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37"/>
        </w:trPr>
        <w:tc>
          <w:tcPr>
            <w:tcW w:w="3200" w:type="dxa"/>
            <w:vAlign w:val="bottom"/>
          </w:tcPr>
          <w:p>
            <w:pPr>
              <w:ind w:left="280"/>
              <w:spacing w:after="0" w:line="137" w:lineRule="exact"/>
              <w:rPr>
                <w:sz w:val="20"/>
                <w:szCs w:val="20"/>
                <w:color w:val="auto"/>
              </w:rPr>
            </w:pPr>
            <w:r>
              <w:rPr>
                <w:rFonts w:ascii="Arial" w:cs="Arial" w:eastAsia="Arial" w:hAnsi="Arial"/>
                <w:sz w:val="14"/>
                <w:szCs w:val="14"/>
                <w:color w:val="auto"/>
                <w:w w:val="97"/>
              </w:rPr>
              <w:t>Net current-period other comprehensive income</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(loss)</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914</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 of period</w:t>
            </w: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(18,699)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54" w:right="2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2016</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Amounts reclassified from accumulated other comprehensive loss:</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net actuarial loss included in net periodic benefit cost (See Note 12)</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1,525</w:t>
            </w:r>
          </w:p>
        </w:tc>
      </w:tr>
      <w:tr>
        <w:trPr>
          <w:trHeight w:val="264"/>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Tax benefit</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(235)</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(305)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r>
      <w:tr>
        <w:trPr>
          <w:trHeight w:val="243"/>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of tax</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w:t>
            </w:r>
          </w:p>
        </w:tc>
      </w:tr>
      <w:tr>
        <w:trPr>
          <w:trHeight w:val="20"/>
        </w:trPr>
        <w:tc>
          <w:tcPr>
            <w:tcW w:w="6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78" w:lineRule="auto"/>
        <w:tabs>
          <w:tab w:leader="none" w:pos="28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480" w:type="dxa"/>
            <w:vAlign w:val="bottom"/>
          </w:tcPr>
          <w:p>
            <w:pPr>
              <w:jc w:val="right"/>
              <w:ind w:right="373"/>
              <w:spacing w:after="0"/>
              <w:rPr>
                <w:sz w:val="20"/>
                <w:szCs w:val="20"/>
                <w:color w:val="auto"/>
              </w:rPr>
            </w:pPr>
            <w:r>
              <w:rPr>
                <w:rFonts w:ascii="Arial" w:cs="Arial" w:eastAsia="Arial" w:hAnsi="Arial"/>
                <w:sz w:val="14"/>
                <w:szCs w:val="14"/>
                <w:b w:val="1"/>
                <w:bCs w:val="1"/>
                <w:color w:val="auto"/>
              </w:rPr>
              <w:t>Treasury</w:t>
            </w:r>
          </w:p>
        </w:tc>
      </w:tr>
      <w:tr>
        <w:trPr>
          <w:trHeight w:val="192"/>
        </w:trPr>
        <w:tc>
          <w:tcPr>
            <w:tcW w:w="83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93"/>
              <w:spacing w:after="0"/>
              <w:rPr>
                <w:sz w:val="20"/>
                <w:szCs w:val="20"/>
                <w:color w:val="auto"/>
              </w:rPr>
            </w:pPr>
            <w:r>
              <w:rPr>
                <w:rFonts w:ascii="Arial" w:cs="Arial" w:eastAsia="Arial" w:hAnsi="Arial"/>
                <w:sz w:val="14"/>
                <w:szCs w:val="14"/>
                <w:b w:val="1"/>
                <w:bCs w:val="1"/>
                <w:color w:val="auto"/>
              </w:rPr>
              <w:t>Stock</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153,391,058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5,398,596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578,932</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1,931,495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Repurchase of common stock (1)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1,615,181</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155,901,485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7,013,777</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581,174</w:t>
            </w:r>
          </w:p>
        </w:tc>
        <w:tc>
          <w:tcPr>
            <w:tcW w:w="1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741,708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4,619,568</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157,224,367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11,633,345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652"/>
        <w:spacing w:after="0" w:line="30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fiscal 2017, the Company purchased 1.3 million shares of the Company’s Class A Common Stock in a series of open market transactions for $46.4 million. Additionally, the Company repurchased shares during fiscal 2017 to cover the minimum statutory withholding taxes on restricted stock awards and restricted stock units that vested on March 31, 2017. The Company also repurchased shares to cover the minimum statutory withholding taxes on restricted stock for departing officers, as they are no longer subject to a substantial risk of forfeiture.</w:t>
      </w:r>
    </w:p>
    <w:p>
      <w:pPr>
        <w:spacing w:after="0" w:line="46" w:lineRule="exact"/>
        <w:rPr>
          <w:rFonts w:ascii="Arial" w:cs="Arial" w:eastAsia="Arial" w:hAnsi="Arial"/>
          <w:sz w:val="16"/>
          <w:szCs w:val="16"/>
          <w:color w:val="auto"/>
        </w:rPr>
      </w:pPr>
    </w:p>
    <w:p>
      <w:pPr>
        <w:ind w:left="660" w:right="10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fiscal 2018, the Company purchased 4.5 million shares of the Company’s Class A Common Stock in a series of open market transactions for $154.0 million. Additionally, the Company repurchased shares during the first quarter of fiscal 2018 to cover the minimum statutory withholding taxes on restricted stock awards and restricted stock units that vested on June 30, 2017.</w:t>
      </w:r>
    </w:p>
    <w:p>
      <w:pPr>
        <w:spacing w:after="0" w:line="73"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For the quarterly offering period that closed on September 30, 2017, 63,298 Class A Common Stock shares were purchased by employees under the Company's Employee Stock Purchase Plan, or ESPP. Since the program's inception, 2,055,650 shares have been purchased by employees.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5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4,499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7,883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6,346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11,595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left="260" w:right="2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5,853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9,017</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6,346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11,595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As of September 30, 2017, there was $30.1 million of total unrecognized compensation cost related to unvested stock-based compensation agreements. The unrecognized compensation cost as of September 30, 2017 is expected to be fully amortized over the next 4.5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September 30, 2017</w:t>
            </w:r>
          </w:p>
        </w:tc>
      </w:tr>
      <w:tr>
        <w:trPr>
          <w:trHeight w:val="152"/>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7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 (in years)</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3,522</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3.96</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26,576</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2.19</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30,098</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2017, there were 3,405,801 EIP options outstanding, of which 900,833 were unvested.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On July 3, 2017, the Board of Directors granted 264,465 restricted stock units in conjunction with the Annual Incentive Plan adopted on October 1, 2010, or Annual Incentive Plan. The amount of the annual incentive payment was determined based on performance targets established by the Compensation Committee and a portion of the incentive payment awarded under the Annual Incentive Plan was paid in the form of restricted stock units. A restricted stock unit represents a contingent right to receive one share of Class A Common Stock upon vesting. The restricted stock units will vest based on the passage of time, subject to participant's continued employment with the Company. The portion to be paid in the form of restricted stock units will be recognized in the accompanying consolidated statements of operations based on grant date fair value over the vesting period of 3 years. The aggregate fair value was estimated at $8.6 million, based on the stock price of $32.55 on the grant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75" w:right="239" w:bottom="1440" w:gutter="0" w:footer="0" w:header="0"/>
        </w:sectPr>
      </w:pPr>
    </w:p>
    <w:bookmarkStart w:id="19" w:name="page20"/>
    <w:bookmarkEnd w:id="19"/>
    <w:p>
      <w:pPr>
        <w:ind w:right="180" w:firstLine="405"/>
        <w:spacing w:after="0" w:line="264" w:lineRule="auto"/>
        <w:rPr>
          <w:sz w:val="20"/>
          <w:szCs w:val="20"/>
          <w:color w:val="auto"/>
        </w:rPr>
      </w:pPr>
      <w:r>
        <w:rPr>
          <w:rFonts w:ascii="Arial" w:cs="Arial" w:eastAsia="Arial" w:hAnsi="Arial"/>
          <w:sz w:val="18"/>
          <w:szCs w:val="18"/>
          <w:color w:val="auto"/>
        </w:rPr>
        <w:t>On August 2, 2017 and September 18, 2017, the Board of Directors granted 6,531 and 5,147 restricted stock units, respectively, to certain newly hired and newly promoted vice presidents. The aggregate fair values were estimated at $0.2 million for each grant, based on stock prices of $34.02 on August 2, 2017 and $35.93 on September 18, 2017.</w:t>
      </w:r>
    </w:p>
    <w:p>
      <w:pPr>
        <w:spacing w:after="0" w:line="7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On August 10, 2017, the Board of Directors granted 51,887 shares of Class A restricted common stock to members of the Board of Directors. The aggregate value of these awards was estimated at $1.7 million based on the stock price of $32.67 on the grant date.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60"/>
              <w:spacing w:after="0"/>
              <w:rPr>
                <w:sz w:val="20"/>
                <w:szCs w:val="20"/>
                <w:color w:val="auto"/>
              </w:rPr>
            </w:pPr>
            <w:r>
              <w:rPr>
                <w:rFonts w:ascii="Arial" w:cs="Arial" w:eastAsia="Arial" w:hAnsi="Arial"/>
                <w:sz w:val="18"/>
                <w:szCs w:val="18"/>
                <w:b w:val="1"/>
                <w:bCs w:val="1"/>
                <w:color w:val="auto"/>
              </w:rPr>
              <w:t>as of September 30, 2017</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57,456</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Money market funds (1)</w:t>
            </w: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272,587</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330,043</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 (3)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Contingent consideration liability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3,576</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Long-term derivative instruments (3)</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w:t>
            </w:r>
          </w:p>
        </w:tc>
      </w:tr>
      <w:tr>
        <w:trPr>
          <w:trHeight w:val="20"/>
        </w:trPr>
        <w:tc>
          <w:tcPr>
            <w:tcW w:w="6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90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59,825</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157,592</w:t>
            </w: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217,417</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r>
      <w:tr>
        <w:trPr>
          <w:trHeight w:val="27"/>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9"/>
          <w:szCs w:val="19"/>
          <w:color w:val="auto"/>
        </w:rPr>
      </w:pPr>
      <w:r>
        <w:rPr>
          <w:rFonts w:ascii="Arial" w:cs="Arial" w:eastAsia="Arial" w:hAnsi="Arial"/>
          <w:sz w:val="17"/>
          <w:szCs w:val="17"/>
          <w:color w:val="auto"/>
        </w:rPr>
        <w:t>Level 2 cash and cash equivalents are invested in money market funds that are intended to maintain a stable net asset value of $1.00 per share by</w:t>
      </w:r>
    </w:p>
    <w:p>
      <w:pPr>
        <w:spacing w:after="0" w:line="38" w:lineRule="exact"/>
        <w:rPr>
          <w:rFonts w:ascii="Arial" w:cs="Arial" w:eastAsia="Arial" w:hAnsi="Arial"/>
          <w:sz w:val="19"/>
          <w:szCs w:val="19"/>
          <w:color w:val="auto"/>
        </w:rPr>
      </w:pPr>
    </w:p>
    <w:p>
      <w:pPr>
        <w:ind w:right="40"/>
        <w:spacing w:after="0" w:line="293" w:lineRule="auto"/>
        <w:rPr>
          <w:rFonts w:ascii="Arial" w:cs="Arial" w:eastAsia="Arial" w:hAnsi="Arial"/>
          <w:sz w:val="19"/>
          <w:szCs w:val="19"/>
          <w:color w:val="auto"/>
        </w:rPr>
      </w:pPr>
      <w:r>
        <w:rPr>
          <w:rFonts w:ascii="Arial" w:cs="Arial" w:eastAsia="Arial" w:hAnsi="Arial"/>
          <w:sz w:val="18"/>
          <w:szCs w:val="18"/>
          <w:color w:val="auto"/>
        </w:rPr>
        <w:t>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54" w:right="259" w:bottom="1440" w:gutter="0" w:footer="0" w:header="0"/>
        </w:sectPr>
      </w:pPr>
    </w:p>
    <w:bookmarkStart w:id="20" w:name="page21"/>
    <w:bookmarkEnd w:id="20"/>
    <w:p>
      <w:pPr>
        <w:jc w:val="both"/>
        <w:ind w:right="100" w:firstLine="8"/>
        <w:spacing w:after="0" w:line="259"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discussed in Note 4, the Company recognized a contingent consideration liability in connection with the acquisition of Aquilent. As of September 30, 2017 and March 31, 2017, the estimated fair value of the contingent consideration liability was $3.6 million and was valued using probability-weighted cash flows, which is based on the use of Level 3 fair value measurement inputs. The liability is recorded in other long-term liabilities in the consolidated balance sheet.</w:t>
      </w:r>
    </w:p>
    <w:p>
      <w:pPr>
        <w:spacing w:after="0" w:line="78" w:lineRule="exact"/>
        <w:rPr>
          <w:rFonts w:ascii="Arial" w:cs="Arial" w:eastAsia="Arial" w:hAnsi="Arial"/>
          <w:sz w:val="18"/>
          <w:szCs w:val="18"/>
          <w:color w:val="auto"/>
        </w:rPr>
      </w:pPr>
    </w:p>
    <w:p>
      <w:pPr>
        <w:ind w:right="34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interest rate swaps are considered over-the-counter derivatives and fair value is estimated based on present value of future cash flows using model-derived valuation that use Level 2 observable inputs such as interest rate yield curves. See Note 9 for further discussion on the Company’s derivative instruments designated as cash flow hedges.</w:t>
      </w:r>
    </w:p>
    <w:p>
      <w:pPr>
        <w:spacing w:after="0" w:line="7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fair value of the Company's debt, as well as the Senior Notes, approximates their carrying value at September 30, 2017 and March 31, 2017.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337"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In March 2017, the Company supported the formation of the Booz Allen Foundation, a nonprofit corporation organized and operated exclusively for charitable, scientific and educational purposes within the meaning of Section 501(c)(3) of the Code. The Company is the sole member of the foundation, which gives it the authority to appoint two of five of the Booz Allen Foundation's directors and consent rights regarding certain extraordinary corporate actions approved by the board of directors. The Company has made a binding and irrevocable pledge of $5.0 million to the Booz Allen Foundation and recorded the pledge obligation in other current liabilities on the consolidated balance sheet of the Company in March 2017. As of September 30, 2017, the pledge remains unpaid.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of September 30, 2017 and March 31, 2017, the Company was contingently liable under open standby letters of credit and bank guarantees issued by our banks in favor of third parties that totaled $7.3 million and $8.6 million, respectively. These letters of credit and bank guarantees primarily support insurance and bid and performance obligations. At September 30, 2017 and March 31, 2017, approximately $1.2 million and $1.7 million, respectively, of these instruments reduce the available borrowings under the Revolving Credit Facility. The remaining amounts under these instruments are guaranteed under a separate $10.0 million facility established in fiscal 2015 of which $3.9 million and $3.1 million was available to the Company at September 30, 2017 and March 31, 2017, respectively.</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For each of the three and six months ended September 30, 2017 and 2016, approximately 97%,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Management believes it has recorded the appropriate provision for the estimated losses that may be experienced from any such reductions and/or penalties. As of September 30, 2017 and March 31, 2017, the Company has recorded a liability of approximately $170.8 million and $175.7 million, respectively,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854" w:right="279" w:bottom="1440" w:gutter="0" w:footer="0" w:header="0"/>
        </w:sectPr>
      </w:pPr>
    </w:p>
    <w:bookmarkStart w:id="21" w:name="page22"/>
    <w:bookmarkEnd w:id="21"/>
    <w:p>
      <w:pPr>
        <w:ind w:right="160"/>
        <w:spacing w:after="0" w:line="342" w:lineRule="auto"/>
        <w:rPr>
          <w:sz w:val="20"/>
          <w:szCs w:val="20"/>
          <w:color w:val="auto"/>
        </w:rPr>
      </w:pPr>
      <w:r>
        <w:rPr>
          <w:rFonts w:ascii="Arial" w:cs="Arial" w:eastAsia="Arial" w:hAnsi="Arial"/>
          <w:sz w:val="16"/>
          <w:szCs w:val="16"/>
          <w:color w:val="auto"/>
        </w:rPr>
        <w:t>for its current best estimate of amounts to be refunded to customers for potential adjustments from audits or reviews of contract costs incurred subsequent to fiscal year 2011, and for contracts not yet closed that are impacted by settlement of audits or reviews of contract costs incurred in prior fiscal years.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September 30, 2017 and March 31, 2017, there were no material amounts accrued in the condensed consolidated financial statements related to these proceedings.</w:t>
      </w:r>
    </w:p>
    <w:p>
      <w:pPr>
        <w:spacing w:after="0" w:line="8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December 15, 2016, hearings relating to the appeal were held before the United States Court of Appeals for the Second Circuit. On July 13, 2017, the United States Court of Appeals for the Second Circuit ruled on the case and affirmed the ruling of the United States District Court for the Southern District of New York, except for one plaintiff’s securities fraud claim. The United States Court of Appeals for the Second Circuit remanded the case to the United States District Court for the Southern District of New York to give the plaintiff leave to file another amended complaint to attempt to plead a securities fraud claim. As of September 30, 2017, the aggregate alleged damages that will be sought in the remaining suit is unknown. As of September 30, 2017,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79"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recently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firstLine="392"/>
        <w:spacing w:after="0" w:line="276" w:lineRule="auto"/>
        <w:rPr>
          <w:sz w:val="20"/>
          <w:szCs w:val="20"/>
          <w:color w:val="auto"/>
        </w:rPr>
      </w:pPr>
      <w:r>
        <w:rPr>
          <w:rFonts w:ascii="Arial" w:cs="Arial" w:eastAsia="Arial" w:hAnsi="Arial"/>
          <w:sz w:val="17"/>
          <w:szCs w:val="17"/>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Securities Exchange Act of 1934, as amended, and Rule 10b-5 promulgated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54" w:right="239" w:bottom="1440" w:gutter="0" w:footer="0" w:header="0"/>
        </w:sectPr>
      </w:pPr>
    </w:p>
    <w:bookmarkStart w:id="22" w:name="page23"/>
    <w:bookmarkEnd w:id="22"/>
    <w:p>
      <w:pPr>
        <w:ind w:right="100"/>
        <w:spacing w:after="0" w:line="254" w:lineRule="auto"/>
        <w:rPr>
          <w:sz w:val="20"/>
          <w:szCs w:val="20"/>
          <w:color w:val="auto"/>
        </w:rPr>
      </w:pPr>
      <w:r>
        <w:rPr>
          <w:rFonts w:ascii="Arial" w:cs="Arial" w:eastAsia="Arial" w:hAnsi="Arial"/>
          <w:sz w:val="18"/>
          <w:szCs w:val="18"/>
          <w:color w:val="auto"/>
        </w:rPr>
        <w:t>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At this stage of the lawsuit, the Company is not able to reasonably estimate the expected amount or range of cost or any loss associated with the lawsuit.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1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November 2, 2017, the Board of Directors approved an increase to our share repurchase authorization from $410.0 million to up to $610.0 million. As of November 2, 2017, taking into effect the increase in the share repurchase authorization, the Company may repurchase up to approximately $301.4 million of additional shares of common stock under its share repurchase program.</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854" w:right="39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2017 filed with the Securities and Exchange Commission on May 22, 2017,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a leading provider of management and technology consulting, engineering, analytics, digital solutions, mission operations, and cyber expertise to U.S. and international governments, major corporations, and not-for-profit organizations. Our ability to deliver value to our clients has always been, and continues to be, a product of the strong character, deep expertise and tremendous passion of our people. Our talent base of approximately 24,200 employees endeavor to solve problems that matter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5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clients' needs, we have longstanding and deep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these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Our U.S. commercial clients are primarily in the financial services, healthcare and life sciences, energy, high-tech manufacturing, retail, and automotive industries. Our international clients are primarily in the Middle East, along with a growing presence in Southeast Asia.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the second quarter of fiscal 2018, the Company generated year over year revenue growth driven by strong demand from clients, while increasing our headcount, growing backlog to record level, and delivering improved earnings.</w:t>
      </w:r>
    </w:p>
    <w:p>
      <w:pPr>
        <w:spacing w:after="0" w:line="62"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Revenue increased 10.6% from the three months ended September 30, 2016 to the three months ended September 30, 2017 and increased 7.7% from the six months ended September 30, 2016 to the six months ended September 30, 2017 primarily driven by continued strength in client demand, which led to increased staff headcount, and therefore direct labor. Growth in revenue was also due to an increase in billable expenses over the prior year periods.</w:t>
      </w:r>
    </w:p>
    <w:p>
      <w:pPr>
        <w:spacing w:after="0" w:line="3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Operating income increased 7.5% to $126.5 million in the three months ended September 30, 2017 from $117.7 million in the three months ended September 30, 2016, while operating margin decreased to 8.2% from 8.4% in the comparable period. Operating income increased 7.7% to $266.0 million in the six months ended September 30, 2017 from $247.0 million in the six months ended September 30, 2016, while operating margin remained flat at 8.8% from comparable period. The increase in operating income was primarily driven by the same factors driving revenue as well as improved contract profitability across the enterprise. The growth in operating income was partially offset by increased spending in support of the business operations and onboarding and deployment of consulting staff headcount. The Company also incurred incremental legal costs during the second quarter of fiscal 2018 in response to the DOJ investigation, and expects to incur additional costs in the future. Based on the information currently available, the Company is not able to reasonably estimate the expected incremental legal costs associated with this investigation.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Adjusted Net Income and Adjusted Diluted Earnings Per Share, and net cash provided by operating activities to Free Cash Flow, (ii) use Revenue, Excluding Billable Expenses, Adjusted Operating Income, Adjusted EBITDA, Adjusted EBITDA Margin,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72" w:lineRule="exact"/>
        <w:rPr>
          <w:sz w:val="20"/>
          <w:szCs w:val="20"/>
          <w:color w:val="auto"/>
        </w:rPr>
      </w:pPr>
    </w:p>
    <w:p>
      <w:pPr>
        <w:ind w:left="1300" w:right="12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40" w:hanging="644"/>
        <w:spacing w:after="0" w:line="25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resulting from the acquisition of our Company by The Carlyle Group (the "Acquisition") and (ii) transaction costs, fees and losses,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80" w:lineRule="exact"/>
        <w:rPr>
          <w:rFonts w:ascii="Arial" w:cs="Arial" w:eastAsia="Arial" w:hAnsi="Arial"/>
          <w:sz w:val="18"/>
          <w:szCs w:val="18"/>
          <w:color w:val="auto"/>
        </w:rPr>
      </w:pPr>
    </w:p>
    <w:p>
      <w:pPr>
        <w:ind w:left="1300" w:right="40" w:hanging="644"/>
        <w:spacing w:after="0" w:line="27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and before certain other items, including transaction costs, fees and losses, including fees associated with debt prepayments.“Adjusted EBITDA Margin” is calculated as Adjusted EBITDA divided by revenue. The Company prepares Adjusted EBITDA and Adjusted EBITDA Margin to eliminate the impact of items it does not consider indicative of ongoing operating performance due to their inherent unusual, extraordinary or non-recurring nature or because they result from an event of a similar nature.</w:t>
      </w:r>
    </w:p>
    <w:p>
      <w:pPr>
        <w:spacing w:after="0" w:line="64" w:lineRule="exact"/>
        <w:rPr>
          <w:rFonts w:ascii="Arial" w:cs="Arial" w:eastAsia="Arial" w:hAnsi="Arial"/>
          <w:sz w:val="17"/>
          <w:szCs w:val="17"/>
          <w:color w:val="auto"/>
        </w:rPr>
      </w:pPr>
    </w:p>
    <w:p>
      <w:pPr>
        <w:ind w:left="1300" w:right="40" w:hanging="644"/>
        <w:spacing w:after="0" w:line="25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adjustments related to the amortization of intangible assets resulting from the Acquisition, (ii) transaction costs, fees and losses, including fees associated with debt prepayments, and (iii) amortization or write-off of debt issuance costs and write-off of original issue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85"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50" w:right="239" w:bottom="1440" w:gutter="0" w:footer="0" w:header="0"/>
        </w:sectPr>
      </w:pPr>
    </w:p>
    <w:bookmarkStart w:id="25" w:name="page26"/>
    <w:bookmarkEnd w:id="25"/>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1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Adjusted Net Income, Adjusted Diluted EPS, and Free Cash Flow to the most directly comparable financial measure calculated and presented in accordance with GAAP.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9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95"/>
              </w:rPr>
              <w:t>(Unaudited)</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97"/>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1,542,085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1,394,853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3,035,655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2,817,575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Billable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483,556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409,991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935,220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842,256</w:t>
            </w:r>
          </w:p>
        </w:tc>
        <w:tc>
          <w:tcPr>
            <w:tcW w:w="0" w:type="dxa"/>
            <w:vAlign w:val="bottom"/>
          </w:tcPr>
          <w:p>
            <w:pPr>
              <w:spacing w:after="0"/>
              <w:rPr>
                <w:sz w:val="1"/>
                <w:szCs w:val="1"/>
                <w:color w:val="auto"/>
              </w:rPr>
            </w:pPr>
          </w:p>
        </w:tc>
      </w:tr>
      <w:tr>
        <w:trPr>
          <w:trHeight w:val="237"/>
        </w:trPr>
        <w:tc>
          <w:tcPr>
            <w:tcW w:w="4940" w:type="dxa"/>
            <w:vAlign w:val="bottom"/>
          </w:tcPr>
          <w:p>
            <w:pPr>
              <w:ind w:left="720"/>
              <w:spacing w:after="0"/>
              <w:rPr>
                <w:sz w:val="20"/>
                <w:szCs w:val="20"/>
                <w:color w:val="auto"/>
              </w:rPr>
            </w:pPr>
            <w:r>
              <w:rPr>
                <w:rFonts w:ascii="Arial" w:cs="Arial" w:eastAsia="Arial" w:hAnsi="Arial"/>
                <w:sz w:val="18"/>
                <w:szCs w:val="18"/>
                <w:color w:val="auto"/>
              </w:rPr>
              <w:t>Revenue, Excluding Billable Expenses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1,058,529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984,862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2,100,435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1,975,319</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126,486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117,661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265,950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246,962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(a)</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126,486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122,002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265,950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252,429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Adjusted EBITDA &amp; Adjusted EBITDA Margin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70,913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150,453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130,647</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35,178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34,917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77,116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80,464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other, net (c)</w:t>
            </w:r>
          </w:p>
        </w:tc>
        <w:tc>
          <w:tcPr>
            <w:tcW w:w="280" w:type="dxa"/>
            <w:vAlign w:val="bottom"/>
            <w:shd w:val="clear" w:color="auto" w:fill="CCEEFF"/>
          </w:tcPr>
          <w:p>
            <w:pPr>
              <w:spacing w:after="0"/>
              <w:rPr>
                <w:sz w:val="21"/>
                <w:szCs w:val="21"/>
                <w:color w:val="auto"/>
              </w:rPr>
            </w:pPr>
          </w:p>
        </w:tc>
        <w:tc>
          <w:tcPr>
            <w:tcW w:w="12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20,395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19,914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38,381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35,851</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16,046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14,677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31,495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29,178</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142,532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297,445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276,140</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142,532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135,692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297,445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279,494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1,542,085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1,394,853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3,035,655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2,817,575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 Margin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70,913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150,453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130,647</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Amortization of intangible assets (a)</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29"/>
        </w:trPr>
        <w:tc>
          <w:tcPr>
            <w:tcW w:w="4940" w:type="dxa"/>
            <w:vAlign w:val="bottom"/>
          </w:tcPr>
          <w:p>
            <w:pPr>
              <w:ind w:left="380"/>
              <w:spacing w:after="0"/>
              <w:rPr>
                <w:sz w:val="20"/>
                <w:szCs w:val="20"/>
                <w:color w:val="auto"/>
              </w:rPr>
            </w:pPr>
            <w:r>
              <w:rPr>
                <w:rFonts w:ascii="Arial" w:cs="Arial" w:eastAsia="Arial" w:hAnsi="Arial"/>
                <w:sz w:val="18"/>
                <w:szCs w:val="18"/>
                <w:color w:val="auto"/>
                <w:w w:val="95"/>
              </w:rPr>
              <w:t>Amortization or write-off of debt issuance costs and write-off</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80"/>
              <w:spacing w:after="0"/>
              <w:rPr>
                <w:sz w:val="20"/>
                <w:szCs w:val="20"/>
                <w:color w:val="auto"/>
              </w:rPr>
            </w:pPr>
            <w:r>
              <w:rPr>
                <w:rFonts w:ascii="Arial" w:cs="Arial" w:eastAsia="Arial" w:hAnsi="Arial"/>
                <w:sz w:val="18"/>
                <w:szCs w:val="18"/>
                <w:color w:val="auto"/>
              </w:rPr>
              <w:t>of original issue discount</w:t>
            </w:r>
          </w:p>
        </w:tc>
        <w:tc>
          <w:tcPr>
            <w:tcW w:w="280" w:type="dxa"/>
            <w:vAlign w:val="bottom"/>
          </w:tcPr>
          <w:p>
            <w:pPr>
              <w:spacing w:after="0"/>
              <w:rPr>
                <w:sz w:val="20"/>
                <w:szCs w:val="20"/>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for tax effect (d)</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37"/>
        </w:trPr>
        <w:tc>
          <w:tcPr>
            <w:tcW w:w="4940" w:type="dxa"/>
            <w:vAlign w:val="bottom"/>
          </w:tcPr>
          <w:p>
            <w:pPr>
              <w:ind w:left="720"/>
              <w:spacing w:after="0"/>
              <w:rPr>
                <w:sz w:val="20"/>
                <w:szCs w:val="20"/>
                <w:color w:val="auto"/>
              </w:rPr>
            </w:pPr>
            <w:r>
              <w:rPr>
                <w:rFonts w:ascii="Arial" w:cs="Arial" w:eastAsia="Arial" w:hAnsi="Arial"/>
                <w:sz w:val="18"/>
                <w:szCs w:val="18"/>
                <w:color w:val="auto"/>
              </w:rPr>
              <w:t>Adjusted 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71,311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69,201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151,246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138,467</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148,887,497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w w:val="89"/>
              </w:rPr>
              <w:t>150,200,454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149,376,875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w w:val="91"/>
              </w:rPr>
              <w:t>149,914,416</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174,067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205,436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178,062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217,083</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(25,453)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(36,989)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Free Cash Flow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148,614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196,464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141,073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201,940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for the three and six months ended September 30, 2016.</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July 13, 2016.</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income (expense), net from the condensed consolidated statement of operations.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tax effect of adjustments at an assumed effective tax rate of 40%.</w:t>
      </w:r>
    </w:p>
    <w:p>
      <w:pPr>
        <w:sectPr>
          <w:pgSz w:w="11900" w:h="16838" w:orient="portrait"/>
          <w:cols w:equalWidth="0" w:num="1">
            <w:col w:w="11420"/>
          </w:cols>
          <w:pgMar w:left="240" w:top="85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854" w:right="239" w:bottom="1440" w:gutter="0" w:footer="0" w:header="0"/>
          <w:type w:val="continuous"/>
        </w:sectPr>
      </w:pPr>
    </w:p>
    <w:bookmarkStart w:id="26" w:name="page27"/>
    <w:bookmarkEnd w:id="26"/>
    <w:p>
      <w:pPr>
        <w:ind w:left="652" w:hanging="652"/>
        <w:spacing w:after="0" w:line="277"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an adjustment of approximately $0.7 million and $1.3 million of net earnings for the three and six months ended September 30, 2017 and 2016, respectively, associated with the application of the two-class method for computing diluted earnings per share.</w:t>
      </w:r>
    </w:p>
    <w:p>
      <w:pPr>
        <w:spacing w:after="0" w:line="19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32"/>
          </w:cols>
          <w:pgMar w:left="248" w:top="854"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hanging="644"/>
        <w:spacing w:after="0" w:line="297"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address budgetary constraints, caps on the discretionary budget for defense and non-defense departments and agencies, as established by the Bipartisan Budget Control Act of 2011 and subsequently adjusted by the American Tax Payer Relief Act of 2012, the Bipartisan Budget Act of 2013 and the Bipartisan Budget Act of 2015, and the ability of Congress to determine how to allocate the available budget authority and pass appropriations bills to fund both U.S. government departments and agencies that are, and those that are not, subject to the caps;</w:t>
      </w:r>
    </w:p>
    <w:p>
      <w:pPr>
        <w:spacing w:after="0" w:line="50"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80" w:hanging="644"/>
        <w:spacing w:after="0" w:line="289"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right="160" w:hanging="644"/>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3"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50" w:right="259" w:bottom="1440" w:gutter="0" w:footer="0" w:header="0"/>
        </w:sectPr>
      </w:pPr>
    </w:p>
    <w:bookmarkStart w:id="28" w:name="page29"/>
    <w:bookmarkEnd w:id="28"/>
    <w:p>
      <w:pPr>
        <w:ind w:left="1300" w:right="36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73" w:lineRule="exact"/>
        <w:rPr>
          <w:rFonts w:ascii="Arial" w:cs="Arial" w:eastAsia="Arial" w:hAnsi="Arial"/>
          <w:sz w:val="18"/>
          <w:szCs w:val="18"/>
          <w:color w:val="auto"/>
        </w:rPr>
      </w:pPr>
    </w:p>
    <w:p>
      <w:pPr>
        <w:ind w:left="1300" w:right="200" w:hanging="644"/>
        <w:spacing w:after="0" w:line="31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20" w:hanging="644"/>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73" w:lineRule="exact"/>
        <w:rPr>
          <w:rFonts w:ascii="Arial" w:cs="Arial" w:eastAsia="Arial" w:hAnsi="Arial"/>
          <w:sz w:val="18"/>
          <w:szCs w:val="18"/>
          <w:color w:val="auto"/>
        </w:rPr>
      </w:pPr>
    </w:p>
    <w:p>
      <w:pPr>
        <w:jc w:val="both"/>
        <w:ind w:left="1300" w:right="480" w:hanging="644"/>
        <w:spacing w:after="0" w:line="286"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 whereby agencies are required to meet high small business set aside targets, and large business prime contractors are required to subcontract in accordance with considerable small business participation goals necessary for contract award; and</w:t>
      </w:r>
    </w:p>
    <w:p>
      <w:pPr>
        <w:spacing w:after="0" w:line="57"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agency and mission priorities anticipated in the Department of Defense and Civilian agency landscape with the presidential and administration transition.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the Bipartisan Budget Act of 2013 and the Bipartisan Budget Act of 2015), provides for automatic spending cuts (referred to as sequestration) totaling approximately $1.2 trillion between 2013 and 2021, including an estimated $500 billion in federal defense spending cuts over this time period. The Bipartisan Budget Act of 2015 raised existing spending caps on defense spending by $15 billion for government fiscal 2017, but did not address spending caps beyond fiscal 2017. For example, under the Budget Control Act of 2011, as amended, approximately $91 billion in spending cuts are anticipated for the government fiscal 2018.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5"/>
        <w:spacing w:after="0" w:line="270" w:lineRule="auto"/>
        <w:tabs>
          <w:tab w:leader="none" w:pos="196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54" w:right="259" w:bottom="1440" w:gutter="0" w:footer="0" w:header="0"/>
        </w:sectPr>
      </w:pPr>
    </w:p>
    <w:bookmarkStart w:id="29" w:name="page30"/>
    <w:bookmarkEnd w:id="29"/>
    <w:p>
      <w:pPr>
        <w:ind w:left="1960" w:right="120" w:hanging="655"/>
        <w:spacing w:after="0" w:line="257" w:lineRule="auto"/>
        <w:tabs>
          <w:tab w:leader="none" w:pos="19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2120" w:type="dxa"/>
            <w:vAlign w:val="bottom"/>
            <w:gridSpan w:val="3"/>
          </w:tcPr>
          <w:p>
            <w:pPr>
              <w:jc w:val="center"/>
              <w:ind w:right="868"/>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4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6"/>
                <w:szCs w:val="16"/>
                <w:color w:val="auto"/>
              </w:rPr>
            </w:pPr>
          </w:p>
        </w:tc>
        <w:tc>
          <w:tcPr>
            <w:tcW w:w="2120" w:type="dxa"/>
            <w:vAlign w:val="bottom"/>
            <w:gridSpan w:val="3"/>
          </w:tcPr>
          <w:p>
            <w:pPr>
              <w:jc w:val="center"/>
              <w:ind w:right="88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434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ind w:left="397"/>
              <w:spacing w:after="0"/>
              <w:rPr>
                <w:sz w:val="20"/>
                <w:szCs w:val="20"/>
                <w:color w:val="auto"/>
              </w:rPr>
            </w:pPr>
            <w:r>
              <w:rPr>
                <w:rFonts w:ascii="Arial" w:cs="Arial" w:eastAsia="Arial" w:hAnsi="Arial"/>
                <w:sz w:val="14"/>
                <w:szCs w:val="14"/>
                <w:b w:val="1"/>
                <w:bCs w:val="1"/>
                <w:color w:val="auto"/>
                <w:w w:val="89"/>
              </w:rPr>
              <w:t>2017</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4"/>
                <w:szCs w:val="14"/>
                <w:b w:val="1"/>
                <w:bCs w:val="1"/>
                <w:color w:val="auto"/>
                <w:w w:val="89"/>
              </w:rPr>
              <w:t>2017</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000" w:type="dxa"/>
            <w:vAlign w:val="bottom"/>
            <w:tcBorders>
              <w:bottom w:val="single" w:sz="8" w:color="CCEEFF"/>
            </w:tcBorders>
            <w:shd w:val="clear" w:color="auto" w:fill="CCEEFF"/>
          </w:tcPr>
          <w:p>
            <w:pPr>
              <w:jc w:val="center"/>
              <w:ind w:left="397"/>
              <w:spacing w:after="0"/>
              <w:rPr>
                <w:sz w:val="20"/>
                <w:szCs w:val="20"/>
                <w:color w:val="auto"/>
              </w:rPr>
            </w:pPr>
            <w:r>
              <w:rPr>
                <w:rFonts w:ascii="Arial" w:cs="Arial" w:eastAsia="Arial" w:hAnsi="Arial"/>
                <w:sz w:val="18"/>
                <w:szCs w:val="18"/>
                <w:color w:val="auto"/>
                <w:w w:val="88"/>
              </w:rPr>
              <w:t>52%</w:t>
            </w:r>
          </w:p>
        </w:tc>
        <w:tc>
          <w:tcPr>
            <w:tcW w:w="2100" w:type="dxa"/>
            <w:vAlign w:val="bottom"/>
            <w:tcBorders>
              <w:bottom w:val="single" w:sz="8" w:color="CCEEFF"/>
            </w:tcBorders>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54"/>
              <w:spacing w:after="0"/>
              <w:rPr>
                <w:sz w:val="20"/>
                <w:szCs w:val="20"/>
                <w:color w:val="auto"/>
              </w:rPr>
            </w:pPr>
            <w:r>
              <w:rPr>
                <w:rFonts w:ascii="Arial" w:cs="Arial" w:eastAsia="Arial" w:hAnsi="Arial"/>
                <w:sz w:val="18"/>
                <w:szCs w:val="18"/>
                <w:color w:val="auto"/>
                <w:w w:val="88"/>
              </w:rPr>
              <w:t>51%</w:t>
            </w:r>
          </w:p>
        </w:tc>
        <w:tc>
          <w:tcPr>
            <w:tcW w:w="2120" w:type="dxa"/>
            <w:vAlign w:val="bottom"/>
            <w:tcBorders>
              <w:bottom w:val="single" w:sz="8" w:color="CCEEFF"/>
            </w:tcBorders>
            <w:gridSpan w:val="3"/>
            <w:shd w:val="clear" w:color="auto" w:fill="CCEEFF"/>
          </w:tcPr>
          <w:p>
            <w:pPr>
              <w:jc w:val="center"/>
              <w:ind w:left="557"/>
              <w:spacing w:after="0"/>
              <w:rPr>
                <w:sz w:val="20"/>
                <w:szCs w:val="20"/>
                <w:color w:val="auto"/>
              </w:rPr>
            </w:pPr>
            <w:r>
              <w:rPr>
                <w:rFonts w:ascii="Arial" w:cs="Arial" w:eastAsia="Arial" w:hAnsi="Arial"/>
                <w:sz w:val="18"/>
                <w:szCs w:val="18"/>
                <w:color w:val="auto"/>
                <w:w w:val="88"/>
              </w:rPr>
              <w:t>50%</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00" w:type="dxa"/>
            <w:vAlign w:val="bottom"/>
          </w:tcPr>
          <w:p>
            <w:pPr>
              <w:jc w:val="center"/>
              <w:ind w:left="397"/>
              <w:spacing w:after="0"/>
              <w:rPr>
                <w:sz w:val="20"/>
                <w:szCs w:val="20"/>
                <w:color w:val="auto"/>
              </w:rPr>
            </w:pPr>
            <w:r>
              <w:rPr>
                <w:rFonts w:ascii="Arial" w:cs="Arial" w:eastAsia="Arial" w:hAnsi="Arial"/>
                <w:sz w:val="18"/>
                <w:szCs w:val="18"/>
                <w:color w:val="auto"/>
                <w:w w:val="88"/>
              </w:rPr>
              <w:t>25%</w:t>
            </w:r>
          </w:p>
        </w:tc>
        <w:tc>
          <w:tcPr>
            <w:tcW w:w="2100" w:type="dxa"/>
            <w:vAlign w:val="bottom"/>
            <w:gridSpan w:val="3"/>
          </w:tcPr>
          <w:p>
            <w:pPr>
              <w:jc w:val="center"/>
              <w:ind w:left="514"/>
              <w:spacing w:after="0"/>
              <w:rPr>
                <w:sz w:val="20"/>
                <w:szCs w:val="20"/>
                <w:color w:val="auto"/>
              </w:rPr>
            </w:pPr>
            <w:r>
              <w:rPr>
                <w:rFonts w:ascii="Arial" w:cs="Arial" w:eastAsia="Arial" w:hAnsi="Arial"/>
                <w:sz w:val="18"/>
                <w:szCs w:val="18"/>
                <w:color w:val="auto"/>
                <w:w w:val="94"/>
              </w:rPr>
              <w:t>27%</w:t>
            </w:r>
          </w:p>
        </w:tc>
        <w:tc>
          <w:tcPr>
            <w:tcW w:w="100" w:type="dxa"/>
            <w:vAlign w:val="bottom"/>
          </w:tcPr>
          <w:p>
            <w:pPr>
              <w:spacing w:after="0"/>
              <w:rPr>
                <w:sz w:val="21"/>
                <w:szCs w:val="21"/>
                <w:color w:val="auto"/>
              </w:rPr>
            </w:pPr>
          </w:p>
        </w:tc>
        <w:tc>
          <w:tcPr>
            <w:tcW w:w="940" w:type="dxa"/>
            <w:vAlign w:val="bottom"/>
          </w:tcPr>
          <w:p>
            <w:pPr>
              <w:jc w:val="center"/>
              <w:ind w:left="454"/>
              <w:spacing w:after="0"/>
              <w:rPr>
                <w:sz w:val="20"/>
                <w:szCs w:val="20"/>
                <w:color w:val="auto"/>
              </w:rPr>
            </w:pPr>
            <w:r>
              <w:rPr>
                <w:rFonts w:ascii="Arial" w:cs="Arial" w:eastAsia="Arial" w:hAnsi="Arial"/>
                <w:sz w:val="18"/>
                <w:szCs w:val="18"/>
                <w:color w:val="auto"/>
                <w:w w:val="88"/>
              </w:rPr>
              <w:t>25%</w:t>
            </w:r>
          </w:p>
        </w:tc>
        <w:tc>
          <w:tcPr>
            <w:tcW w:w="2120" w:type="dxa"/>
            <w:vAlign w:val="bottom"/>
            <w:gridSpan w:val="3"/>
          </w:tcPr>
          <w:p>
            <w:pPr>
              <w:jc w:val="center"/>
              <w:ind w:left="557"/>
              <w:spacing w:after="0"/>
              <w:rPr>
                <w:sz w:val="20"/>
                <w:szCs w:val="20"/>
                <w:color w:val="auto"/>
              </w:rPr>
            </w:pPr>
            <w:r>
              <w:rPr>
                <w:rFonts w:ascii="Arial" w:cs="Arial" w:eastAsia="Arial" w:hAnsi="Arial"/>
                <w:sz w:val="18"/>
                <w:szCs w:val="18"/>
                <w:color w:val="auto"/>
                <w:w w:val="88"/>
              </w:rPr>
              <w:t>27%</w:t>
            </w:r>
          </w:p>
        </w:tc>
      </w:tr>
      <w:tr>
        <w:trPr>
          <w:trHeight w:val="27"/>
        </w:trPr>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00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88"/>
              </w:rPr>
              <w:t>23%</w:t>
            </w:r>
          </w:p>
        </w:tc>
        <w:tc>
          <w:tcPr>
            <w:tcW w:w="2100" w:type="dxa"/>
            <w:vAlign w:val="bottom"/>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94"/>
              </w:rPr>
              <w:t>23%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88"/>
              </w:rPr>
              <w:t>24%</w:t>
            </w:r>
          </w:p>
        </w:tc>
        <w:tc>
          <w:tcPr>
            <w:tcW w:w="2120" w:type="dxa"/>
            <w:vAlign w:val="bottom"/>
            <w:gridSpan w:val="3"/>
            <w:shd w:val="clear" w:color="auto" w:fill="CCEEFF"/>
          </w:tcPr>
          <w:p>
            <w:pPr>
              <w:jc w:val="center"/>
              <w:ind w:left="557"/>
              <w:spacing w:after="0"/>
              <w:rPr>
                <w:sz w:val="20"/>
                <w:szCs w:val="20"/>
                <w:color w:val="auto"/>
              </w:rPr>
            </w:pPr>
            <w:r>
              <w:rPr>
                <w:rFonts w:ascii="Arial" w:cs="Arial" w:eastAsia="Arial" w:hAnsi="Arial"/>
                <w:sz w:val="18"/>
                <w:szCs w:val="18"/>
                <w:color w:val="auto"/>
                <w:w w:val="88"/>
              </w:rPr>
              <w:t>23%</w:t>
            </w:r>
          </w:p>
        </w:tc>
      </w:tr>
      <w:tr>
        <w:trPr>
          <w:trHeight w:val="27"/>
        </w:trPr>
        <w:tc>
          <w:tcPr>
            <w:tcW w:w="4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54" w:right="2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September 30, 2017 and 2016, we employed approximately 24,200 and 22,800 people, respectively, of which approximately 21,800 and 20,500,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058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457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7"/>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7,015</w:t>
            </w:r>
          </w:p>
        </w:tc>
      </w:tr>
      <w:tr>
        <w:trPr>
          <w:trHeight w:val="27"/>
        </w:trPr>
        <w:tc>
          <w:tcPr>
            <w:tcW w:w="5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22.3% from September 30, 2016 to September 30, 2017. Additions to funded backlog during the twelve months ended September 30, 2017 totaled $6.2 billion in comparison to $5.6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54" w:right="239" w:bottom="1440" w:gutter="0" w:footer="0" w:header="0"/>
        </w:sectPr>
      </w:pPr>
    </w:p>
    <w:bookmarkStart w:id="31" w:name="page32"/>
    <w:bookmarkEnd w:id="31"/>
    <w:p>
      <w:pPr>
        <w:ind w:right="60"/>
        <w:spacing w:after="0" w:line="273" w:lineRule="auto"/>
        <w:rPr>
          <w:sz w:val="20"/>
          <w:szCs w:val="20"/>
          <w:color w:val="auto"/>
        </w:rPr>
      </w:pPr>
      <w:r>
        <w:rPr>
          <w:rFonts w:ascii="Arial" w:cs="Arial" w:eastAsia="Arial" w:hAnsi="Arial"/>
          <w:sz w:val="17"/>
          <w:szCs w:val="17"/>
          <w:color w:val="auto"/>
        </w:rPr>
        <w:t>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In addition,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7.8% of funded backlog as of the end of any of the four fiscal quarters preceding the fiscal quarter ended September 30, 2017.</w:t>
      </w:r>
    </w:p>
    <w:p>
      <w:pPr>
        <w:spacing w:after="0" w:line="50"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We expect to recognize revenue from a substantial portion of funded backlog as of September 30, 2017 within the next twelve months. However, given the uncertainties discussed above, as well as the risks described in "Item 1A.Risk Factors" of our Annual Report on Form 10-K for the fiscal year ended March 31, 2017, we can give no assurance that we will be able to convert our backlog into revenue in any particular period, if at all.</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6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20" w:hanging="644"/>
        <w:spacing w:after="0" w:line="308"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include indirect labor of executive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functions, marketing and bid and proposal costs, legal expenses, and other discretionary spending.</w:t>
      </w:r>
    </w:p>
    <w:p>
      <w:pPr>
        <w:spacing w:after="0" w:line="38" w:lineRule="exact"/>
        <w:rPr>
          <w:rFonts w:ascii="Arial" w:cs="Arial" w:eastAsia="Arial" w:hAnsi="Arial"/>
          <w:sz w:val="17"/>
          <w:szCs w:val="17"/>
          <w:color w:val="auto"/>
        </w:rPr>
      </w:pPr>
    </w:p>
    <w:p>
      <w:pPr>
        <w:ind w:left="1300" w:right="18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54" w:right="25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Borders>
              <w:right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2360" w:type="dxa"/>
            <w:vAlign w:val="bottom"/>
            <w:tcBorders>
              <w:right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2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080" w:type="dxa"/>
            <w:vAlign w:val="bottom"/>
            <w:tcBorders>
              <w:right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Borders>
              <w:right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Borders>
              <w:right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1,542,085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1,394,853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3,035,655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2,817,575</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658,068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1,399,447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1,315,022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284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483,556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409,991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935,220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842,256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194,456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403,543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384,157</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28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31,495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29,178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costs and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1,415,599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1,277,192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2,769,705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2,570,613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117,661</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265,950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246,962</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1"/>
                <w:szCs w:val="21"/>
                <w:color w:val="auto"/>
              </w:rPr>
            </w:pPr>
          </w:p>
        </w:tc>
        <w:tc>
          <w:tcPr>
            <w:tcW w:w="1300" w:type="dxa"/>
            <w:vAlign w:val="bottom"/>
            <w:gridSpan w:val="2"/>
          </w:tcPr>
          <w:p>
            <w:pPr>
              <w:ind w:left="72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97,747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211,111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34,917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77,116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80,464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62,830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150,453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130,647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Three Months Ended September 30, 2017 Compared to Three Months Ended September 30, 2016</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increased to $1,542.1 million from $1,394.9 million or a 10.6% increase, primarily driven by continued strength in client demand, which led to increased client staff headcount and an associated increase in client staff labor to meet increased client demand over the prior year period, and an increase in spending as compared to the prior year period as the level of spending contributes to revenue recognized on cost reimbursable and fixed price contracts. Growth in revenue was also due to an increase in billable expenses over the prior year period.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Cost of revenue increased to $700.9 million from $658.1 million, or a 6.5% increase. The increase was primarily due to increases in salaries and salary-related benefits of $42.1 million driven by increased headcount. Cost of revenue as a percentage of revenue was 45.5% and 47.2% for the three months ended September 30, 2017 and 2016,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Billable expenses increased to $483.6 million from $410.0 million, or a 17.9% increase, primarily attributable to an increase in the use of subcontractors in the current year driven by client demand. In addition, contracts which require the Company to incur direct expenses on behalf of clients have increased over the prior year period. Billable expenses as a percentage of revenue were 31.4% and 29.4% for the three months ended September 30, 2017 and 2016,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General and administrative expenses increased to $215.1 million from $194.5 million, or an 10.6% increase, primarily due to increases in business expenses of $10.7 million and increases in salaries and salary-related benefits of $11.0 million, driven by an increase in headcount growth as well as annual base salary increases, partially offset by lower incentive compensation of $3.4 million. General and administrative expenses as a percentage of revenue was 13.9% for both the three months ended September 30, 2017 and 2016.</w:t>
      </w:r>
    </w:p>
    <w:p>
      <w:pPr>
        <w:sectPr>
          <w:pgSz w:w="11900" w:h="16838" w:orient="portrait"/>
          <w:cols w:equalWidth="0" w:num="1">
            <w:col w:w="11380"/>
          </w:cols>
          <w:pgMar w:left="240" w:top="854" w:right="27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854" w:right="279" w:bottom="1440" w:gutter="0" w:footer="0" w:header="0"/>
          <w:type w:val="continuous"/>
        </w:sectPr>
      </w:pPr>
    </w:p>
    <w:bookmarkStart w:id="33" w:name="page34"/>
    <w:bookmarkEnd w:id="33"/>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Depreciation and amortization increased to $16.0 million from $14.7 million, or a 9.3% increase, primarily due to increases in intangible asset amortization related to the Company's acquisition of Aquilent in fiscal 2017, partially offset by a decrease in amortization of other amortizable intangible assets that fully amortized in fiscal 2017.</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Interest expense increased to $21.0 million from $14.8 million, or a 42.1% increase, primarily as a result of interest expense related to the issuance of the Senior Notes (as defined below) in April 2017.</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Income tax expense increased to $35.2 million from $34.9 million, or a 0.7% increase, primarily due to an increase in pretax income. The effective tax rate decreased from 35.7% to 33.2% primarily due to the recognition of excess tax benefits of $2.4 million being reflected in earnings as a reduction to income tax expense in the second quarter of fiscal 2018. This was driven by the Company's initial adoption of new accounting guidance whereby excess tax benefits on employee share-based payment awards are now recognized in earnings as a reduction to income tax expense instead of as an adjustment to additional paid-in-capital, as was the case historically. See Note 2 in our condensed consolidated financial statements in this Form 10-Q for additional information on how this accounting change could impact earnings in future periods.</w:t>
      </w:r>
    </w:p>
    <w:p>
      <w:pPr>
        <w:spacing w:after="0" w:line="70" w:lineRule="exact"/>
        <w:rPr>
          <w:sz w:val="20"/>
          <w:szCs w:val="20"/>
          <w:color w:val="auto"/>
        </w:rPr>
      </w:pPr>
    </w:p>
    <w:p>
      <w:pPr>
        <w:ind w:left="260" w:right="4340"/>
        <w:spacing w:after="0" w:line="375" w:lineRule="auto"/>
        <w:rPr>
          <w:sz w:val="20"/>
          <w:szCs w:val="20"/>
          <w:color w:val="auto"/>
        </w:rPr>
      </w:pPr>
      <w:r>
        <w:rPr>
          <w:rFonts w:ascii="Arial" w:cs="Arial" w:eastAsia="Arial" w:hAnsi="Arial"/>
          <w:sz w:val="18"/>
          <w:szCs w:val="18"/>
          <w:b w:val="1"/>
          <w:bCs w:val="1"/>
          <w:i w:val="1"/>
          <w:iCs w:val="1"/>
          <w:color w:val="auto"/>
        </w:rPr>
        <w:t xml:space="preserve">Six Months Ended September 30, 2017 Compared to Six Months Ended September 30, 2016 </w:t>
      </w:r>
      <w:r>
        <w:rPr>
          <w:rFonts w:ascii="Arial" w:cs="Arial" w:eastAsia="Arial" w:hAnsi="Arial"/>
          <w:sz w:val="18"/>
          <w:szCs w:val="18"/>
          <w:i w:val="1"/>
          <w:iCs w:val="1"/>
          <w:color w:val="auto"/>
        </w:rPr>
        <w:t>Revenue</w:t>
      </w:r>
    </w:p>
    <w:p>
      <w:pPr>
        <w:spacing w:after="0" w:line="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increased to $3,035.7 million from $2,817.6 million, or a 7.7% increase, primarily driven by continued strength in client demand, which led to increased staff headcount and direct client staff labor productivity over the prior year period, partially offset by a decrease in spending as compared to the prior year period as the level of spending contributes to revenue recognized on cost reimbursable and fixed price contracts. Growth in revenue was also due to an increase in billable expenses over the prior year period.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Cost of revenue increased to $1,399.4 million from $1,315.0 million, or a 6.4% increase. The increase was primarily due to increases in salaries and salary-related benefits of $78.4 million driven by increased headcount. Cost of revenue as a percentage of revenue was 46.1% and 46.7% for the six months ended September 30, 2017 and 2016,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Billable expenses increased to $935.2 million from $842.3 million, or a 11.0% increase, primarily attributable to an increase in the use of subcontractors in the current year driven by client demand. In addition, contracts which require the Company to incur travel expenses on behalf of clients increased over the prior year period. Billable expenses as a percentage of revenue were 30.8% and 29.9% for the six months ended September 30, 2017 and 2016, respectively.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General and administrative expenses increased to $403.5 million from $384.2 million, or a 5.0% increase, primarily due to increases in salaries and salary-related benefits of $17.0 million, driven by headcount growth as well as annual base salary increases, and increases in business expenses of $5.1 million, partially offset by lower incentive compensation of $5.8 million. General and administrative expenses as a percentage of revenue were 13.3% and 13.6% for the six months ended September 30, 2017 and 2016,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Depreciation and amortization increased to $31.5 million from $29.2 million, or a 7.9% increase, primarily due to increases in intangible asset amortization related to the Company's acquisition of Aquilent in fiscal 2017, partially offset by a decrease in amortization of other amortizable intangible assets that fully amortized in fiscal 2017.</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Interest expense increased to $39.7 million from $32.6 million, or a 21.9% increase, primarily as a result of interest expense related to the issuance of the Senior Notes in April 2017.</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54" w:right="25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Income tax expense decreased to $77.1 million from $80.5 million, or a 4.2% decrease. The effective tax rate decreased from 38.1% to 33.9% primarily due to the recognition of excess tax benefits of $9.3 million being reflected in earnings in the first and second quarters of fiscal 2018. This was driven by the Company's initial adoption of new accounting guidance whereby excess tax benefits on employee share-based payment awards are now recognized in earnings as a reduction to income tax expense instead of as an adjustment to additional paid-in-capital, as was the case historically. See Note 2 in our condensed consolidated financial statements in this Form 10-Q for additional information on how this accounting change could impact earnings in future periods.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selected financial information as of September 30, 2017 and March 31, 2017 and for the first six months of fiscal 2018 and 2017: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4"/>
                <w:szCs w:val="14"/>
                <w:color w:val="auto"/>
              </w:rPr>
            </w:pPr>
          </w:p>
        </w:tc>
        <w:tc>
          <w:tcPr>
            <w:tcW w:w="1340" w:type="dxa"/>
            <w:vAlign w:val="bottom"/>
          </w:tcPr>
          <w:p>
            <w:pPr>
              <w:jc w:val="center"/>
              <w:ind w:right="53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97"/>
              <w:spacing w:after="0"/>
              <w:rPr>
                <w:sz w:val="20"/>
                <w:szCs w:val="20"/>
                <w:color w:val="auto"/>
              </w:rPr>
            </w:pPr>
            <w:r>
              <w:rPr>
                <w:rFonts w:ascii="Arial" w:cs="Arial" w:eastAsia="Arial" w:hAnsi="Arial"/>
                <w:sz w:val="14"/>
                <w:szCs w:val="14"/>
                <w:b w:val="1"/>
                <w:bCs w:val="1"/>
                <w:color w:val="auto"/>
                <w:w w:val="89"/>
              </w:rPr>
              <w:t>2017</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center"/>
              <w:ind w:left="981"/>
              <w:spacing w:after="0"/>
              <w:rPr>
                <w:sz w:val="20"/>
                <w:szCs w:val="20"/>
                <w:color w:val="auto"/>
              </w:rPr>
            </w:pPr>
            <w:r>
              <w:rPr>
                <w:rFonts w:ascii="Arial" w:cs="Arial" w:eastAsia="Arial" w:hAnsi="Arial"/>
                <w:sz w:val="14"/>
                <w:szCs w:val="14"/>
                <w:b w:val="1"/>
                <w:bCs w:val="1"/>
                <w:color w:val="auto"/>
                <w:w w:val="93"/>
              </w:rPr>
              <w:t>(In thousands)</w:t>
            </w:r>
          </w:p>
        </w:tc>
        <w:tc>
          <w:tcPr>
            <w:tcW w:w="134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330,043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217,417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1,847,047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1,663,324</w:t>
            </w:r>
          </w:p>
        </w:tc>
      </w:tr>
      <w:tr>
        <w:trPr>
          <w:trHeight w:val="477"/>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center"/>
              <w:ind w:left="981"/>
              <w:spacing w:after="0"/>
              <w:rPr>
                <w:sz w:val="20"/>
                <w:szCs w:val="20"/>
                <w:color w:val="auto"/>
              </w:rPr>
            </w:pPr>
            <w:r>
              <w:rPr>
                <w:rFonts w:ascii="Arial" w:cs="Arial" w:eastAsia="Arial" w:hAnsi="Arial"/>
                <w:sz w:val="14"/>
                <w:szCs w:val="14"/>
                <w:b w:val="1"/>
                <w:bCs w:val="1"/>
                <w:color w:val="auto"/>
                <w:w w:val="93"/>
              </w:rPr>
              <w:t>Six Months Ended</w:t>
            </w:r>
          </w:p>
        </w:tc>
        <w:tc>
          <w:tcPr>
            <w:tcW w:w="1340" w:type="dxa"/>
            <w:vAlign w:val="bottom"/>
          </w:tcPr>
          <w:p>
            <w:pPr>
              <w:spacing w:after="0"/>
              <w:rPr>
                <w:sz w:val="24"/>
                <w:szCs w:val="24"/>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ind w:left="1001"/>
              <w:spacing w:after="0"/>
              <w:rPr>
                <w:sz w:val="20"/>
                <w:szCs w:val="20"/>
                <w:color w:val="auto"/>
              </w:rPr>
            </w:pPr>
            <w:r>
              <w:rPr>
                <w:rFonts w:ascii="Arial" w:cs="Arial" w:eastAsia="Arial" w:hAnsi="Arial"/>
                <w:sz w:val="14"/>
                <w:szCs w:val="14"/>
                <w:b w:val="1"/>
                <w:bCs w:val="1"/>
                <w:color w:val="auto"/>
                <w:w w:val="91"/>
              </w:rPr>
              <w:t>September 30,</w:t>
            </w:r>
          </w:p>
        </w:tc>
        <w:tc>
          <w:tcPr>
            <w:tcW w:w="134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497"/>
              <w:spacing w:after="0"/>
              <w:rPr>
                <w:sz w:val="20"/>
                <w:szCs w:val="20"/>
                <w:color w:val="auto"/>
              </w:rPr>
            </w:pPr>
            <w:r>
              <w:rPr>
                <w:rFonts w:ascii="Arial" w:cs="Arial" w:eastAsia="Arial" w:hAnsi="Arial"/>
                <w:sz w:val="14"/>
                <w:szCs w:val="14"/>
                <w:b w:val="1"/>
                <w:bCs w:val="1"/>
                <w:color w:val="auto"/>
                <w:w w:val="89"/>
              </w:rPr>
              <w:t>2016</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21"/>
                <w:szCs w:val="21"/>
                <w:color w:val="auto"/>
              </w:rPr>
            </w:pPr>
          </w:p>
        </w:tc>
        <w:tc>
          <w:tcPr>
            <w:tcW w:w="1340" w:type="dxa"/>
            <w:vAlign w:val="bottom"/>
          </w:tcPr>
          <w:p>
            <w:pPr>
              <w:jc w:val="center"/>
              <w:ind w:right="51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center"/>
              <w:ind w:left="981"/>
              <w:spacing w:after="0"/>
              <w:rPr>
                <w:sz w:val="20"/>
                <w:szCs w:val="20"/>
                <w:color w:val="auto"/>
              </w:rPr>
            </w:pPr>
            <w:r>
              <w:rPr>
                <w:rFonts w:ascii="Arial" w:cs="Arial" w:eastAsia="Arial" w:hAnsi="Arial"/>
                <w:sz w:val="14"/>
                <w:szCs w:val="14"/>
                <w:b w:val="1"/>
                <w:bCs w:val="1"/>
                <w:color w:val="auto"/>
                <w:w w:val="93"/>
              </w:rPr>
              <w:t>(In thousands)</w:t>
            </w:r>
          </w:p>
        </w:tc>
        <w:tc>
          <w:tcPr>
            <w:tcW w:w="134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178,062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217,083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(37,193)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(15,344)</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(82,045)</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increase in 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112,626</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119,694</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recurring dividends, and special dividends.</w:t>
      </w:r>
    </w:p>
    <w:p>
      <w:pPr>
        <w:spacing w:after="0" w:line="18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(the "Revolving Credit Facility") will be sufficient to meet our anticipated cash requirements for the next twelve months, which primarily include:</w:t>
      </w:r>
    </w:p>
    <w:p>
      <w:pPr>
        <w:spacing w:after="0" w:line="197"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taxes to be paid.</w:t>
      </w:r>
    </w:p>
    <w:p>
      <w:pPr>
        <w:sectPr>
          <w:pgSz w:w="11900" w:h="16838" w:orient="portrait"/>
          <w:cols w:equalWidth="0" w:num="1">
            <w:col w:w="11420"/>
          </w:cols>
          <w:pgMar w:left="240" w:top="85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854" w:right="239" w:bottom="1440" w:gutter="0" w:footer="0" w:header="0"/>
          <w:type w:val="continuous"/>
        </w:sectPr>
      </w:pPr>
    </w:p>
    <w:bookmarkStart w:id="35" w:name="page36"/>
    <w:bookmarkEnd w:id="35"/>
    <w:p>
      <w:pPr>
        <w:ind w:right="8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65 as of September 30, 2017 and 60 as of March 31, 2017. DSO increased as a result of sustained revenue growth, the timing of billings associated with higher indirect spending compared to the prior year period and administrative delays in client collections.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cash from clients in a timely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manner, and our ability to manage vendor payments. Continued uncertainty in global economic conditions may also affect our business as customers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suppliers may decide to downsize, defer, or cancel contracts, which could negatively affect the operating cash flows. Net cash provided by operations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$178.1 million in the six months ended September 30, 2017 compared to $217.1 million in the prior year period, or an 18.0% decrease. The decline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year-to-date period was primarily the result of higher cash taxes paid during fiscal 2018. We continue to experience temporary payment delays at one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customer payment centers, but are seeing improvements and expect such delays to be mitigated by the end of fiscal year 2018. While DSO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is up three days from the prior year, it improved by four days over the first quarter, largely driven by continuing revenue growth over the preceding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and timely conversions of such revenue to cash, as well as improvements in payment delays at the customer payment center.</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Net cash used in investing activities was $37.2 million in the six months ended September 30, 2017 compared to $15.3 million in the prior year period, or a 142.4% increase. The increase in net cash used in investing activities was due to an increase in capital expenditures over the prior year primarily related to the timing of the leasehold improvements to update existing office space.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Net cash used in financing activities was $28.2 million in the six months ended September 30, 2017 compared to $82.0 million in the prior year period. The decrease in net cash used in financing activities was primarily due to net proceeds of $343.3 million received from the issuance of the Senior Notes, partially offset by a decrease in borrowings on the Revolving Credit Facility of $95.0 million as compared to the prior year period. In addition, during the first and second quarters of fiscal 2018, the Company repurchased a total of 4.5 million shares of Class A Common Stock in a series of open market transactions for $154 million, as compared to a total of 0.1 million shares repurchased for $2.3 million in the prior year periods. In addition, the Company paid $9.9 million during the first quarter of fiscal 2018 for shares repurchased during the fourth quarter of fiscal 2017 that had not settled by March 31, 2017.</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On November 6, 2017, the Company announced a regular quarterly cash dividend in the amount of $0.17 per share. The quarterly dividend is payable on November 30, 2017 to stockholders of record on November 14, 2017.</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54" w:right="25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dividends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25,454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50,866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2,157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25,454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22,440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51,756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46,946</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recurring dividends of $0.17 per share and $0.15 per share that were declared and paid during the first and second quarters of fiscal 2018 and fiscal 2017, respectively.</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December 12, 2011, the Board of Directors authorized the repurchase of up to $30.0 million of shares. On January 27, 2015, the share repurchase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authorization was increased to $180.0 million. On January 25, 2017, the Board of Directors approved an increase to share repurchase authorization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$180.0 million to $410.0 million. During fiscal 2018, the Company purchased 4.5 million shares of the Company's Class A Common Stock for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$154.0 million. Following the aforementioned repurchases, as of September 30, 2017, the Company had $101.4 million remaining under the repurchase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program.</w:t>
      </w:r>
    </w:p>
    <w:p>
      <w:pPr>
        <w:spacing w:after="0" w:line="7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November 2, 2017, the Board of Directors approved an increase to our share repurchase authorization from $410.0 million to up to $610.0 million. As of November 2, 2017, taking into effect the increase in the share repurchase authorization, the Company may repurchase up to approximately $301.4 million of additional shares of common stock under its share repurchase program.</w:t>
      </w:r>
    </w:p>
    <w:p>
      <w:pPr>
        <w:spacing w:after="0" w:line="73"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February 6, 2017, Booz Allen Hamilton, Booz Allen Hamilton Investor Corporation ("Investor") and certain wholly-owned subsidiaries of Booz Allen Hamilton entered into the Fourth Amendment, to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the Second Amendment to the Credit Agreement, dated as of May 7, 2014, and the Third Amendment to the Credit Agreement, dated as of July 13, 2016). Pursuant to the Fourth Amendment, the Company reduced the interest rate spread applicable to Term Loan B (as defined below). The interest rate spread applicable to Term Loan A (as defined below) remained unchanged.</w:t>
      </w:r>
    </w:p>
    <w:p>
      <w:pPr>
        <w:spacing w:after="0" w:line="5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As of September 30, 2017, the Credit Agreement, as amended, provided the Company with a $1,123.9 million Term Loan A ("Term Loan A"), a $396.0 million Term Loan B ("Term Loan B" and, together with Term Loan A, the "Term Loans"), and a $500.0 million Revolving Credit Facility (and together with the Term Loans, the "Secured Credit Facility"), with a sub-limit for letters of credit of $100.0 million. As of September 30, 2017, the maturity date of Term Loan A and the termination date for the Revolving Credit Facility was June 30, 2021 and the maturity date of Term Loan B was June 30, 2023. Booz Allen Hamilton’s obligations and the guarantors’ guarantees under the Credit Agreement, as amended, are secured by a first priority lien on substantially all of the assets (including capital stock of subsidiaries) of Booz Allen Hamilton, Investor and the subsidiary guarantors, subject to certain exceptions set forth in the Credit Agreement, as amended,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$400 million plus (ii) the aggregate principal amount under which pro forma consolidated net secured leverage remains less than or equal to 3.50:1.00.</w:t>
      </w:r>
    </w:p>
    <w:p>
      <w:pPr>
        <w:spacing w:after="0" w:line="151"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Booz Allen Hamilton occasionally borrows under our Revolving Credit Facility in anticipation of cash demands. During the first and second quarters of fiscal 2018, Booz Allen Hamilton accessed a total of $30.0 million of its $500.0 million Revolving Credit Facility. As of September 30, 2017, there were no amounts outstanding under the Revolving Credit Facility. As of March 31, 2017, there was $130.0 million outstanding on the Revolving Credit Facility.</w:t>
      </w:r>
    </w:p>
    <w:p>
      <w:pPr>
        <w:spacing w:after="0" w:line="3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54" w:right="239" w:bottom="1440" w:gutter="0" w:footer="0" w:header="0"/>
        </w:sectPr>
      </w:pPr>
    </w:p>
    <w:bookmarkStart w:id="37" w:name="page38"/>
    <w:bookmarkEnd w:id="37"/>
    <w:p>
      <w:pPr>
        <w:ind w:firstLine="405"/>
        <w:spacing w:after="0" w:line="254" w:lineRule="auto"/>
        <w:rPr>
          <w:sz w:val="20"/>
          <w:szCs w:val="20"/>
          <w:color w:val="auto"/>
        </w:rPr>
      </w:pPr>
      <w:r>
        <w:rPr>
          <w:rFonts w:ascii="Arial" w:cs="Arial" w:eastAsia="Arial" w:hAnsi="Arial"/>
          <w:sz w:val="18"/>
          <w:szCs w:val="18"/>
          <w:color w:val="auto"/>
        </w:rPr>
        <w:t>At our option, borrowings under the Secured Credit Facility bear interest based either on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B is 2.25% for LIBOR loans and 1.25% for base rate loans. The applicable margin for Term Loan A and borrowings under the Revolving Credit Facility ranges from 1.50% to 2.25% for LIBOR loans and 0.50% to 1.25% for base rate loans, in each case based on Booz Allen Hamilton’s consolidated total net leverage ratio. Unused commitments under the Revolving Credit Facility are subject to a quarterly fee ranging from 0.30% to 0.40% based on Booz Allen Hamilton’s consolidated total net leverage ratio.</w:t>
      </w:r>
    </w:p>
    <w:p>
      <w:pPr>
        <w:spacing w:after="0" w:line="16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also have agreed to pay customary letter of credit and agency fees. As of September 30, 2017 and March 31, 2017, we were contingently liable under open standby letters of credit and bank guarantees issued by our banks in favor of third parties that totaled $7.3 million and $8.6 million, respectively. These letters of credit and bank guarantees primarily support insurance and bid and performance obligations. At September 30, 2017 and March 31, 2017, approximately $1.2 million and $1.7 million, respectively, of these instruments reduce the available borrowings under the Revolving Credit Facility. The remainder is guaranteed under a separate $10.0 million facility established in fiscal 2015 of which $3.9 million and $3.1 million, respectively, was available to us at September 30, 2017 and March 31, 2017. As of September 30, 2017, we had$498.8 million of capacity available for additional borrowings under the Revolving Credit Facility.</w:t>
      </w:r>
    </w:p>
    <w:p>
      <w:pPr>
        <w:spacing w:after="0" w:line="8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Credit Agreement, as amended,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ind w:right="200" w:firstLine="8"/>
        <w:spacing w:after="0" w:line="281" w:lineRule="auto"/>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investments; (vi) transactions with affiliates; (vii) sale and lease back transactions; (viii) change in fiscal periods; (ix) negative pledges; (x) restrictive agreements; (xi) line of business; and (xii) speculative hedging. In addition, we are required to meet certain financial covenants at each quarter end, namely Consolidated Net Total Leverage and Consolidated Net Interest Coverage Ratios. As of September 30, 2017, we were compliant with these covenants. The events of default include the following, in each case subject to certain exceptions: (a) failure to make required payments under the Secured Credit Facility;</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material breaches of representations or warranties under the Secured Credit Facility; (c) failure to observe covenants or agreements under the Secured</w:t>
      </w:r>
    </w:p>
    <w:p>
      <w:pPr>
        <w:spacing w:after="0" w:line="32"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w:t>
      </w:r>
    </w:p>
    <w:p>
      <w:pPr>
        <w:spacing w:after="0" w:line="82"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On April 25, 2017, Booz Allen Hamilton issued $350 million aggregate principal amount of its 5.125% Senior Notes (the "Senior Notes") due 2025 under an Indenture, dated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 Facility. We intend to use the remaining proceeds for working capital and other general corporate purposes, which may include the repayment of a portion or all of the outstanding DPO. (See Note 8 in our condensed consolidated financial statements).</w:t>
      </w:r>
    </w:p>
    <w:p>
      <w:pPr>
        <w:spacing w:after="0" w:line="178" w:lineRule="exact"/>
        <w:rPr>
          <w:sz w:val="20"/>
          <w:szCs w:val="20"/>
          <w:color w:val="auto"/>
        </w:rPr>
      </w:pPr>
    </w:p>
    <w:p>
      <w:pPr>
        <w:jc w:val="both"/>
        <w:ind w:right="60" w:firstLine="405"/>
        <w:spacing w:after="0" w:line="276" w:lineRule="auto"/>
        <w:rPr>
          <w:sz w:val="20"/>
          <w:szCs w:val="20"/>
          <w:color w:val="auto"/>
        </w:rPr>
      </w:pPr>
      <w:r>
        <w:rPr>
          <w:rFonts w:ascii="Arial" w:cs="Arial" w:eastAsia="Arial" w:hAnsi="Arial"/>
          <w:sz w:val="17"/>
          <w:szCs w:val="17"/>
          <w:color w:val="auto"/>
        </w:rPr>
        <w:t>Borrowings under our term loans and, if used, our Revolving Credit Facility, incur interest at a variable rate. In accordance with our risk management strategy between April 6, 2017 and May 24, 2017, Booz Allen Hamilton executed a series of interest rate swaps. As of September 30, 2017, we had interest rate swaps with an aggregate notional amount of $450 million. These instruments hedge the variability of cash outflows for interest payments on the floating portion of our term loan debt. The Company's objectives in using cash flow hedges are to reduce volatility due to interest rate movements and to add stability to interest expense (See Note 9 in our condensed consolidated financial statements).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stockholders’ equity amounted to $536.3 million as of September 30, 2017, a decrease of $37.3 million compared to stockholders’ equity of $573.6 million as of March 31, 2017. The decrease was primarily due to a $154.0 million increase in treasury stock resulting from the repurchase of shares of our Class A Common Stock and $50.9 million in recurring dividend payments during the six months ended September 30, 2017. These are partially offset by net income of $150.5 million in the six months ended September 30, 2017, stock-based compensation expense of $11.6 million, and stock option exercises of $6.3 million.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5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2017,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six months ended September 30, 2017 and 2016 were $37.0 million and $15.1 million, respectively, and the majority of such capital expenditures related to facilities infrastructure, equipment, and information technology. The increase in capital expenditures over the prior year primarily related to the timing of the leasehold improvements to update existing office space.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This Quarterly Report on Form 10-Q, or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59" w:lineRule="exact"/>
        <w:rPr>
          <w:sz w:val="20"/>
          <w:szCs w:val="20"/>
          <w:color w:val="auto"/>
        </w:rPr>
      </w:pPr>
    </w:p>
    <w:p>
      <w:pPr>
        <w:ind w:left="660" w:right="60" w:hanging="328"/>
        <w:spacing w:after="0" w:line="27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the Bipartisan Budget Act of 2013 and the Bipartisan Budget Act of 2015),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w:t>
      </w:r>
    </w:p>
    <w:p>
      <w:pPr>
        <w:spacing w:after="0" w:line="64" w:lineRule="exact"/>
        <w:rPr>
          <w:rFonts w:ascii="Arial" w:cs="Arial" w:eastAsia="Arial" w:hAnsi="Arial"/>
          <w:sz w:val="17"/>
          <w:szCs w:val="17"/>
          <w:color w:val="auto"/>
        </w:rPr>
      </w:pPr>
    </w:p>
    <w:p>
      <w:pPr>
        <w:ind w:left="660" w:right="20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and a possible failure of Congressional efforts to approve funding of the U.S. government and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w:t>
      </w:r>
    </w:p>
    <w:p>
      <w:pPr>
        <w:spacing w:after="0" w:line="78"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w:t>
      </w:r>
    </w:p>
    <w:p>
      <w:pPr>
        <w:spacing w:after="0" w:line="73"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62"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government shutdowns due to, among other reasons, a failure by elected officials to fund the government;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comply with numerous laws and regulations;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850" w:right="279" w:bottom="1440" w:gutter="0" w:footer="0" w:header="0"/>
        </w:sectPr>
      </w:pPr>
    </w:p>
    <w:bookmarkStart w:id="39" w:name="page40"/>
    <w:bookmarkEnd w:id="39"/>
    <w:p>
      <w:pPr>
        <w:ind w:left="328" w:right="840"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128" w:lineRule="exact"/>
        <w:rPr>
          <w:rFonts w:ascii="Arial" w:cs="Arial" w:eastAsia="Arial" w:hAnsi="Arial"/>
          <w:sz w:val="17"/>
          <w:szCs w:val="17"/>
          <w:color w:val="auto"/>
        </w:rPr>
      </w:pPr>
    </w:p>
    <w:p>
      <w:pPr>
        <w:ind w:left="328" w:hanging="328"/>
        <w:spacing w:after="0" w:line="259"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w:t>
      </w:r>
    </w:p>
    <w:p>
      <w:pPr>
        <w:spacing w:after="0" w:line="78"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generate revenue under certain of our contracts;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realize the full value of and replenish our backlog and the timing of our receipt of revenue under contracts included in backlog;</w:t>
      </w:r>
    </w:p>
    <w:p>
      <w:pPr>
        <w:spacing w:after="0" w:line="128" w:lineRule="exact"/>
        <w:rPr>
          <w:rFonts w:ascii="Arial" w:cs="Arial" w:eastAsia="Arial" w:hAnsi="Arial"/>
          <w:sz w:val="17"/>
          <w:szCs w:val="17"/>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experience, and security clearances;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hire, assimilate, and deploy enough employees to serve our clients under existing contracts;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timely and effectively utilize our employees or manage our cost structure;</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or our employees to obtain and maintain necessary security clearances;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17"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62"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17" w:lineRule="exact"/>
        <w:rPr>
          <w:rFonts w:ascii="Arial" w:cs="Arial" w:eastAsia="Arial" w:hAnsi="Arial"/>
          <w:sz w:val="18"/>
          <w:szCs w:val="18"/>
          <w:color w:val="auto"/>
        </w:rPr>
      </w:pPr>
    </w:p>
    <w:p>
      <w:pPr>
        <w:ind w:left="328" w:right="680"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62"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3"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cyber attacks on our network and internal systems;</w:t>
      </w:r>
    </w:p>
    <w:p>
      <w:pPr>
        <w:spacing w:after="0" w:line="62"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new relationships, clients, capabilities, and service offerings in our U.S. and international businesses;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140" w:lineRule="exact"/>
        <w:rPr>
          <w:rFonts w:ascii="Arial" w:cs="Arial" w:eastAsia="Arial" w:hAnsi="Arial"/>
          <w:sz w:val="16"/>
          <w:szCs w:val="16"/>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17" w:lineRule="exact"/>
        <w:rPr>
          <w:rFonts w:ascii="Arial" w:cs="Arial" w:eastAsia="Arial" w:hAnsi="Arial"/>
          <w:sz w:val="18"/>
          <w:szCs w:val="18"/>
          <w:color w:val="auto"/>
        </w:rPr>
      </w:pPr>
    </w:p>
    <w:p>
      <w:pPr>
        <w:ind w:left="328" w:right="300"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including those related to our stock-based compensation expense, for any reason, including a change in law;</w:t>
      </w:r>
    </w:p>
    <w:p>
      <w:pPr>
        <w:spacing w:after="0" w:line="62" w:lineRule="exact"/>
        <w:rPr>
          <w:rFonts w:ascii="Arial" w:cs="Arial" w:eastAsia="Arial" w:hAnsi="Arial"/>
          <w:sz w:val="18"/>
          <w:szCs w:val="18"/>
          <w:color w:val="auto"/>
        </w:rPr>
      </w:pPr>
    </w:p>
    <w:p>
      <w:pPr>
        <w:ind w:left="328" w:right="360"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 and</w:t>
      </w:r>
    </w:p>
    <w:p>
      <w:pPr>
        <w:spacing w:after="0" w:line="19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8"/>
          </w:cols>
          <w:pgMar w:left="572" w:top="854" w:right="259" w:bottom="1440" w:gutter="0" w:footer="0" w:header="0"/>
        </w:sectPr>
      </w:pPr>
    </w:p>
    <w:bookmarkStart w:id="40" w:name="page41"/>
    <w:bookmarkEnd w:id="40"/>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risks and factors described in Part II, “Item 1A. Risk Factors” and elsewhere in this Quarterly Report.</w:t>
      </w:r>
    </w:p>
    <w:p>
      <w:pPr>
        <w:spacing w:after="0" w:line="11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exposure to market risk for changes in interest rates relates primarily to our outstanding debt and cash equivalents, which consist primarily of funds invested in U.S. government money-market funds, and our cash flow hedges. Our exposure to market risk for changes in prevailing interest rates may impact our interest payments under our Secured Credit Facility. Pursuant to our interest rate risk management strategies, we began using interest rate cash flow hedges in April 2017 with the goal of adding stability to our incurrence of interest rate expense and to manage exposure to related interest rate movement.</w:t>
      </w:r>
    </w:p>
    <w:p>
      <w:pPr>
        <w:spacing w:after="0" w:line="46"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As of September 30, 2017, we had interest rate swaps with an aggregate notional amount of $450 million. These derivative instruments hedge the variability of cash outflows for interest payments on our variable rate term loan debt and are recorded at fair value on our condensed consolidated balance sheet. As of September 30, 2017, a 25 basis point increase in the interest rates would increase the fair value of our interest rate swaps by approximately $2.6 million and a 25 basis point decrease in the interest rates would decrease the fair value of our interest rate swaps by approximately $4.7 million.</w:t>
      </w:r>
    </w:p>
    <w:p>
      <w:pPr>
        <w:spacing w:after="0" w:line="4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With the exception of the interest rate swaps discussed above, 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2017 filed with the Securities and Exchange Commission on May 22, 2017.</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855" w:right="29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2017 and March 31, 2017, there were no material amounts accrued in the condensed consolidated financial statements related to these proceedings.</w:t>
      </w:r>
    </w:p>
    <w:p>
      <w:pPr>
        <w:spacing w:after="0" w:line="153"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December 15, 2016, hearings relating to the appeal were held before the United States Court of Appeals for the Second Circuit. On July 13, 2017, the United States Court of Appeals for the Second Circuit ruled on the case and affirmed the ruling of the United States District Court for the Southern District of New York, except for one plaintiff’s securities fraud claim. The United States Court of Appeals for the Second Circuit remanded the case to the United States District Court for the Southern District of New York to give the plaintiff leave to file another amended complaint to attempt to plead a securities fraud claim. As of September 30, 2017, the aggregate alleged damages that will be sought in the remaining suit is unknown. As of September 30, 2017, although the outcome of any of these cases is inherently uncertain and may be materially adverse, based on current information, we do not expect them to have a material adverse effect on our financial condition and results of operations.</w:t>
      </w:r>
    </w:p>
    <w:p>
      <w:pPr>
        <w:spacing w:after="0" w:line="360"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recently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580" w:firstLine="392"/>
        <w:spacing w:after="0" w:line="277" w:lineRule="auto"/>
        <w:rPr>
          <w:sz w:val="20"/>
          <w:szCs w:val="20"/>
          <w:color w:val="auto"/>
        </w:rPr>
      </w:pPr>
      <w:r>
        <w:rPr>
          <w:rFonts w:ascii="Arial" w:cs="Arial" w:eastAsia="Arial" w:hAnsi="Arial"/>
          <w:sz w:val="18"/>
          <w:szCs w:val="18"/>
          <w:color w:val="auto"/>
        </w:rPr>
        <w:t>On June 19, 2017, a purported stockholder of the Company filed a putative class action lawsuit in the United States District Court for the Eastern District of Virginia styled Langley v. Booz Allen Hamilton Holding Corp., No. 17-cv-00696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42" w:name="page43"/>
    <w:bookmarkEnd w:id="42"/>
    <w:p>
      <w:pPr>
        <w:ind w:right="120"/>
        <w:spacing w:after="0" w:line="272" w:lineRule="auto"/>
        <w:rPr>
          <w:sz w:val="20"/>
          <w:szCs w:val="20"/>
          <w:color w:val="auto"/>
        </w:rPr>
      </w:pPr>
      <w:r>
        <w:rPr>
          <w:rFonts w:ascii="Arial" w:cs="Arial" w:eastAsia="Arial" w:hAnsi="Arial"/>
          <w:sz w:val="17"/>
          <w:szCs w:val="17"/>
          <w:color w:val="auto"/>
        </w:rPr>
        <w:t>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Securities Exchange Act of 1934, as amended,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At this stage of the lawsuit, the Company is not able to reasonably estimate the expected amount or range of cost or any loss associated with the lawsuit.</w:t>
      </w:r>
    </w:p>
    <w:p>
      <w:pPr>
        <w:spacing w:after="0" w:line="3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2017 filed with the Securities and Exchange Commission on May 22, 2017.</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share repurchase activity during the three months ended September 30, 2017:</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6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ind w:left="680"/>
              <w:spacing w:after="0"/>
              <w:rPr>
                <w:sz w:val="20"/>
                <w:szCs w:val="20"/>
                <w:color w:val="auto"/>
              </w:rPr>
            </w:pPr>
            <w:r>
              <w:rPr>
                <w:rFonts w:ascii="Arial" w:cs="Arial" w:eastAsia="Arial" w:hAnsi="Arial"/>
                <w:sz w:val="16"/>
                <w:szCs w:val="16"/>
                <w:b w:val="1"/>
                <w:bCs w:val="1"/>
                <w:color w:val="auto"/>
              </w:rPr>
              <w:t>(1)</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221,397,498</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August 2017</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1,779,465</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$33.72</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59,999,967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680"/>
              <w:spacing w:after="0"/>
              <w:rPr>
                <w:sz w:val="20"/>
                <w:szCs w:val="20"/>
                <w:color w:val="auto"/>
              </w:rPr>
            </w:pPr>
            <w:r>
              <w:rPr>
                <w:rFonts w:ascii="Arial" w:cs="Arial" w:eastAsia="Arial" w:hAnsi="Arial"/>
                <w:sz w:val="18"/>
                <w:szCs w:val="18"/>
                <w:color w:val="auto"/>
                <w:w w:val="97"/>
              </w:rPr>
              <w:t>161,397,531</w:t>
            </w: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2017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1,729,269</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$34.70</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59,999,994</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101,397,537</w:t>
            </w:r>
          </w:p>
        </w:tc>
      </w:tr>
      <w:tr>
        <w:trPr>
          <w:trHeight w:val="257"/>
        </w:trPr>
        <w:tc>
          <w:tcPr>
            <w:tcW w:w="3760" w:type="dxa"/>
            <w:vAlign w:val="bottom"/>
            <w:gridSpan w:val="2"/>
          </w:tcPr>
          <w:p>
            <w:pPr>
              <w:ind w:left="326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3,508,734</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119,999,961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00" w:hanging="652"/>
        <w:spacing w:after="0" w:line="270"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December 12, 2011, the Board of Directors approved a $30.0 million share repurchase program. On January 27, 2015, the Board of Directors approved an increase to our share repurchase authorization from $30.0 million to up to $180.0 million. On January 25, 2017, the Board of Directors approved an increase to our share repurchase authorization from $180.0 million to up to $410.0 million. On November 2, 2017, the Board of Directors approved an increase to our share repurchase authorization from $410.0 million to up to $610.0 million. As of November 2, 2017, taking into effect the increase in the share repurchase authorization, the Company may repurchase up to approximately $301.4 million of additional shares of common stock under its share repurchase program.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See Note 14 to our unaudited condensed consolidated financial statements in this Form 10-Q for further information about the share repurchase program.</w:t>
      </w:r>
    </w:p>
    <w:p>
      <w:pPr>
        <w:spacing w:after="0" w:line="200" w:lineRule="exact"/>
        <w:rPr>
          <w:sz w:val="20"/>
          <w:szCs w:val="20"/>
          <w:color w:val="auto"/>
        </w:rPr>
      </w:pP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854" w:right="2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08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080" w:type="dxa"/>
            <w:vAlign w:val="bottom"/>
            <w:gridSpan w:val="6"/>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320" w:type="dxa"/>
            <w:vAlign w:val="bottom"/>
          </w:tcPr>
          <w:p>
            <w:pPr>
              <w:spacing w:after="0"/>
              <w:rPr>
                <w:sz w:val="11"/>
                <w:szCs w:val="11"/>
                <w:color w:val="auto"/>
              </w:rPr>
            </w:pPr>
          </w:p>
        </w:tc>
        <w:tc>
          <w:tcPr>
            <w:tcW w:w="100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31.1</w:t>
            </w:r>
          </w:p>
        </w:tc>
        <w:tc>
          <w:tcPr>
            <w:tcW w:w="320" w:type="dxa"/>
            <w:vAlign w:val="bottom"/>
          </w:tcPr>
          <w:p>
            <w:pPr>
              <w:spacing w:after="0"/>
              <w:rPr>
                <w:sz w:val="24"/>
                <w:szCs w:val="24"/>
                <w:color w:val="auto"/>
              </w:rPr>
            </w:pPr>
          </w:p>
        </w:tc>
        <w:tc>
          <w:tcPr>
            <w:tcW w:w="512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46">
              <w:r>
                <w:rPr>
                  <w:rFonts w:ascii="Arial" w:cs="Arial" w:eastAsia="Arial" w:hAnsi="Arial"/>
                  <w:sz w:val="18"/>
                  <w:szCs w:val="18"/>
                  <w:color w:val="0000FF"/>
                  <w:w w:val="93"/>
                </w:rPr>
                <w:t>Rule 13a-14(a)/15d-14(a) Certification of the Chief Executive Officer*</w:t>
              </w:r>
            </w:hyperlink>
          </w:p>
        </w:tc>
        <w:tc>
          <w:tcPr>
            <w:tcW w:w="4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31.2</w:t>
            </w:r>
          </w:p>
        </w:tc>
        <w:tc>
          <w:tcPr>
            <w:tcW w:w="320" w:type="dxa"/>
            <w:vAlign w:val="bottom"/>
          </w:tcPr>
          <w:p>
            <w:pPr>
              <w:spacing w:after="0"/>
              <w:rPr>
                <w:sz w:val="24"/>
                <w:szCs w:val="24"/>
                <w:color w:val="auto"/>
              </w:rPr>
            </w:pPr>
          </w:p>
        </w:tc>
        <w:tc>
          <w:tcPr>
            <w:tcW w:w="10080" w:type="dxa"/>
            <w:vAlign w:val="bottom"/>
            <w:gridSpan w:val="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32.1</w:t>
            </w:r>
          </w:p>
        </w:tc>
        <w:tc>
          <w:tcPr>
            <w:tcW w:w="320" w:type="dxa"/>
            <w:vAlign w:val="bottom"/>
          </w:tcPr>
          <w:p>
            <w:pPr>
              <w:spacing w:after="0"/>
              <w:rPr>
                <w:sz w:val="24"/>
                <w:szCs w:val="24"/>
                <w:color w:val="auto"/>
              </w:rPr>
            </w:pPr>
          </w:p>
        </w:tc>
        <w:tc>
          <w:tcPr>
            <w:tcW w:w="1008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United States Code (18 U.S.C. 1350)*</w:t>
              </w:r>
            </w:hyperlink>
          </w:p>
        </w:tc>
        <w:tc>
          <w:tcPr>
            <w:tcW w:w="7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32.2</w:t>
            </w:r>
          </w:p>
        </w:tc>
        <w:tc>
          <w:tcPr>
            <w:tcW w:w="320" w:type="dxa"/>
            <w:vAlign w:val="bottom"/>
          </w:tcPr>
          <w:p>
            <w:pPr>
              <w:spacing w:after="0"/>
              <w:rPr>
                <w:sz w:val="24"/>
                <w:szCs w:val="24"/>
                <w:color w:val="auto"/>
              </w:rPr>
            </w:pPr>
          </w:p>
        </w:tc>
        <w:tc>
          <w:tcPr>
            <w:tcW w:w="10080" w:type="dxa"/>
            <w:vAlign w:val="bottom"/>
            <w:gridSpan w:val="6"/>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60" w:hanging="925"/>
        <w:spacing w:after="0" w:line="288" w:lineRule="auto"/>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following materials from Booz Allen Hamilton Holding Corporation’s Quarterly Report on Form 10-Q for the six months ended September 30, 2017 formatted in XBRL (eXtensible Business Reporting Language): (i) Condensed Consolidated Balance Sheets at September 30, 2017 and March 31, 2017; (ii) Condensed Consolidated Statements of Operations for the three and six months ended September 30, 2017 and 2016; (iii)</w:t>
      </w:r>
    </w:p>
    <w:p>
      <w:pPr>
        <w:ind w:left="960" w:right="600"/>
        <w:spacing w:after="0" w:line="255" w:lineRule="auto"/>
        <w:rPr>
          <w:rFonts w:ascii="Arial" w:cs="Arial" w:eastAsia="Arial" w:hAnsi="Arial"/>
          <w:sz w:val="16"/>
          <w:szCs w:val="16"/>
          <w:color w:val="auto"/>
        </w:rPr>
      </w:pPr>
      <w:r>
        <w:rPr>
          <w:rFonts w:ascii="Arial" w:cs="Arial" w:eastAsia="Arial" w:hAnsi="Arial"/>
          <w:sz w:val="18"/>
          <w:szCs w:val="18"/>
          <w:color w:val="auto"/>
        </w:rPr>
        <w:t>Condensed Consolidated Statements of Comprehensive Income for the three and six months ended September 30, 2017 and 2016; (iv) Condensed Consolidated Statements of Cash Flows for the six months ended September 30, 2017 and 2016; and (v) 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42" w:right="259" w:bottom="1440" w:gutter="0" w:footer="0" w:header="0"/>
        </w:sectPr>
      </w:pPr>
    </w:p>
    <w:bookmarkStart w:id="44" w:name="page45"/>
    <w:bookmarkEnd w:id="44"/>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240" w:top="742" w:right="5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2017,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2017,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5"/>
    </w:lvl>
  </w:abstractNum>
  <w:abstractNum w:abstractNumId="6">
    <w:nsid w:val="836C40E"/>
    <w:multiLevelType w:val="hybridMultilevel"/>
    <w:lvl w:ilvl="0">
      <w:lvlJc w:val="left"/>
      <w:lvlText w:val="%1."/>
      <w:numFmt w:val="decimal"/>
      <w:start w:val="6"/>
    </w:lvl>
  </w:abstractNum>
  <w:abstractNum w:abstractNumId="7">
    <w:nsid w:val="2901D82"/>
    <w:multiLevelType w:val="hybridMultilevel"/>
    <w:lvl w:ilvl="0">
      <w:lvlJc w:val="left"/>
      <w:lvlText w:val="(%1)"/>
      <w:numFmt w:val="lowerLetter"/>
      <w:start w:val="25"/>
    </w:lvl>
  </w:abstractNum>
  <w:abstractNum w:abstractNumId="8">
    <w:nsid w:val="3A95F874"/>
    <w:multiLevelType w:val="hybridMultilevel"/>
    <w:lvl w:ilvl="0">
      <w:lvlJc w:val="left"/>
      <w:lvlText w:val="(%1)"/>
      <w:numFmt w:val="lowerLetter"/>
      <w:start w:val="22"/>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8"/>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2"/>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4"/>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2"/>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5"/>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lowerLetter"/>
      <w:start w:val="22"/>
    </w:lvl>
  </w:abstractNum>
  <w:abstractNum w:abstractNumId="33">
    <w:nsid w:val="70A64E2A"/>
    <w:multiLevelType w:val="hybridMultilevel"/>
    <w:lvl w:ilvl="0">
      <w:lvlJc w:val="left"/>
      <w:lvlText w:val="(%1)"/>
      <w:numFmt w:val="lowerLetter"/>
      <w:start w:val="2"/>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0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2019-12-29T03:28:44Z</dcterms:created>
  <dcterms:modified xsi:type="dcterms:W3CDTF">2019-12-29T03:28:44Z</dcterms:modified>
</cp:coreProperties>
</file>