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715010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840" w:right="40" w:hanging="805"/>
        <w:spacing w:after="0" w:line="256" w:lineRule="auto"/>
        <w:tabs>
          <w:tab w:leader="none" w:pos="84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0" w:lineRule="exact"/>
        <w:rPr>
          <w:sz w:val="24"/>
          <w:szCs w:val="24"/>
          <w:color w:val="auto"/>
        </w:rPr>
      </w:pPr>
    </w:p>
    <w:p>
      <w:pPr>
        <w:ind w:left="840" w:right="38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80" w:type="dxa"/>
            <w:vAlign w:val="bottom"/>
          </w:tcPr>
          <w:p>
            <w:pPr>
              <w:ind w:left="360"/>
              <w:spacing w:after="0"/>
              <w:rPr>
                <w:sz w:val="20"/>
                <w:szCs w:val="20"/>
                <w:color w:val="auto"/>
              </w:rPr>
            </w:pPr>
            <w:r>
              <w:rPr>
                <w:rFonts w:ascii="Arial" w:cs="Arial" w:eastAsia="Arial" w:hAnsi="Arial"/>
                <w:sz w:val="18"/>
                <w:szCs w:val="18"/>
                <w:color w:val="auto"/>
              </w:rPr>
              <w:t>x</w:t>
            </w:r>
          </w:p>
        </w:tc>
        <w:tc>
          <w:tcPr>
            <w:tcW w:w="334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4880" w:type="dxa"/>
            <w:vAlign w:val="bottom"/>
          </w:tcPr>
          <w:p>
            <w:pPr>
              <w:ind w:left="3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340" w:type="dxa"/>
            <w:vAlign w:val="bottom"/>
          </w:tcPr>
          <w:p>
            <w:pPr>
              <w:ind w:left="9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20"/>
          </w:cols>
          <w:pgMar w:left="240" w:top="113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000" w:type="dxa"/>
            <w:vAlign w:val="bottom"/>
          </w:tcPr>
          <w:p>
            <w:pPr>
              <w:jc w:val="right"/>
              <w:ind w:right="41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060" w:type="dxa"/>
            <w:vAlign w:val="bottom"/>
          </w:tcPr>
          <w:p>
            <w:pPr>
              <w:spacing w:after="0"/>
              <w:rPr>
                <w:sz w:val="16"/>
                <w:szCs w:val="16"/>
                <w:color w:val="auto"/>
              </w:rPr>
            </w:pPr>
          </w:p>
        </w:tc>
        <w:tc>
          <w:tcPr>
            <w:tcW w:w="5000" w:type="dxa"/>
            <w:vAlign w:val="bottom"/>
          </w:tcPr>
          <w:p>
            <w:pPr>
              <w:jc w:val="right"/>
              <w:ind w:right="336"/>
              <w:spacing w:after="0"/>
              <w:rPr>
                <w:sz w:val="20"/>
                <w:szCs w:val="20"/>
                <w:color w:val="auto"/>
              </w:rPr>
            </w:pPr>
            <w:r>
              <w:rPr>
                <w:rFonts w:ascii="Arial" w:cs="Arial" w:eastAsia="Arial" w:hAnsi="Arial"/>
                <w:sz w:val="14"/>
                <w:szCs w:val="14"/>
                <w:b w:val="1"/>
                <w:bCs w:val="1"/>
                <w:color w:val="auto"/>
              </w:rPr>
              <w:t>as of October 24, 2018</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142,343,338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0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00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60"/>
          </w:cols>
          <w:pgMar w:left="240" w:top="854"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9">
              <w:r>
                <w:rPr>
                  <w:rFonts w:ascii="Arial" w:cs="Arial" w:eastAsia="Arial" w:hAnsi="Arial"/>
                  <w:sz w:val="18"/>
                  <w:szCs w:val="18"/>
                  <w:b w:val="1"/>
                  <w:bCs w:val="1"/>
                  <w:color w:val="0000EE"/>
                  <w:w w:val="79"/>
                </w:rPr>
                <w:t>26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47">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8">
              <w:r>
                <w:rPr>
                  <w:rFonts w:ascii="Arial" w:cs="Arial" w:eastAsia="Arial" w:hAnsi="Arial"/>
                  <w:sz w:val="18"/>
                  <w:szCs w:val="18"/>
                  <w:b w:val="1"/>
                  <w:bCs w:val="1"/>
                  <w:color w:val="0000EE"/>
                  <w:w w:val="79"/>
                </w:rPr>
                <w:t>45</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8">
              <w:r>
                <w:rPr>
                  <w:rFonts w:ascii="Arial" w:cs="Arial" w:eastAsia="Arial" w:hAnsi="Arial"/>
                  <w:sz w:val="18"/>
                  <w:szCs w:val="18"/>
                  <w:b w:val="1"/>
                  <w:bCs w:val="1"/>
                  <w:color w:val="0000EE"/>
                  <w:w w:val="79"/>
                </w:rPr>
                <w:t>45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9">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Defaults Upon Senior Securities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50">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51">
              <w:r>
                <w:rPr>
                  <w:rFonts w:ascii="Arial" w:cs="Arial" w:eastAsia="Arial" w:hAnsi="Arial"/>
                  <w:sz w:val="18"/>
                  <w:szCs w:val="18"/>
                  <w:b w:val="1"/>
                  <w:bCs w:val="1"/>
                  <w:color w:val="0000EE"/>
                  <w:w w:val="79"/>
                </w:rPr>
                <w:t>48</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8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342,586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1,165,326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1,133,705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71,309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1,601,897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1,491,972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287,949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278,504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1,581,146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112,116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102,633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3,735,386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3,606,619</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63,100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63,100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557,559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125,358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1,104,798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1,028,767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1,723,699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1,755,479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260,549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259,882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3,089,046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3,044,128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159,124,212 shares at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September 30, 2018 and 158,028,673 shares at March 31, 2018; outstanding, 142,550,779 shares at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September 30, 2018 and 143,446,539 shares at March 31, 2018</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89"/>
              </w:rPr>
              <w:t>Treasury stock, at cost — 16,573,433 shares at September 30, 2018 and 14,582,134 shares at March 31, 2018</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(461,457)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373,980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346,958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(15,106)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562,491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3,735,386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3,606,619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86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54"/>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86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86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1,613,997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1,542,805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3,260,845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3,065,815</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748,570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1,534,382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1,432,484</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478,349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483,556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955,784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935,220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226,901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432,737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407,062</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16,426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32,579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1,470,246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1,409,916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2,955,482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2,806,261</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143,751</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132,889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305,363</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259,554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(39,705)</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119,887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257,254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217,370</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27,174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36,946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60,337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73,111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92,713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196,917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144,259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(Note 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660" w:type="dxa"/>
            <w:vAlign w:val="bottom"/>
          </w:tcPr>
          <w:p>
            <w:pPr>
              <w:jc w:val="center"/>
              <w:ind w:right="4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Dividends declared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420" w:top="985" w:right="399" w:bottom="1440" w:gutter="0" w:footer="0" w:header="0"/>
        </w:sectPr>
      </w:pPr>
    </w:p>
    <w:bookmarkStart w:id="5" w:name="page6"/>
    <w:bookmarkEnd w:id="5"/>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3"/>
                <w:szCs w:val="13"/>
                <w:color w:val="auto"/>
              </w:rPr>
            </w:pPr>
          </w:p>
        </w:tc>
        <w:tc>
          <w:tcPr>
            <w:tcW w:w="1780" w:type="dxa"/>
            <w:vAlign w:val="bottom"/>
            <w:gridSpan w:val="3"/>
          </w:tcPr>
          <w:p>
            <w:pPr>
              <w:jc w:val="center"/>
              <w:ind w:left="518"/>
              <w:spacing w:after="0" w:line="151" w:lineRule="exact"/>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3"/>
                <w:szCs w:val="13"/>
                <w:color w:val="auto"/>
              </w:rPr>
            </w:pPr>
          </w:p>
        </w:tc>
      </w:tr>
      <w:tr>
        <w:trPr>
          <w:trHeight w:val="192"/>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92,713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196,917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144,259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Change in unrealized gain (loss) on derivatives designated as cash flow</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724</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94,175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73,884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200,706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144,349</w:t>
            </w:r>
          </w:p>
        </w:tc>
      </w:tr>
      <w:tr>
        <w:trPr>
          <w:trHeight w:val="27"/>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0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196,917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144,259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57,365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274,567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178,062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equipment, and software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business acquisitions, net of cash acquired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(168,498)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(191,575)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373,291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 on contingent liabilities from acquisition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286,958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217,417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342,586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330,043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25,802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8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8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80" w:right="2180" w:firstLine="11"/>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25,300 employees as of September 30,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2018.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six months ended September 30, 2018 are not necessarily indicative of results to be expected for the full fiscal year.</w:t>
      </w:r>
    </w:p>
    <w:p>
      <w:pPr>
        <w:spacing w:after="0" w:line="7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Effective April 1, 2018, the Company adopted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and Accounting Standard Updates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on a full retrospective method for all amounts and percentages presented and disclosures set forth in this Form 10-Q.</w:t>
      </w:r>
    </w:p>
    <w:p>
      <w:pPr>
        <w:spacing w:after="0" w:line="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including the accrual of indirect costs,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The Company has accounted for the tax effects of the Tax Cuts and Jobs Act, or the 2017 Tax Act, under the guidance of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or SAB 118, on a provisional basis as of the fourth quarter of fiscal 2018. During the three months ended September 30, 2018, the Company continued its assessment of the 2017 Tax Act, including the potential accounting impact for any new guidance issued during the quarter. The Company made immaterial provisional adjustments associated with the limitation on the deductibility of certain executive compensation based on its preliminary assessment of the recently issued IRS Notice 2018-68. There were no additional changes to the provisional amounts recorded at March 31, 2018. The Company expects to complete its accounting assessment within the prescribed measurement period. See Note 10 to our consolidated financial statements for further information regarding the updated effects of the 2017 Tax Act during the second quarter of fiscal 2019.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2" w:right="239" w:bottom="1440" w:gutter="0" w:footer="0" w:header="0"/>
        </w:sectPr>
      </w:pPr>
    </w:p>
    <w:bookmarkStart w:id="8" w:name="page9"/>
    <w:bookmarkEnd w:id="8"/>
    <w:p>
      <w:pPr>
        <w:jc w:val="both"/>
        <w:ind w:right="340" w:firstLine="405"/>
        <w:spacing w:after="0" w:line="302"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 Codification No.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Topic 606, as amended, replaced existing revenue recognition standards by outlining a single set of comprehensive principles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recognizing revenue. The revenue standard also significantly expanded the disclosure requirements for revenue arrangements. Amendments to Topic 606 have generally focused on promoting a more consistent interpretation and application of the principles for recognizing revenue.</w:t>
      </w:r>
    </w:p>
    <w:p>
      <w:pPr>
        <w:spacing w:after="0" w:line="4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Topic 606 was effective for the Company beginning on April 1, 2018 (i.e., beginning with the first quarter fiscal 2019 interim financial statements). The Company adopted the new revenue standard using the full retrospective transition method, which requires that it be applied to each prior reporting period presented and that the cumulative effect of applying the standard be recognized at the earliest period presented (i.e., April 1, 2016, the beginning of the first quarter of fiscal 2017). During fiscal 2018, the Company completed its assessment of the cumulative effect of adopting Topic 606 and assessed the impact to be immaterial as of the date of adoption. The cumulative impact on our retained earnings for the earliest period presented of April 1, 2016 was an increase of $2.9 million. Thereafter, the adoption of Topic 606 increased our fiscal 2017 retained earnings by $8.4 million and decreased our fiscal 2018 retained earnings by $3.4 million, resulting in a cumulative impact on our retained earnings of $7.9 million as of April 1, 2018. The impact of Topic 606 on fiscal 2017 and 2018 results may not be representative of the impact on subsequent years’ results.</w:t>
      </w:r>
    </w:p>
    <w:p>
      <w:pPr>
        <w:spacing w:after="0" w:line="71" w:lineRule="exact"/>
        <w:rPr>
          <w:sz w:val="20"/>
          <w:szCs w:val="20"/>
          <w:color w:val="auto"/>
        </w:rPr>
      </w:pPr>
    </w:p>
    <w:p>
      <w:pPr>
        <w:ind w:right="260" w:firstLine="405"/>
        <w:spacing w:after="0" w:line="308" w:lineRule="auto"/>
        <w:rPr>
          <w:sz w:val="20"/>
          <w:szCs w:val="20"/>
          <w:color w:val="auto"/>
        </w:rPr>
      </w:pPr>
      <w:r>
        <w:rPr>
          <w:rFonts w:ascii="Arial" w:cs="Arial" w:eastAsia="Arial" w:hAnsi="Arial"/>
          <w:sz w:val="17"/>
          <w:szCs w:val="17"/>
          <w:color w:val="auto"/>
        </w:rPr>
        <w:t>For more information on the notable impacts of the adoption of Topic 606 on the Company's accounting policies, practices, estimates, and significant judgments, refer to the Company's Annual Report on Form 10-K for the year ended March 31, 2018 and Note 3, Revenue Recognition.</w:t>
      </w:r>
    </w:p>
    <w:p>
      <w:pPr>
        <w:spacing w:after="0" w:line="3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also retrospectively adopted ASU 2017-07, which changed the presentation of net periodic benefit cost components on the condensed consolidated statement of operations. Under this guidance, the service cost component of net periodic benefit cost continues to be presented consistent with other employee compensation costs and within operating income, while the remaining components of net periodic benefit costs are excluded from operating income. As a result, $1.9 million and $3.8 million of net periodic benefit costs related to non-service components, for the three and six months ended September 30, 2017 respectively, were reclassified to Other income (expense), net in the condensed consolidated statement of operations in the second quarter of fiscal 2018.</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previously issued condensed consolidated financial statements have been adjusted for the retrospective adoption of both Topic 606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2017-07, as summarized in the following table:</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1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7"/>
          </w:tcPr>
          <w:p>
            <w:pPr>
              <w:jc w:val="right"/>
              <w:ind w:right="619"/>
              <w:spacing w:after="0"/>
              <w:rPr>
                <w:sz w:val="20"/>
                <w:szCs w:val="20"/>
                <w:color w:val="auto"/>
              </w:rPr>
            </w:pPr>
            <w:r>
              <w:rPr>
                <w:rFonts w:ascii="Arial" w:cs="Arial" w:eastAsia="Arial" w:hAnsi="Arial"/>
                <w:sz w:val="14"/>
                <w:szCs w:val="14"/>
                <w:b w:val="1"/>
                <w:bCs w:val="1"/>
                <w:color w:val="auto"/>
              </w:rPr>
              <w:t>Three Months Ended September 30, 2017</w:t>
            </w: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jc w:val="center"/>
              <w:ind w:left="520"/>
              <w:spacing w:after="0"/>
              <w:rPr>
                <w:sz w:val="20"/>
                <w:szCs w:val="20"/>
                <w:color w:val="auto"/>
              </w:rPr>
            </w:pPr>
            <w:r>
              <w:rPr>
                <w:rFonts w:ascii="Arial" w:cs="Arial" w:eastAsia="Arial" w:hAnsi="Arial"/>
                <w:sz w:val="14"/>
                <w:szCs w:val="14"/>
                <w:b w:val="1"/>
                <w:bCs w:val="1"/>
                <w:color w:val="auto"/>
                <w:w w:val="92"/>
              </w:rPr>
              <w:t>Six Months Ended September 30, 2017</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color w:val="auto"/>
              </w:rPr>
              <w:t>Effect of Adoption</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color w:val="auto"/>
                <w:w w:val="97"/>
              </w:rPr>
              <w:t>Effect of Adoption</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100" w:type="dxa"/>
            <w:vAlign w:val="bottom"/>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6"/>
              </w:rPr>
              <w:t>As Reported</w:t>
            </w: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4"/>
                <w:szCs w:val="14"/>
                <w:color w:val="auto"/>
                <w:w w:val="94"/>
              </w:rPr>
              <w:t>Topic 606</w:t>
            </w:r>
          </w:p>
        </w:tc>
        <w:tc>
          <w:tcPr>
            <w:tcW w:w="10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ASU 2017-07</w:t>
            </w:r>
          </w:p>
        </w:tc>
        <w:tc>
          <w:tcPr>
            <w:tcW w:w="10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As Adjusted</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As Reported</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4"/>
                <w:szCs w:val="14"/>
                <w:color w:val="auto"/>
                <w:w w:val="97"/>
              </w:rPr>
              <w:t>Topic 606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w w:val="99"/>
              </w:rPr>
              <w:t>ASU 2017-07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31"/>
        </w:trPr>
        <w:tc>
          <w:tcPr>
            <w:tcW w:w="1100" w:type="dxa"/>
            <w:vAlign w:val="bottom"/>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1,542,085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720</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w w:val="92"/>
              </w:rPr>
              <w:t>1,542,805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3,035,655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30,160</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3,065,815</w:t>
            </w:r>
          </w:p>
        </w:tc>
        <w:tc>
          <w:tcPr>
            <w:tcW w:w="0" w:type="dxa"/>
            <w:vAlign w:val="bottom"/>
          </w:tcPr>
          <w:p>
            <w:pPr>
              <w:spacing w:after="0"/>
              <w:rPr>
                <w:sz w:val="1"/>
                <w:szCs w:val="1"/>
                <w:color w:val="auto"/>
              </w:rPr>
            </w:pPr>
          </w:p>
        </w:tc>
      </w:tr>
      <w:tr>
        <w:trPr>
          <w:trHeight w:val="33"/>
        </w:trPr>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126,486</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4,502</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132,889</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265,950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259,554</w:t>
            </w:r>
          </w:p>
        </w:tc>
        <w:tc>
          <w:tcPr>
            <w:tcW w:w="0" w:type="dxa"/>
            <w:vAlign w:val="bottom"/>
          </w:tcPr>
          <w:p>
            <w:pPr>
              <w:spacing w:after="0"/>
              <w:rPr>
                <w:sz w:val="1"/>
                <w:szCs w:val="1"/>
                <w:color w:val="auto"/>
              </w:rPr>
            </w:pPr>
          </w:p>
        </w:tc>
      </w:tr>
      <w:tr>
        <w:trPr>
          <w:trHeight w:val="157"/>
        </w:trPr>
        <w:tc>
          <w:tcPr>
            <w:tcW w:w="1100" w:type="dxa"/>
            <w:vAlign w:val="bottom"/>
          </w:tcPr>
          <w:p>
            <w:pPr>
              <w:ind w:left="20"/>
              <w:spacing w:after="0" w:line="157" w:lineRule="exact"/>
              <w:rPr>
                <w:sz w:val="20"/>
                <w:szCs w:val="20"/>
                <w:color w:val="auto"/>
              </w:rPr>
            </w:pPr>
            <w:r>
              <w:rPr>
                <w:rFonts w:ascii="Arial" w:cs="Arial" w:eastAsia="Arial" w:hAnsi="Arial"/>
                <w:sz w:val="14"/>
                <w:szCs w:val="14"/>
                <w:color w:val="auto"/>
              </w:rPr>
              <w:t>Income before</w:t>
            </w:r>
          </w:p>
        </w:tc>
        <w:tc>
          <w:tcPr>
            <w:tcW w:w="140" w:type="dxa"/>
            <w:vAlign w:val="bottom"/>
          </w:tcPr>
          <w:p>
            <w:pPr>
              <w:spacing w:after="0"/>
              <w:rPr>
                <w:sz w:val="13"/>
                <w:szCs w:val="13"/>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color w:val="auto"/>
              </w:rPr>
              <w:t>106,091</w:t>
            </w:r>
          </w:p>
        </w:tc>
        <w:tc>
          <w:tcPr>
            <w:tcW w:w="200" w:type="dxa"/>
            <w:vAlign w:val="bottom"/>
          </w:tcPr>
          <w:p>
            <w:pPr>
              <w:spacing w:after="0"/>
              <w:rPr>
                <w:sz w:val="13"/>
                <w:szCs w:val="13"/>
                <w:color w:val="auto"/>
              </w:rPr>
            </w:pPr>
          </w:p>
        </w:tc>
        <w:tc>
          <w:tcPr>
            <w:tcW w:w="800" w:type="dxa"/>
            <w:vAlign w:val="bottom"/>
            <w:vMerge w:val="restart"/>
          </w:tcPr>
          <w:p>
            <w:pPr>
              <w:jc w:val="right"/>
              <w:ind w:right="21"/>
              <w:spacing w:after="0"/>
              <w:rPr>
                <w:sz w:val="20"/>
                <w:szCs w:val="20"/>
                <w:color w:val="auto"/>
              </w:rPr>
            </w:pPr>
            <w:r>
              <w:rPr>
                <w:rFonts w:ascii="Arial" w:cs="Arial" w:eastAsia="Arial" w:hAnsi="Arial"/>
                <w:sz w:val="16"/>
                <w:szCs w:val="16"/>
                <w:color w:val="auto"/>
              </w:rPr>
              <w:t>4,502</w:t>
            </w:r>
          </w:p>
        </w:tc>
        <w:tc>
          <w:tcPr>
            <w:tcW w:w="360" w:type="dxa"/>
            <w:vAlign w:val="bottom"/>
          </w:tcPr>
          <w:p>
            <w:pPr>
              <w:spacing w:after="0"/>
              <w:rPr>
                <w:sz w:val="13"/>
                <w:szCs w:val="13"/>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110,593</w:t>
            </w: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227,569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(10,199)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217,370</w:t>
            </w:r>
          </w:p>
        </w:tc>
        <w:tc>
          <w:tcPr>
            <w:tcW w:w="0" w:type="dxa"/>
            <w:vAlign w:val="bottom"/>
          </w:tcPr>
          <w:p>
            <w:pPr>
              <w:spacing w:after="0"/>
              <w:rPr>
                <w:sz w:val="1"/>
                <w:szCs w:val="1"/>
                <w:color w:val="auto"/>
              </w:rPr>
            </w:pPr>
          </w:p>
        </w:tc>
      </w:tr>
      <w:tr>
        <w:trPr>
          <w:trHeight w:val="188"/>
        </w:trPr>
        <w:tc>
          <w:tcPr>
            <w:tcW w:w="11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70,913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2,734</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144,259</w:t>
            </w:r>
          </w:p>
        </w:tc>
        <w:tc>
          <w:tcPr>
            <w:tcW w:w="0" w:type="dxa"/>
            <w:vAlign w:val="bottom"/>
          </w:tcPr>
          <w:p>
            <w:pPr>
              <w:spacing w:after="0"/>
              <w:rPr>
                <w:sz w:val="1"/>
                <w:szCs w:val="1"/>
                <w:color w:val="auto"/>
              </w:rPr>
            </w:pPr>
          </w:p>
        </w:tc>
      </w:tr>
      <w:tr>
        <w:trPr>
          <w:trHeight w:val="157"/>
        </w:trPr>
        <w:tc>
          <w:tcPr>
            <w:tcW w:w="1100" w:type="dxa"/>
            <w:vAlign w:val="bottom"/>
          </w:tcPr>
          <w:p>
            <w:pPr>
              <w:ind w:left="20"/>
              <w:spacing w:after="0" w:line="157" w:lineRule="exact"/>
              <w:rPr>
                <w:sz w:val="20"/>
                <w:szCs w:val="20"/>
                <w:color w:val="auto"/>
              </w:rPr>
            </w:pPr>
            <w:r>
              <w:rPr>
                <w:rFonts w:ascii="Arial" w:cs="Arial" w:eastAsia="Arial" w:hAnsi="Arial"/>
                <w:sz w:val="14"/>
                <w:szCs w:val="14"/>
                <w:color w:val="auto"/>
              </w:rPr>
              <w:t>Earnings per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ind w:left="20"/>
              <w:spacing w:after="0" w:line="149" w:lineRule="exact"/>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20"/>
              <w:spacing w:after="0"/>
              <w:rPr>
                <w:sz w:val="20"/>
                <w:szCs w:val="20"/>
                <w:color w:val="auto"/>
              </w:rPr>
            </w:pPr>
            <w:r>
              <w:rPr>
                <w:rFonts w:ascii="Arial" w:cs="Arial" w:eastAsia="Arial" w:hAnsi="Arial"/>
                <w:sz w:val="14"/>
                <w:szCs w:val="14"/>
                <w:color w:val="auto"/>
              </w:rPr>
              <w:t>(Note 4):</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0.02</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0" w:type="dxa"/>
            <w:vAlign w:val="bottom"/>
          </w:tcPr>
          <w:p>
            <w:pPr>
              <w:spacing w:after="0"/>
              <w:rPr>
                <w:sz w:val="1"/>
                <w:szCs w:val="1"/>
                <w:color w:val="auto"/>
              </w:rPr>
            </w:pPr>
          </w:p>
        </w:tc>
      </w:tr>
      <w:tr>
        <w:trPr>
          <w:trHeight w:val="237"/>
        </w:trPr>
        <w:tc>
          <w:tcPr>
            <w:tcW w:w="1100" w:type="dxa"/>
            <w:vAlign w:val="bottom"/>
          </w:tcPr>
          <w:p>
            <w:pPr>
              <w:ind w:left="2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0.02</w:t>
            </w:r>
          </w:p>
        </w:tc>
        <w:tc>
          <w:tcPr>
            <w:tcW w:w="360" w:type="dxa"/>
            <w:vAlign w:val="bottom"/>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bl>
    <w:p>
      <w:pPr>
        <w:spacing w:after="0" w:line="3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This guidance requires a customer in a cloud computing arrangement that is a service contract to follow existing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Early adoption is permitted. The standard may be adopted either retrospectively or prospectively. The Company is currently assessing the future impact of this update on its consolidated financial statements and related disclosures.</w:t>
      </w:r>
    </w:p>
    <w:p>
      <w:pPr>
        <w:spacing w:after="0" w:line="59"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guidance eliminates the requirement to separately measure and report hedge ineffectiveness and generally requires,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54" w:right="239" w:bottom="1440" w:gutter="0" w:footer="0" w:header="0"/>
        </w:sectPr>
      </w:pPr>
    </w:p>
    <w:bookmarkStart w:id="9" w:name="page10"/>
    <w:bookmarkEnd w:id="9"/>
    <w:p>
      <w:pPr>
        <w:ind w:right="340"/>
        <w:spacing w:after="0" w:line="257" w:lineRule="auto"/>
        <w:rPr>
          <w:sz w:val="20"/>
          <w:szCs w:val="20"/>
          <w:color w:val="auto"/>
        </w:rPr>
      </w:pPr>
      <w:r>
        <w:rPr>
          <w:rFonts w:ascii="Arial" w:cs="Arial" w:eastAsia="Arial" w:hAnsi="Arial"/>
          <w:sz w:val="18"/>
          <w:szCs w:val="18"/>
          <w:color w:val="auto"/>
        </w:rPr>
        <w:t>qualifying hedges, the entire change in the fair value of a hedging instrument to be presented in the same income statement line as the hedged item. Additionally, the guidance also expands an entity's ability to apply hedge accounting for nonfinancial and financial risk components, simplifies the hedge documentation and hedge effectiveness assessment requirements, and modifies certain disclosure requirements. ASU 2017-12 is effective for reporting periods beginning after December 15, 2018, with early adoption permitted. The Company does not expect the adoption of this standard to have a material impact on its consolidated financial statements.</w:t>
      </w:r>
    </w:p>
    <w:p>
      <w:pPr>
        <w:spacing w:after="0" w:line="8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to increase transparency and comparability of accounting for lease transactions. The new leasing standard requires lessees to recognize lease assets and lease liabilities on their balance sheet for all leases with a lease term of greater than 12 months. Lessor accounting is largely unchanged. Topic 842 is effective for fiscal years beginning after December 15, 2018, with early adoption permitted. In July 2018, the FASB provided an alternative transition method of adoption through ASU No. 2018-11, </w:t>
      </w:r>
      <w:r>
        <w:rPr>
          <w:rFonts w:ascii="Arial" w:cs="Arial" w:eastAsia="Arial" w:hAnsi="Arial"/>
          <w:sz w:val="16"/>
          <w:szCs w:val="16"/>
          <w:i w:val="1"/>
          <w:iCs w:val="1"/>
          <w:color w:val="auto"/>
        </w:rPr>
        <w:t>Targeted Improvements</w:t>
      </w:r>
      <w:r>
        <w:rPr>
          <w:rFonts w:ascii="Arial" w:cs="Arial" w:eastAsia="Arial" w:hAnsi="Arial"/>
          <w:sz w:val="16"/>
          <w:szCs w:val="16"/>
          <w:color w:val="auto"/>
        </w:rPr>
        <w:t>, which permits the recognition of a cumulative-effect adjustment to retained earnings on the date of adoption. The Company intends to adopt the standard beginning in fiscal 2020 using the modified retrospective transition approach, specifically, using the alternative transition method provided by ASU 2018-11.</w:t>
      </w:r>
    </w:p>
    <w:p>
      <w:pPr>
        <w:spacing w:after="0" w:line="57"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A dedicated implementation team has been established that continues to make progress toward completing the evaluation of the impact of the new standard. The Company's assessment efforts to date have included reviewing the provisions of Topic 842, gathering information to evaluate its lease population and portfolio, evaluating the nature of real and personal property and other arrangements that may meet the definition of a lease, designing and implementing one-time implementation controls as well as new post-adoption lease processes and controls, implementing a new lease accounting software solution, and evaluating certain accounting policy elections. The Company anticipates finalizing its accounting policy, accounting software, systems and process modifications during the fourth quarter of fiscal 2019.</w:t>
      </w:r>
    </w:p>
    <w:p>
      <w:pPr>
        <w:spacing w:after="0" w:line="7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6"/>
          <w:szCs w:val="16"/>
          <w:color w:val="auto"/>
        </w:rPr>
        <w:t>Based on a preliminary assessment, the Company does not expect there to be a significant change in determining what constitutes a lease, however, the Company expects that virtually all of its operating lease commitments will be subject to the new guidance and recognized as operating lease liabilities and right-of-use assets upon adoption, resulting in a significant increase in the assets and liabilities on its consolidated balance sheets. The pattern of recognition for operating leases within the consolidated statements of operations and comprehensive income is not anticipated to significantly change. The adoption</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is not expected to impact the Company’s ability to comply with financial covenants as defined within the Company's Sixth Amendment to its Credit Agreement dated July 23, 2018, as discussed further in Note 8, Debt. The Company is continuing to refine its process for quantifying the financial statement impacts and anticipates finalizing its assessment of the materiality of adopting Topic 842 in conjunction with reporting its results for the third quarter of fiscal 2019.</w:t>
      </w:r>
    </w:p>
    <w:p>
      <w:pPr>
        <w:spacing w:after="0" w:line="8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amendments set forth certain presentation requirements, including that such analysis should present a reconciliation of the beginning balance to the ending balance of each period for which a statement of comprehensive income is required to be filed with all significant reconciling items described by appropriate captions with contributions from and distributions to owners shown separately. This final rule is effective 30 days after publication in the Federal Register and will generally be effective for the Company for the third quarter of fiscal year 2019. The Company does not expect the adoption of this standard to have a material impact on its consolidated financial statements.</w:t>
      </w:r>
    </w:p>
    <w:p>
      <w:pPr>
        <w:spacing w:after="0" w:line="5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Other accounting and reporting pronouncements issued after September 30, 2018 and through the filing date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time-and-materials contracts, and fixed-price contracts.</w:t>
      </w:r>
    </w:p>
    <w:p>
      <w:pPr>
        <w:spacing w:after="0" w:line="79"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The Company considers a contract with a customer to exist under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54" w:right="259" w:bottom="1440" w:gutter="0" w:footer="0" w:header="0"/>
        </w:sectPr>
      </w:pPr>
    </w:p>
    <w:bookmarkStart w:id="10" w:name="page11"/>
    <w:bookmarkEnd w:id="10"/>
    <w:p>
      <w:pPr>
        <w:ind w:right="80"/>
        <w:spacing w:after="0" w:line="264" w:lineRule="auto"/>
        <w:rPr>
          <w:sz w:val="20"/>
          <w:szCs w:val="20"/>
          <w:color w:val="auto"/>
        </w:rPr>
      </w:pPr>
      <w:r>
        <w:rPr>
          <w:rFonts w:ascii="Arial" w:cs="Arial" w:eastAsia="Arial" w:hAnsi="Arial"/>
          <w:sz w:val="18"/>
          <w:szCs w:val="18"/>
          <w:color w:val="auto"/>
        </w:rPr>
        <w:t>certain transactions with commercial clients and with the U.S. government,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7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evaluates each service deliverable contracted with the customer to determine whether they represent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70"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Contracts with the U.S. government are subject to the Federal Acquisition Regulation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the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6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includes both funded and unfunded portions of customer contracts in this estimation process.</w:t>
      </w:r>
    </w:p>
    <w:p>
      <w:pPr>
        <w:spacing w:after="0" w:line="6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 forward-pricing rates, will be recorded in the interim financial reporting period when such changes are identified. This change relates to the interim financial reporting period differences between the actual indirect cost incurred and allocated to customer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54"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contracts compared to the estimated amounts allocated to contracts using the estimated annual forward-pricing rates established with the U.S. government.</w:t>
      </w:r>
    </w:p>
    <w:p>
      <w:pPr>
        <w:spacing w:after="0" w:line="14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the right-to-invoice practical expedient discussed above, the Company applied certain other practical expedients permitted by Topic 606, which include: a) using the portfolio approach where contracts with similar characteristics were assessed collectively to evaluate risk of being impacted by the adoption of Topic 606; b) applying the practical expedient allowing the Company to not restate completed contracts which began and ended in the same fiscal year prior to the date of the initial adoption; and c) electing to omit the disclosure related to remaining performance obligations for reporting periods presented before the date of the initial adoption.</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ind w:right="240" w:firstLine="405"/>
        <w:spacing w:after="0" w:line="270" w:lineRule="auto"/>
        <w:rPr>
          <w:sz w:val="20"/>
          <w:szCs w:val="20"/>
          <w:color w:val="auto"/>
        </w:rPr>
      </w:pPr>
      <w:r>
        <w:rPr>
          <w:rFonts w:ascii="Arial" w:cs="Arial" w:eastAsia="Arial" w:hAnsi="Arial"/>
          <w:sz w:val="17"/>
          <w:szCs w:val="17"/>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the three and six months periods ended September 30, 2018 and 2017, respectively, the aggregate impact of adjustments in contract estimates was not material.</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of September 30, 2018, the Company had $7.8 billion of remaining performance obligations and we expect to recognize more than half of the remaining performance obligations as revenue over the next 12 months, and approximately three quarters over the next 24 months. The remainder is expected to be recognized thereafter.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940" w:hanging="655"/>
        <w:spacing w:after="0" w:line="342"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380" w:hanging="655"/>
        <w:spacing w:after="0" w:line="259"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54" w:right="239" w:bottom="1440" w:gutter="0" w:footer="0" w:header="0"/>
        </w:sectPr>
      </w:pPr>
    </w:p>
    <w:bookmarkStart w:id="12" w:name="page13"/>
    <w:bookmarkEnd w:id="12"/>
    <w:p>
      <w:pPr>
        <w:ind w:left="1960" w:right="140" w:hanging="655"/>
        <w:spacing w:after="0" w:line="264"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center"/>
              <w:ind w:left="282"/>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Cost-reimbursable</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851,394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795,819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1,711,278</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1,565,914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390,509</w:t>
            </w: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384,587</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796,093</w:t>
            </w: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766,814</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80" w:type="dxa"/>
            <w:vAlign w:val="bottom"/>
          </w:tcPr>
          <w:p>
            <w:pPr>
              <w:spacing w:after="0"/>
              <w:rPr>
                <w:sz w:val="23"/>
                <w:szCs w:val="23"/>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372,094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362,399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753,474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733,087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92"/>
              </w:rPr>
              <w:t>1,613,997</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2"/>
              </w:rPr>
              <w:t>1,542,805</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3,260,845</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5"/>
              </w:rPr>
              <w:t>3,065,815</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3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 by Customer Type:</w:t>
            </w: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6"/>
          </w:tcPr>
          <w:p>
            <w:pPr>
              <w:jc w:val="center"/>
              <w:ind w:left="30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6"/>
                <w:szCs w:val="16"/>
                <w:color w:val="auto"/>
              </w:rPr>
              <w:t>Defense Clients</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755,570</w:t>
            </w: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706,526</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5"/>
              </w:rPr>
              <w:t>1,513,552</w:t>
            </w:r>
          </w:p>
        </w:tc>
        <w:tc>
          <w:tcPr>
            <w:tcW w:w="52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1,418,265</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Intelligence Clients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385,733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379,536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783,213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748,005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6"/>
                <w:szCs w:val="16"/>
                <w:color w:val="auto"/>
              </w:rPr>
              <w:t>Civil Clients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417,636</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403,410</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853,162</w:t>
            </w: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808,694</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U.S. government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5"/>
              </w:rPr>
              <w:t>1,558,939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1,489,472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3,149,927</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2,974,964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0"/>
        </w:trPr>
        <w:tc>
          <w:tcPr>
            <w:tcW w:w="148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Global Commercial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Clients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55,058</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53,333</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110,918</w:t>
            </w: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90,851</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1"/>
                <w:szCs w:val="21"/>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5"/>
              </w:rPr>
              <w:t>1,613,997</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5"/>
              </w:rPr>
              <w:t>1,542,805</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3,260,845</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3,065,815</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150"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w w:val="95"/>
              </w:rPr>
              <w:t>Six Months Ended</w:t>
            </w:r>
          </w:p>
        </w:tc>
        <w:tc>
          <w:tcPr>
            <w:tcW w:w="500" w:type="dxa"/>
            <w:vAlign w:val="bottom"/>
          </w:tcPr>
          <w:p>
            <w:pPr>
              <w:spacing w:after="0"/>
              <w:rPr>
                <w:sz w:val="14"/>
                <w:szCs w:val="14"/>
                <w:color w:val="auto"/>
              </w:rPr>
            </w:pPr>
          </w:p>
        </w:tc>
      </w:tr>
      <w:tr>
        <w:trPr>
          <w:trHeight w:val="192"/>
        </w:trPr>
        <w:tc>
          <w:tcPr>
            <w:tcW w:w="1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r>
      <w:tr>
        <w:trPr>
          <w:trHeight w:val="264"/>
        </w:trPr>
        <w:tc>
          <w:tcPr>
            <w:tcW w:w="18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Contractor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5"/>
              </w:rPr>
              <w:t>1,482,153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1,413,210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2,989,335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2,801,249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Sub-contractor</w:t>
            </w:r>
          </w:p>
        </w:tc>
        <w:tc>
          <w:tcPr>
            <w:tcW w:w="140" w:type="dxa"/>
            <w:vAlign w:val="bottom"/>
          </w:tcPr>
          <w:p>
            <w:pPr>
              <w:spacing w:after="0"/>
              <w:rPr>
                <w:sz w:val="20"/>
                <w:szCs w:val="20"/>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131,844</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129,595</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271,510</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264,566</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5"/>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5"/>
              </w:rPr>
              <w:t>1,613,997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1,542,805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3,260,845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3,065,815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Topic 606.</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condensed consolidated balance sheets:</w:t>
      </w:r>
    </w:p>
    <w:p>
      <w:pPr>
        <w:spacing w:after="0" w:line="2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749,672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738,646</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60,093</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59,633</w:t>
            </w: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809,765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798,279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2"/>
              </w:rPr>
              <w:t>Advance payments, billings in excess of costs incurred and deferred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27,522</w:t>
            </w:r>
          </w:p>
        </w:tc>
      </w:tr>
    </w:tbl>
    <w:p>
      <w:pPr>
        <w:spacing w:after="0" w:line="200" w:lineRule="exact"/>
        <w:rPr>
          <w:sz w:val="20"/>
          <w:szCs w:val="20"/>
          <w:color w:val="auto"/>
        </w:rPr>
      </w:pPr>
    </w:p>
    <w:p>
      <w:pPr>
        <w:sectPr>
          <w:pgSz w:w="11900" w:h="16838" w:orient="portrait"/>
          <w:cols w:equalWidth="0" w:num="1">
            <w:col w:w="11340"/>
          </w:cols>
          <w:pgMar w:left="240" w:top="854" w:right="319" w:bottom="1440" w:gutter="0" w:footer="0" w:header="0"/>
        </w:sectPr>
      </w:pP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40"/>
          </w:cols>
          <w:pgMar w:left="240" w:top="854" w:right="319" w:bottom="1440" w:gutter="0" w:footer="0" w:header="0"/>
          <w:type w:val="continuous"/>
        </w:sectPr>
      </w:pPr>
    </w:p>
    <w:bookmarkStart w:id="13" w:name="page14"/>
    <w:bookmarkEnd w:id="13"/>
    <w:p>
      <w:pPr>
        <w:ind w:firstLine="405"/>
        <w:spacing w:after="0" w:line="255" w:lineRule="auto"/>
        <w:rPr>
          <w:sz w:val="20"/>
          <w:szCs w:val="20"/>
          <w:color w:val="auto"/>
        </w:rPr>
      </w:pPr>
      <w:r>
        <w:rPr>
          <w:rFonts w:ascii="Arial" w:cs="Arial" w:eastAsia="Arial" w:hAnsi="Arial"/>
          <w:sz w:val="18"/>
          <w:szCs w:val="18"/>
          <w:color w:val="auto"/>
        </w:rPr>
        <w:t>Changes in contract assets and contract liabilities are primarily due to the timing difference between the Company’s performance of services and payments from customers. For the three months ended September 30, 2018 and 2017, we recognized revenue of $3.8 million and $0.8 million and for the six months ended September 30, 2018 and 2017, we recognized revenue of $10.6 million and $6.6 million related to our contract liabilities on April 1, 2018 and 2017,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85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and second quarters of fiscal 2019 and 2018.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252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142,974</w:t>
            </w:r>
          </w:p>
        </w:tc>
        <w:tc>
          <w:tcPr>
            <w:tcW w:w="0" w:type="dxa"/>
            <w:vAlign w:val="bottom"/>
          </w:tcPr>
          <w:p>
            <w:pPr>
              <w:spacing w:after="0"/>
              <w:rPr>
                <w:sz w:val="1"/>
                <w:szCs w:val="1"/>
                <w:color w:val="auto"/>
              </w:rPr>
            </w:pPr>
          </w:p>
        </w:tc>
      </w:tr>
      <w:tr>
        <w:trPr>
          <w:trHeight w:val="229"/>
        </w:trPr>
        <w:tc>
          <w:tcPr>
            <w:tcW w:w="534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w w:val="95"/>
              </w:rPr>
              <w:t>142,443,058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w w:val="95"/>
              </w:rPr>
              <w:t>147,085,314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142,861,491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147,400,153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142,986</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1,265,851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1,802,183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1,353,582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1,976,722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for diluted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5"/>
              </w:rPr>
              <w:t>143,708,909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148,887,497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144,215,073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149,376,875</w:t>
            </w:r>
          </w:p>
        </w:tc>
        <w:tc>
          <w:tcPr>
            <w:tcW w:w="0" w:type="dxa"/>
            <w:vAlign w:val="bottom"/>
          </w:tcPr>
          <w:p>
            <w:pPr>
              <w:spacing w:after="0"/>
              <w:rPr>
                <w:sz w:val="1"/>
                <w:szCs w:val="1"/>
                <w:color w:val="auto"/>
              </w:rPr>
            </w:pP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80" w:hanging="332"/>
        <w:spacing w:after="0" w:line="271" w:lineRule="auto"/>
        <w:tabs>
          <w:tab w:leader="none" w:pos="271"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three months ended September 30, 2018 and 2017, approximately 0.9 million and 1.4 million participating securities, respectively, were paid dividends totaling $0.2 million in both periods. During the six months ended September 30, 2018 and 2017, approximately 0.9 million and 1.4 million participating securities, respectively, were paid dividends totaling $0.3 million and $0.4 million, respectively. For the three months ended September 30, 2018 and 2017, there were undistributed earnings of $0.4 million and $0.4 million, respectively, allocated to the participating class of securities in both basic and diluted EPS. For the six months ended September 30, 2018 and 2017, there were undistributed earnings of $0.9 million and $0.9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six months ended September 30, 2018 and 2017.</w:t>
      </w:r>
    </w:p>
    <w:p>
      <w:pPr>
        <w:spacing w:after="0" w:line="28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EPS calculation for the three months ended September 30, 2018 and 2017 excludes 0.2 million and 0.4 million options, respectively, as their impact was anti-dilutive. The EPS calculation for the six months ended September 30, 2018 and 2017 excludes 0.2 million and 0.3 million options, respectively, as their impact was anti-dilutive.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850" w:right="279" w:bottom="1440" w:gutter="0" w:footer="0" w:header="0"/>
        </w:sectPr>
      </w:pPr>
    </w:p>
    <w:bookmarkStart w:id="15" w:name="page16"/>
    <w:bookmarkEnd w:id="15"/>
    <w:p>
      <w:pPr>
        <w:ind w:left="420" w:right="6280" w:hanging="412"/>
        <w:spacing w:after="0" w:line="445" w:lineRule="auto"/>
        <w:tabs>
          <w:tab w:leader="none" w:pos="19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416,909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395,136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749,672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738,646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1,133,705</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59,633</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1,225,419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1,193,338</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Unbilled amounts represent revenues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provision for doubtful accounts (including certain unbilled reserves) of $10.6 million and $2.2 million for the three months ended September 30, 2018 and 2017, respectively and $10.7 million and $3.1 million for the six months ended September 30, 2018 and 2017.</w:t>
      </w:r>
    </w:p>
    <w:p>
      <w:pPr>
        <w:spacing w:after="0" w:line="8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9" w:lineRule="exact"/>
        <w:rPr>
          <w:sz w:val="20"/>
          <w:szCs w:val="20"/>
          <w:color w:val="auto"/>
        </w:rPr>
      </w:pPr>
    </w:p>
    <w:p>
      <w:pPr>
        <w:ind w:left="440" w:right="5680" w:hanging="432"/>
        <w:spacing w:after="0" w:line="428" w:lineRule="auto"/>
        <w:tabs>
          <w:tab w:leader="none" w:pos="18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377,245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339,993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261,017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217,566</w:t>
            </w:r>
          </w:p>
        </w:tc>
      </w:tr>
      <w:tr>
        <w:trPr>
          <w:trHeight w:val="27"/>
        </w:trPr>
        <w:tc>
          <w:tcPr>
            <w:tcW w:w="8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638,262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557,559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4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87,817</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66,411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35,743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135,233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131,519</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26,212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27,671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4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271,961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5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2018</w:t>
            </w:r>
          </w:p>
        </w:tc>
      </w:tr>
      <w:tr>
        <w:trPr>
          <w:trHeight w:val="152"/>
        </w:trPr>
        <w:tc>
          <w:tcPr>
            <w:tcW w:w="55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Outstanding</w:t>
            </w:r>
          </w:p>
        </w:tc>
      </w:tr>
      <w:tr>
        <w:trPr>
          <w:trHeight w:val="192"/>
        </w:trPr>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1,064,700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1,094,275</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393,025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395,000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(20,926)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(20,696)</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1,786,799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1,818,579</w:t>
            </w:r>
          </w:p>
        </w:tc>
      </w:tr>
      <w:tr>
        <w:trPr>
          <w:trHeight w:val="243"/>
        </w:trPr>
        <w:tc>
          <w:tcPr>
            <w:tcW w:w="5500" w:type="dxa"/>
            <w:vAlign w:val="bottom"/>
          </w:tcPr>
          <w:p>
            <w:pPr>
              <w:ind w:left="70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(63,100)</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(63,100)</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1,723,699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1,755,479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 and Revolving Credit Facility</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provides for a new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72"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will be available as the Delayed Draw Facility. The Delayed Draw Facility is accessible for nine months from the Amendment Effective Date (the "Delayed Draw Availability Period"). The Company is able to draw on the Delayed Draw Facility on up to two occasions during the Delayed Draw Availability Period in an amount per draw (x) of not less than $100.0 million per draw or (y) equal to the amount of unused commitments in respect of the Delayed Draw Facility remaining at the time of such borrowing. The proceeds from the new lenders were used to prepay in full all of the existing Term Loan A that was not converted into the new Term Loan A tranche. The proceeds of the Delayed Draw Facility will be used for general corporate purposes and other purposes not prohibited by the Credit Agreement.</w:t>
      </w:r>
    </w:p>
    <w:p>
      <w:pPr>
        <w:spacing w:after="0" w:line="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New Revolving Commitments of certain new lenders, of $500.0 million.</w:t>
      </w:r>
    </w:p>
    <w:p>
      <w:pPr>
        <w:spacing w:after="0" w:line="7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of September 30, 2018, the Credit Agreement provided Booz Allen Hamilton with a $1,064.7 million Term Loan A, $400.0 million Delayed Draw Facility, a $393.0 million Term Loan B, and $500.0 million in New Revolving Commitments with a sub-limit for letters of credit of $100.0 million. As of September 30, 2018,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New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50" w:right="259" w:bottom="1440" w:gutter="0" w:footer="0" w:header="0"/>
        </w:sectPr>
      </w:pPr>
    </w:p>
    <w:bookmarkStart w:id="17" w:name="page18"/>
    <w:bookmarkEnd w:id="17"/>
    <w:p>
      <w:pPr>
        <w:ind w:right="20"/>
        <w:spacing w:after="0" w:line="259" w:lineRule="auto"/>
        <w:rPr>
          <w:sz w:val="20"/>
          <w:szCs w:val="20"/>
          <w:color w:val="auto"/>
        </w:rPr>
      </w:pPr>
      <w:r>
        <w:rPr>
          <w:rFonts w:ascii="Arial" w:cs="Arial" w:eastAsia="Arial" w:hAnsi="Arial"/>
          <w:sz w:val="18"/>
          <w:szCs w:val="18"/>
          <w:color w:val="auto"/>
        </w:rPr>
        <w:t>Revolving Credit Facility may be expanded (or a new term loan facility or revolving credit facility added to the existing facilities) by up to (i)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79"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0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and second quarters of fiscal 2019, Booz Allen Hamilton accessed a total of $70.0 million of the $500.0 million New Revolving Commitments. As of September 30, 2018 and March 31, 2018, there were no amounts outstanding under the Revolving Credit Facility.</w:t>
      </w:r>
    </w:p>
    <w:p>
      <w:pPr>
        <w:spacing w:after="0" w:line="7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100" w:firstLine="8"/>
        <w:spacing w:after="0" w:line="268" w:lineRule="auto"/>
        <w:tabs>
          <w:tab w:leader="none" w:pos="305" w:val="left"/>
        </w:tabs>
        <w:numPr>
          <w:ilvl w:val="0"/>
          <w:numId w:val="9"/>
        </w:numPr>
        <w:rPr>
          <w:rFonts w:ascii="Arial" w:cs="Arial" w:eastAsia="Arial" w:hAnsi="Arial"/>
          <w:sz w:val="17"/>
          <w:szCs w:val="17"/>
          <w:color w:val="auto"/>
        </w:rPr>
      </w:pPr>
      <w:r>
        <w:rPr>
          <w:rFonts w:ascii="Arial" w:cs="Arial" w:eastAsia="Arial" w:hAnsi="Arial"/>
          <w:sz w:val="17"/>
          <w:szCs w:val="17"/>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September 30, 2018 and March 31, 2018, Booz Allen Hamilton was in compliance with all financial covenants associated with its debt and debt-like instruments.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April 25, 2017, Booz Allen Hamilton issued $350 million aggregate principal amount of its 5.125% Senior Notes (the "Senior Notes"),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will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During the first and second quarters of fiscal 2019, interest payments of $9.0 million were made for the Senior Notes.</w:t>
      </w:r>
    </w:p>
    <w:p>
      <w:pPr>
        <w:spacing w:after="0" w:line="74"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May 24, 2017, Booz Allen Hamilton executed a series of interest rate swaps. As of September 30, 2018, Booz Allen Hamilton had interest rate swaps with an aggregate notional amount of $450 million. These instruments hedge the variability of cash outflows for interest payments on the floating portion of the term loan debt. The Company's objectives in using cash flow hedges are to reduce volatility due to interest rate movements and to add stability to interest expense (See Note 9 in our condensed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54" w:right="25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2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92"/>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4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80" w:type="dxa"/>
            <w:vAlign w:val="bottom"/>
            <w:gridSpan w:val="3"/>
            <w:shd w:val="clear" w:color="auto" w:fill="CCEEFF"/>
          </w:tcPr>
          <w:p>
            <w:pPr>
              <w:jc w:val="center"/>
              <w:ind w:left="536"/>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center"/>
              <w:ind w:left="47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shd w:val="clear" w:color="auto" w:fill="CCEEFF"/>
          </w:tcPr>
          <w:p>
            <w:pPr>
              <w:spacing w:after="0"/>
              <w:rPr>
                <w:sz w:val="22"/>
                <w:szCs w:val="22"/>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Term Loan A 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10,345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9,394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21,187</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18,171</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8,032</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6,791</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199</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8,969</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7,773</w:t>
            </w:r>
          </w:p>
        </w:tc>
      </w:tr>
      <w:tr>
        <w:trPr>
          <w:trHeight w:val="270"/>
        </w:trPr>
        <w:tc>
          <w:tcPr>
            <w:tcW w:w="48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4,015</w:t>
            </w:r>
          </w:p>
        </w:tc>
        <w:tc>
          <w:tcPr>
            <w:tcW w:w="6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4,022</w:t>
            </w: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 (DIC) and Original Issue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48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Discount (OID)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2,618</w:t>
            </w:r>
          </w:p>
        </w:tc>
        <w:tc>
          <w:tcPr>
            <w:tcW w:w="6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439</w:t>
            </w:r>
          </w:p>
        </w:tc>
        <w:tc>
          <w:tcPr>
            <w:tcW w:w="6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116</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22,247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45,321</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39,705</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Interest payments on the deferred payment obligation are made twice a year in January and July.</w:t>
      </w:r>
    </w:p>
    <w:p>
      <w:pPr>
        <w:spacing w:after="0" w:line="98" w:lineRule="exact"/>
        <w:rPr>
          <w:rFonts w:ascii="Arial" w:cs="Arial" w:eastAsia="Arial" w:hAnsi="Arial"/>
          <w:sz w:val="23"/>
          <w:szCs w:val="23"/>
          <w:color w:val="auto"/>
          <w:vertAlign w:val="superscript"/>
        </w:rPr>
      </w:pPr>
    </w:p>
    <w:p>
      <w:pPr>
        <w:ind w:right="40" w:firstLine="8"/>
        <w:spacing w:after="0" w:line="260" w:lineRule="auto"/>
        <w:tabs>
          <w:tab w:leader="none" w:pos="192"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to interest expense. During the first quarter of fiscal 2018, the Company entered into several forward starting floating-to-fixed interest rate swap agreements with multiple financial institutions with a start date of April 30, 2018. The aggregate notional amount of these interest rate swap agreements was $450 million as of September 30, 2018. The swaps have staggered maturities, ranging from June 30, 2021 to June 30, 2022. These swaps mature within the last tranche of the Company's floating rate debt (June 30, 2023).</w:t>
      </w:r>
    </w:p>
    <w:p>
      <w:pPr>
        <w:spacing w:after="0" w:line="85"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Derivative instruments are recorded in the condensed consolidated balance sheet on a gross basis at estimated fair value. As of September 30, 2018, $2.8 million and $9.1 million were classified as other current assets and other long-term assets, respectively, on the condensed consolidated balance sheet. As</w:t>
      </w:r>
    </w:p>
    <w:p>
      <w:pPr>
        <w:ind w:right="900"/>
        <w:spacing w:after="0" w:line="261" w:lineRule="auto"/>
        <w:rPr>
          <w:sz w:val="20"/>
          <w:szCs w:val="20"/>
          <w:color w:val="auto"/>
        </w:rPr>
      </w:pPr>
      <w:r>
        <w:rPr>
          <w:rFonts w:ascii="Arial" w:cs="Arial" w:eastAsia="Arial" w:hAnsi="Arial"/>
          <w:sz w:val="18"/>
          <w:szCs w:val="18"/>
          <w:color w:val="auto"/>
        </w:rPr>
        <w:t>of March 31, 2018, $0.7 million and $7.2 million were classified as other current assets and other long-term assets, respectively, on the condensed consolidated balance sheet.</w:t>
      </w:r>
    </w:p>
    <w:p>
      <w:pPr>
        <w:spacing w:after="0" w:line="76"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For interest rate swaps designated as cash flow hedges, the changes in the fair value of derivatives is recorded in Accumulated Other Comprehensive Income, or AOCI, net of taxes, and is subsequently reclassified into interest expense in the period that the hedged forecasted interest payments are made on the Company's variable-rate debt. For the three and six months ended September 30, 2018, a $1.2 million and $3.0 million gain, respectively, was recognized in AOCI, and $0.1 million and $0.08 million was reclassified into interest expense. For the three and six months ended September 30, 2017, a $0.1 million and $0.6 million loss was recognized in AOCI, and there were no amounts reclassified into interest expense. The ineffective portion of the change in fair value of the derivatives is recognized directly in earnings. As of September 30, 2018, there was no ineffectiveness recognized in earnings.</w:t>
      </w:r>
    </w:p>
    <w:p>
      <w:pPr>
        <w:spacing w:after="0" w:line="57" w:lineRule="exact"/>
        <w:rPr>
          <w:sz w:val="20"/>
          <w:szCs w:val="20"/>
          <w:color w:val="auto"/>
        </w:rPr>
      </w:pPr>
    </w:p>
    <w:p>
      <w:pPr>
        <w:ind w:right="400" w:firstLine="405"/>
        <w:spacing w:after="0" w:line="342" w:lineRule="auto"/>
        <w:rPr>
          <w:sz w:val="20"/>
          <w:szCs w:val="20"/>
          <w:color w:val="auto"/>
        </w:rPr>
      </w:pPr>
      <w:r>
        <w:rPr>
          <w:rFonts w:ascii="Arial" w:cs="Arial" w:eastAsia="Arial" w:hAnsi="Arial"/>
          <w:sz w:val="16"/>
          <w:szCs w:val="16"/>
          <w:color w:val="auto"/>
        </w:rPr>
        <w:t>Over the next 12 months, the Company estimates that $2.8 million will be reclassified as a decrease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30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5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2017 Tax Act was enacted on December 22, 2017. The 2017 Tax Act reduced the U.S. federal corporate tax rate from 35.0% to 21.0% effective January 1, 2018. At September 30, 2018, the Company's assessment for the following elements was not complete: (1) the acceleration of depreciation; and (2) the limitation on the deductibility of certain executive compensation. However, based on a preliminary assessment of the recently issued IRS Notice 2018-68, the Company recognized an additional measurement-period adjustment of $1.1 million relating to the deductibility of certain executive compensation, with a corresponding adjustment of $1.1 million to income tax expense during the quarter. The effect of the measurement-period adjustment on the three months ended September 30, 2018 effective tax rate was approximately 0.9%. The Company will continue to make and refine the calculations as additional analysis is completed and our estimates may be materially affected by additional clarifications and interpretations of the legislation. This includes the written consent the Company received from the IRS on October 19, 2018 in response to its application for a Change in Accounting Method filed on March 29, 2018. This method change is related to the Company’s recognition of revenue for income tax purposes associated with its unbilled receivables. Since this consent agreement was received subsequent to September 30, 2018, the financial statement effect related to a measurement-period adjustment of these changes will be recorded in the Company’s third quarter of fiscal 2019 pursuant to ASC 740. The Company will incorporate this method change in its fiscal 2018 federal and state income tax returns. As of September 30, 2018, the Company preliminarily estimates the measurement-period adjustment impact to fiscal 2019 from this method change to be approximately $28.9 million of a reduction to income tax expense.The Company expects to finalize its assessment of all provisional amounts within the allowed one-year measurement period provided for under SAB 118. Other than the executive compensation discussed above, the Company has not made any additional adjustments to fiscal 2018 provisional amounts during the six months ended September 30, 2018.</w:t>
      </w:r>
    </w:p>
    <w:p>
      <w:pPr>
        <w:spacing w:after="0" w:line="6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Company’s effective income tax rates were 22.7% and 33.4% for the three months ended September 30, 2018 and 2017, respectively, and 23.5% and 33.6% for the six months ended September 30, 2018 and 2017, respectively. The decrease in the effective tax rate as compared to the same period last fiscal year was primarily due to the 2017 Tax Act's reduction of the U.S. federal corporate tax rate. The effective tax rates of 22.7% and 23.5% for the three and six months ended September 30, 2018 differ from the federal statutory rate of 21.0% primarily due to the inclusion of state income taxes and permanent rate differences, which are predominantly related to meals and entertainment and certain executive compensation, offset in the current three months by discrete tax items.</w:t>
      </w:r>
    </w:p>
    <w:p>
      <w:pPr>
        <w:spacing w:after="0" w:line="85"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$11.5 million, net of associated tax benefits as of September 30, 2018. The Company has taken similar tax positions with respect to subsequent fiscal years, totaling in aggregate $28.3 million. As of September 30, 2018, the Company does not maintain reserves for any uncertain tax positions related to the contested tax benefits, and, given the recoverable nature of the state tax expense, it does not believe the resolution of these matters will have a material adverse effect on its results of operations, cash flows or financial condition.</w:t>
      </w:r>
    </w:p>
    <w:p>
      <w:pPr>
        <w:spacing w:after="0" w:line="8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Company continues to carry a reserve of $10.2 million for income tax uncertainties created with the business acquisition of eGov Holdings, Inc. (d/b/a Aquilent) in the fourth quarter of fiscal 2017 resulting from uncertainty in the sustainability of the acquiree's prior tax-return positions under examination with the relevant tax authorities.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79,913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135,191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131,526</w:t>
            </w:r>
          </w:p>
        </w:tc>
      </w:tr>
      <w:tr>
        <w:trPr>
          <w:trHeight w:val="27"/>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48,443</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260,549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259,882</w:t>
            </w:r>
          </w:p>
        </w:tc>
      </w:tr>
      <w:tr>
        <w:trPr>
          <w:trHeight w:val="27"/>
        </w:trPr>
        <w:tc>
          <w:tcPr>
            <w:tcW w:w="8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8"/>
        <w:spacing w:after="0" w:line="264"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Balances at September 30, 2018 and March 31, 2018 include the Company's long-term disability obligation of $22.8 million for both periods as well as contingent consideration related to the Company's business acquisition of an acquiree in the fourth quarter of fiscal 2017 of $3.3 million and $3.6 million,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958" w:right="259" w:bottom="1440" w:gutter="0" w:footer="0" w:header="0"/>
        </w:sectPr>
      </w:pPr>
    </w:p>
    <w:bookmarkStart w:id="20" w:name="page21"/>
    <w:bookmarkEnd w:id="20"/>
    <w:p>
      <w:pPr>
        <w:ind w:left="340" w:right="8640" w:hanging="332"/>
        <w:spacing w:after="0" w:line="378" w:lineRule="auto"/>
        <w:tabs>
          <w:tab w:leader="none" w:pos="28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left="420"/>
        <w:spacing w:after="0"/>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international employees. ECAP provides for distributions, subject to certain vesting provisions, to participants by reason of retirement, death, disability,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termination of employment. Effective April 1, 2014, the Company transitioned from a discretionary employer contribution to an annual matching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contribution of up to 6% of eligible annual income as determined by the Internal Revenue Code for the ECAP. Total expense recognized under ECAP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$33.6 million and $30.7 million for the three months ended September 30, 2018 and 2017, respectively, and $66.2 million and $61.8 million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September 30, 2018 and 2017, respectively. The Company-paid contributions were $16.9 million and $15.5 million for the three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2018 and 2017, respectively, and $34.4 million and $31.1 million for the six months ended September 30, 2018 and 2017,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r>
      <w:tr>
        <w:trPr>
          <w:trHeight w:val="192"/>
        </w:trPr>
        <w:tc>
          <w:tcPr>
            <w:tcW w:w="5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1,282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1,252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2,504</w:t>
            </w: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8"/>
              </w:rPr>
              <w:t>3,297</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2,936</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6,594</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5,871</w:t>
            </w:r>
          </w:p>
        </w:tc>
      </w:tr>
      <w:tr>
        <w:trPr>
          <w:trHeight w:val="27"/>
        </w:trPr>
        <w:tc>
          <w:tcPr>
            <w:tcW w:w="5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condensed consolidated statements of operations.</w:t>
      </w:r>
    </w:p>
    <w:p>
      <w:pPr>
        <w:spacing w:after="0" w:line="289"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As of September 30, 2018 and March 31, 2018, the unfunded status of the post-retirement medical plan was $130.5 million and $126.9 million, respectively, which is included in other long-term liabilities in the accompanying condensed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67"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became effective in the current period.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4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September 30, 2018, $3.2 million of plan investments and obligations were recorded in other long term assets and in other long term liabilities, respectively, in the condensed consolidated balance sheets, representing the fair value related to the deferred compensation plan.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1"/>
              </w:rPr>
              <w:t>Three Months Ended September 30, 2018</w:t>
            </w:r>
          </w:p>
        </w:tc>
        <w:tc>
          <w:tcPr>
            <w:tcW w:w="300" w:type="dxa"/>
            <w:vAlign w:val="bottom"/>
          </w:tcPr>
          <w:p>
            <w:pPr>
              <w:spacing w:after="0"/>
              <w:rPr>
                <w:sz w:val="20"/>
                <w:szCs w:val="20"/>
                <w:color w:val="auto"/>
              </w:rPr>
            </w:pPr>
          </w:p>
        </w:tc>
        <w:tc>
          <w:tcPr>
            <w:tcW w:w="38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0"/>
              </w:rPr>
              <w:t>Six Months Ended September 30, 2018</w:t>
            </w:r>
          </w:p>
        </w:tc>
      </w:tr>
      <w:tr>
        <w:trPr>
          <w:trHeight w:val="27"/>
        </w:trPr>
        <w:tc>
          <w:tcPr>
            <w:tcW w:w="3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designated as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before reclassifications (1)</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3,041</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3,041</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Amounts reclassified from accumulated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1"/>
              </w:rPr>
              <w:t>Net current-period other comprehensive</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1,462</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2,958</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3,789</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8,807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8,807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$0.4 million and $1.1 million for the three and six months ended September 30, 2018,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2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1"/>
              </w:rPr>
              <w:t>Three Months Ended September 30, 2017</w:t>
            </w:r>
          </w:p>
        </w:tc>
        <w:tc>
          <w:tcPr>
            <w:tcW w:w="300" w:type="dxa"/>
            <w:vAlign w:val="bottom"/>
          </w:tcPr>
          <w:p>
            <w:pPr>
              <w:spacing w:after="0"/>
              <w:rPr>
                <w:sz w:val="20"/>
                <w:szCs w:val="20"/>
                <w:color w:val="auto"/>
              </w:rPr>
            </w:pPr>
          </w:p>
        </w:tc>
        <w:tc>
          <w:tcPr>
            <w:tcW w:w="38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0"/>
              </w:rPr>
              <w:t>Six Months Ended September 30, 2017</w:t>
            </w:r>
          </w:p>
        </w:tc>
      </w:tr>
      <w:tr>
        <w:trPr>
          <w:trHeight w:val="27"/>
        </w:trPr>
        <w:tc>
          <w:tcPr>
            <w:tcW w:w="3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designated as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before reclassifications (2)</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Amounts reclassified from accumulated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1"/>
              </w:rPr>
              <w:t>Net current-period other comprehensive</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(16,987)</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6"/>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854" w:right="239" w:bottom="1440" w:gutter="0" w:footer="0" w:header="0"/>
        </w:sectPr>
      </w:pPr>
    </w:p>
    <w:bookmarkStart w:id="22" w:name="page23"/>
    <w:bookmarkEnd w:id="22"/>
    <w:p>
      <w:pPr>
        <w:ind w:right="28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$0.1 million and $0.4 million for the three and six months ended September 30, 2017, respectively.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90"/>
              </w:rPr>
              <w:t>September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6"/>
              </w:rPr>
              <w:t>Amounts reclassified from accumulated other comprehensive loss:</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Post-retirement plans (Note 12):</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3"/>
              </w:rPr>
              <w:t>Amortization of net actuarial loss included in net periodic benefit</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cost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57"/>
        </w:trPr>
        <w:tc>
          <w:tcPr>
            <w:tcW w:w="516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460" w:type="dxa"/>
            <w:vAlign w:val="bottom"/>
          </w:tcPr>
          <w:p>
            <w:pPr>
              <w:jc w:val="right"/>
              <w:ind w:right="373"/>
              <w:spacing w:after="0"/>
              <w:rPr>
                <w:sz w:val="20"/>
                <w:szCs w:val="20"/>
                <w:color w:val="auto"/>
              </w:rPr>
            </w:pPr>
            <w:r>
              <w:rPr>
                <w:rFonts w:ascii="Arial" w:cs="Arial" w:eastAsia="Arial" w:hAnsi="Arial"/>
                <w:sz w:val="14"/>
                <w:szCs w:val="14"/>
                <w:b w:val="1"/>
                <w:bCs w:val="1"/>
                <w:color w:val="auto"/>
              </w:rPr>
              <w:t>Treasury</w:t>
            </w:r>
          </w:p>
        </w:tc>
      </w:tr>
      <w:tr>
        <w:trPr>
          <w:trHeight w:val="192"/>
        </w:trPr>
        <w:tc>
          <w:tcPr>
            <w:tcW w:w="83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Stock</w:t>
            </w:r>
          </w:p>
        </w:tc>
      </w:tr>
      <w:tr>
        <w:trPr>
          <w:trHeight w:val="250"/>
        </w:trPr>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2017</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155,901,485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7,013,777</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866,099</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1,261,089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Repurchase of common stock (1)</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7,568,357</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158,028,673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14,582,134</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417,366</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678,173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1,991,299</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159,124,212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16,573,433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30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fiscal 2018, the Company purchased 7.2 million shares of the Company’s Class A Common Stock in a series of open market transactions for $257.6 million. Additionally, the Company repurchased shares during fiscal 2018 to cover the minimum statutory withholding taxes on restricted stock awards and restricted stock units that vested on June 30, 2017 and March 31, 2018. The Company also repurchased shares to cover the minimum statutory withholding taxes on restricted stock for departing officers, as they are no longer subject to a substantial risk of forfeiture.</w:t>
      </w:r>
    </w:p>
    <w:p>
      <w:pPr>
        <w:spacing w:after="0" w:line="46" w:lineRule="exact"/>
        <w:rPr>
          <w:rFonts w:ascii="Arial" w:cs="Arial" w:eastAsia="Arial" w:hAnsi="Arial"/>
          <w:sz w:val="16"/>
          <w:szCs w:val="16"/>
          <w:color w:val="auto"/>
        </w:rPr>
      </w:pPr>
    </w:p>
    <w:p>
      <w:pPr>
        <w:ind w:left="660" w:right="100" w:hanging="652"/>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fiscal 2019, the Company purchased 1.9 million shares of the Company’s Class A Common Stock in a series of open market transactions for $85.4 million. Additionally, the Company repurchased shares during the first quarter of fiscal 2019 to cover the minimum statutory withholding taxes on restricted stock awards and restricted stock units that vested on June 30, 2018.</w:t>
      </w:r>
    </w:p>
    <w:p>
      <w:pPr>
        <w:spacing w:after="0" w:line="73"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For the quarterly offering period that closed on September 30, 2018, 56,028 Class A Common Stock shares were purchased by employees under the Company's Employee Stock Purchase Plan, or ESPP. Since the program's inception, 2,307,527 shares have been purchased by employees.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5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4,616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9,286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8,289</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7,150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13,264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6,564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10,626</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7,150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13,264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As of September 30, 2018, there was $32.8 million of total unrecognized compensation cost related to unvested stock-based compensation agreements. The unrecognized compensation cost as of September 30, 2018 is expected to be fully amortized over the next 4.5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 2018</w:t>
            </w:r>
          </w:p>
        </w:tc>
      </w:tr>
      <w:tr>
        <w:trPr>
          <w:trHeight w:val="152"/>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3,354</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3.83</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29,478</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2.09</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32,832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2018, there were 2,326,055 Amended and Restated Equity Incentive Plan options outstanding, of which 753,141 were unvested.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75" w:right="23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grants of Restricted Stock Units ("RSU") and Class A Restricted Common Stock ("RSA") for the quarter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w w:val="92"/>
              </w:rPr>
              <w:t>Stock Price on Grant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3840" w:type="dxa"/>
            <w:vAlign w:val="bottom"/>
          </w:tcPr>
          <w:p>
            <w:pPr>
              <w:ind w:left="1840"/>
              <w:spacing w:after="0"/>
              <w:rPr>
                <w:sz w:val="20"/>
                <w:szCs w:val="20"/>
                <w:color w:val="auto"/>
              </w:rPr>
            </w:pPr>
            <w:r>
              <w:rPr>
                <w:rFonts w:ascii="Arial" w:cs="Arial" w:eastAsia="Arial" w:hAnsi="Arial"/>
                <w:sz w:val="18"/>
                <w:szCs w:val="18"/>
                <w:b w:val="1"/>
                <w:bCs w:val="1"/>
                <w:color w:val="auto"/>
              </w:rPr>
              <w:t>Grant Date</w:t>
            </w:r>
          </w:p>
        </w:tc>
        <w:tc>
          <w:tcPr>
            <w:tcW w:w="2440" w:type="dxa"/>
            <w:vAlign w:val="bottom"/>
          </w:tcPr>
          <w:p>
            <w:pPr>
              <w:jc w:val="center"/>
              <w:ind w:left="650"/>
              <w:spacing w:after="0"/>
              <w:rPr>
                <w:sz w:val="20"/>
                <w:szCs w:val="20"/>
                <w:color w:val="auto"/>
              </w:rPr>
            </w:pPr>
            <w:r>
              <w:rPr>
                <w:rFonts w:ascii="Arial" w:cs="Arial" w:eastAsia="Arial" w:hAnsi="Arial"/>
                <w:sz w:val="18"/>
                <w:szCs w:val="18"/>
                <w:b w:val="1"/>
                <w:bCs w:val="1"/>
                <w:color w:val="auto"/>
                <w:w w:val="92"/>
              </w:rPr>
              <w:t>Award Type</w:t>
            </w: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 Awarded</w:t>
            </w:r>
          </w:p>
        </w:tc>
        <w:tc>
          <w:tcPr>
            <w:tcW w:w="1700" w:type="dxa"/>
            <w:vAlign w:val="bottom"/>
          </w:tcPr>
          <w:p>
            <w:pPr>
              <w:jc w:val="right"/>
              <w:ind w:right="570"/>
              <w:spacing w:after="0"/>
              <w:rPr>
                <w:sz w:val="20"/>
                <w:szCs w:val="20"/>
                <w:color w:val="auto"/>
              </w:rPr>
            </w:pPr>
            <w:r>
              <w:rPr>
                <w:rFonts w:ascii="Arial" w:cs="Arial" w:eastAsia="Arial" w:hAnsi="Arial"/>
                <w:sz w:val="18"/>
                <w:szCs w:val="18"/>
                <w:b w:val="1"/>
                <w:bCs w:val="1"/>
                <w:color w:val="auto"/>
              </w:rPr>
              <w:t>Date</w:t>
            </w:r>
          </w:p>
        </w:tc>
        <w:tc>
          <w:tcPr>
            <w:tcW w:w="18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Total Fair Value</w:t>
            </w:r>
          </w:p>
        </w:tc>
      </w:tr>
      <w:tr>
        <w:trPr>
          <w:trHeight w:val="27"/>
        </w:trPr>
        <w:tc>
          <w:tcPr>
            <w:tcW w:w="3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2, 2018</w:t>
            </w:r>
          </w:p>
        </w:tc>
        <w:tc>
          <w:tcPr>
            <w:tcW w:w="244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4"/>
              </w:rPr>
              <w:t>RSU</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21,269</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July 25, 2018</w:t>
            </w:r>
          </w:p>
        </w:tc>
        <w:tc>
          <w:tcPr>
            <w:tcW w:w="2440" w:type="dxa"/>
            <w:vAlign w:val="bottom"/>
          </w:tcPr>
          <w:p>
            <w:pPr>
              <w:jc w:val="center"/>
              <w:ind w:left="630"/>
              <w:spacing w:after="0"/>
              <w:rPr>
                <w:sz w:val="20"/>
                <w:szCs w:val="20"/>
                <w:color w:val="auto"/>
              </w:rPr>
            </w:pPr>
            <w:r>
              <w:rPr>
                <w:rFonts w:ascii="Arial" w:cs="Arial" w:eastAsia="Arial" w:hAnsi="Arial"/>
                <w:sz w:val="18"/>
                <w:szCs w:val="18"/>
                <w:color w:val="auto"/>
                <w:w w:val="94"/>
              </w:rPr>
              <w:t>RSU</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5,551</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45.91</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38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30, 2018</w:t>
            </w:r>
          </w:p>
        </w:tc>
        <w:tc>
          <w:tcPr>
            <w:tcW w:w="244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4"/>
              </w:rPr>
              <w:t>RSU</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August 2, 2018</w:t>
            </w:r>
          </w:p>
        </w:tc>
        <w:tc>
          <w:tcPr>
            <w:tcW w:w="2440" w:type="dxa"/>
            <w:vAlign w:val="bottom"/>
          </w:tcPr>
          <w:p>
            <w:pPr>
              <w:jc w:val="center"/>
              <w:ind w:left="630"/>
              <w:spacing w:after="0"/>
              <w:rPr>
                <w:sz w:val="20"/>
                <w:szCs w:val="20"/>
                <w:color w:val="auto"/>
              </w:rPr>
            </w:pPr>
            <w:r>
              <w:rPr>
                <w:rFonts w:ascii="Arial" w:cs="Arial" w:eastAsia="Arial" w:hAnsi="Arial"/>
                <w:sz w:val="18"/>
                <w:szCs w:val="18"/>
                <w:color w:val="auto"/>
                <w:w w:val="97"/>
              </w:rPr>
              <w:t>RSA</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39,626</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47.45</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1,880</w:t>
            </w:r>
          </w:p>
        </w:tc>
      </w:tr>
      <w:tr>
        <w:trPr>
          <w:trHeight w:val="27"/>
        </w:trPr>
        <w:tc>
          <w:tcPr>
            <w:tcW w:w="38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69,640</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60"/>
              <w:spacing w:after="0"/>
              <w:rPr>
                <w:sz w:val="20"/>
                <w:szCs w:val="20"/>
                <w:color w:val="auto"/>
              </w:rPr>
            </w:pPr>
            <w:r>
              <w:rPr>
                <w:rFonts w:ascii="Arial" w:cs="Arial" w:eastAsia="Arial" w:hAnsi="Arial"/>
                <w:sz w:val="18"/>
                <w:szCs w:val="18"/>
                <w:b w:val="1"/>
                <w:bCs w:val="1"/>
                <w:color w:val="auto"/>
              </w:rPr>
              <w:t>as of September 30,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2,805</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 term derivative instruments (1)</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9,128</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3,217</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11,933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15,150</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Contingent consideration liability (3)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3,341</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3,217</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3,341</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6,558</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w w:val="97"/>
              </w:rPr>
              <w:t>Recurring Fair Value Measurements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Assets:</w:t>
            </w:r>
          </w:p>
        </w:tc>
        <w:tc>
          <w:tcPr>
            <w:tcW w:w="22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(1)</w:t>
            </w:r>
          </w:p>
        </w:tc>
        <w:tc>
          <w:tcPr>
            <w:tcW w:w="31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Long term derivative instruments (1)</w:t>
            </w:r>
          </w:p>
        </w:tc>
        <w:tc>
          <w:tcPr>
            <w:tcW w:w="2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1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6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liability (3)</w:t>
            </w:r>
          </w:p>
        </w:tc>
        <w:tc>
          <w:tcPr>
            <w:tcW w:w="2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6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60" w:type="dxa"/>
            <w:vAlign w:val="bottom"/>
            <w:vMerge w:val="restart"/>
          </w:tcPr>
          <w:p>
            <w:pPr>
              <w:jc w:val="right"/>
              <w:ind w:right="610"/>
              <w:spacing w:after="0"/>
              <w:rPr>
                <w:sz w:val="20"/>
                <w:szCs w:val="20"/>
                <w:color w:val="auto"/>
              </w:rPr>
            </w:pPr>
            <w:r>
              <w:rPr>
                <w:rFonts w:ascii="Arial" w:cs="Arial" w:eastAsia="Arial" w:hAnsi="Arial"/>
                <w:sz w:val="18"/>
                <w:szCs w:val="18"/>
                <w:color w:val="auto"/>
              </w:rPr>
              <w:t>22</w:t>
            </w: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42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54" w:right="259" w:bottom="1440" w:gutter="0" w:footer="0" w:header="0"/>
        </w:sectPr>
      </w:pPr>
    </w:p>
    <w:bookmarkStart w:id="25" w:name="page26"/>
    <w:bookmarkEnd w:id="25"/>
    <w:p>
      <w:pPr>
        <w:ind w:right="80" w:firstLine="8"/>
        <w:spacing w:after="0" w:line="26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for further discussion on the Company’s derivative instruments designated as cash flow hedges.</w:t>
      </w:r>
    </w:p>
    <w:p>
      <w:pPr>
        <w:spacing w:after="0" w:line="73" w:lineRule="exact"/>
        <w:rPr>
          <w:rFonts w:ascii="Arial" w:cs="Arial" w:eastAsia="Arial" w:hAnsi="Arial"/>
          <w:sz w:val="18"/>
          <w:szCs w:val="18"/>
          <w:color w:val="auto"/>
        </w:rPr>
      </w:pPr>
    </w:p>
    <w:p>
      <w:pPr>
        <w:ind w:right="100" w:firstLine="8"/>
        <w:spacing w:after="0" w:line="259"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8" w:lineRule="exact"/>
        <w:rPr>
          <w:rFonts w:ascii="Arial" w:cs="Arial" w:eastAsia="Arial" w:hAnsi="Arial"/>
          <w:sz w:val="18"/>
          <w:szCs w:val="18"/>
          <w:color w:val="auto"/>
        </w:rPr>
      </w:pPr>
    </w:p>
    <w:p>
      <w:pPr>
        <w:ind w:firstLine="8"/>
        <w:spacing w:after="0" w:line="259"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its acquisition of Aquilent in fiscal 2017. As of September 30, 2018 and March 31, 2018, the estimated fair value of the contingent consideration liability was $3.3 million and $3.6 million, respectively, and was valued using probability-weighted cash flows, which is based on the use of Level 3 fair value measurement inputs. The liability is recorded in other long-term liabilities in the condensed consolidated balance sheet.</w:t>
      </w:r>
    </w:p>
    <w:p>
      <w:pPr>
        <w:spacing w:after="0" w:line="79"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fair value of the Company's cash and cash equivalents, which are primarily Level 1 inputs, approximated its carrying values at September 30, 2018 and March 31, 2018. The fair value of the Company's debt instruments approximated its carrying value at September 30, 2018 and March 31, 2018.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746"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17. RELATED-PARTY TRANSACTIONS</w:t>
      </w:r>
    </w:p>
    <w:p>
      <w:pPr>
        <w:spacing w:after="0" w:line="337" w:lineRule="exact"/>
        <w:rPr>
          <w:sz w:val="20"/>
          <w:szCs w:val="20"/>
          <w:color w:val="auto"/>
        </w:rPr>
      </w:pPr>
    </w:p>
    <w:p>
      <w:pPr>
        <w:ind w:right="300" w:firstLine="405"/>
        <w:spacing w:after="0" w:line="255" w:lineRule="auto"/>
        <w:rPr>
          <w:sz w:val="20"/>
          <w:szCs w:val="20"/>
          <w:color w:val="auto"/>
        </w:rPr>
      </w:pPr>
      <w:r>
        <w:rPr>
          <w:rFonts w:ascii="Arial" w:cs="Arial" w:eastAsia="Arial" w:hAnsi="Arial"/>
          <w:sz w:val="18"/>
          <w:szCs w:val="18"/>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of five of the Booz Allen Foundation's directors and consent rights regarding certain extraordinary corporate actions approved by the Company's Board of Directors. The Company has made a binding and irrevocable pledge of $5.0 million to the Booz Allen Foundation and recorded the pledge obligation in other current liabilities on the consolidated balance sheet of the Company in March 2017. As of September 30, 2018, $1.7 million of the pledge has been paid to the Booz Allen Foundation and is classified as operating activities in the condensed consolidated statement of cash flows.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As of September 30, 2018 and March 31, 2018, the Company was contingently liable under open standby letters of credit and bank guarantees issued by our banks in favor of third parties that totaled $9.3 million and $6.3 million, respectively. These letters of credit and bank guarantees primarily support insurance and bid and performance obligations. At September 30, 2018 and March 31, 2018, approximately $1.0 million and $1.4 million, respectively, of these instruments reduced the available borrowings under the Revolving Credit Facility. The remainder is guaranteed under a separate $15.0 million facility established in fiscal 2015 of which $6.7 million and $10.1 million were available to the Company at September 30, 2018 and March 31, 2018, respectively.</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For the three months ended September 30, 2018 and 2017, approximately 96% and 97% of the Company's revenue and for both the six months ended September 30, 2018 and 2017,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September 30, 2018 and March 31, 2018, the Company had recorded liabilities of approximately $179.9 million and $168.6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September 30, 2018 and March 31, 2018, there were no material amounts accrued in the condensed consolidated financial statements related to these proceedings.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58" w:right="259" w:bottom="1440" w:gutter="0" w:footer="0" w:header="0"/>
        </w:sectPr>
      </w:pPr>
    </w:p>
    <w:bookmarkStart w:id="27" w:name="page28"/>
    <w:bookmarkEnd w:id="27"/>
    <w:p>
      <w:pPr>
        <w:ind w:right="40" w:firstLine="405"/>
        <w:spacing w:after="0" w:line="284"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Securities Exchange Act of 1934, as amended (the "Exchange Act"). On April 25, 2018, the court entered an order postponing the deadline within which the defendants must answer or move to dismiss the amended complaint. A lead plaintiff has not been appointed. On August 2, 2018, the defendants filed a motion to dismiss the amended complaint. On September 17, 2018, the plaintiff filed an opposition to the defendants’ motion to dismiss the amended complaint. The defendants filed their reply to plaintiff's opposition on October 17, 2018.</w:t>
      </w:r>
    </w:p>
    <w:p>
      <w:pPr>
        <w:spacing w:after="0" w:line="290"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As of September 30, 2018, the aggregate alleged damages that will be sought in the remaining suit is unknown. As of September 30, 2018,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73"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40"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54" w:right="239" w:bottom="1440" w:gutter="0" w:footer="0" w:header="0"/>
        </w:sectPr>
      </w:pPr>
    </w:p>
    <w:bookmarkStart w:id="28" w:name="page29"/>
    <w:bookmarkEnd w:id="28"/>
    <w:p>
      <w:pPr>
        <w:ind w:right="4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2018 filed with the Securities and Exchange Commission on May 29, 2018,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25,300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5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clients'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we have a growing presence in Southeast Asia.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Effective April 1, 2018, the Company adopted Accounting Standard Codification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Accounting Standard Updates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using the full retrospective method. All amounts, percentages and disclosures set forth in this Form 10-Q reflect these changes. See Note 2 to our accompanying condensed consolidated financial statements for more information on the impact of the adoption of these accounting standards on revenue and operating income.</w:t>
      </w:r>
    </w:p>
    <w:p>
      <w:pPr>
        <w:spacing w:after="0" w:line="8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the second quarter of fiscal 2019, the Company generated year over year revenue growth, delivered improved earnings over the prior year period, increased client staff headcount, and achieved record second quarter funded and total backlog.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54" w:right="259" w:bottom="1440" w:gutter="0" w:footer="0" w:header="0"/>
        </w:sectPr>
      </w:pPr>
    </w:p>
    <w:bookmarkStart w:id="29" w:name="page30"/>
    <w:bookmarkEnd w:id="29"/>
    <w:p>
      <w:pPr>
        <w:ind w:right="100" w:firstLine="405"/>
        <w:spacing w:after="0" w:line="286" w:lineRule="auto"/>
        <w:rPr>
          <w:sz w:val="20"/>
          <w:szCs w:val="20"/>
          <w:color w:val="auto"/>
        </w:rPr>
      </w:pPr>
      <w:r>
        <w:rPr>
          <w:rFonts w:ascii="Arial" w:cs="Arial" w:eastAsia="Arial" w:hAnsi="Arial"/>
          <w:sz w:val="17"/>
          <w:szCs w:val="17"/>
          <w:color w:val="auto"/>
        </w:rPr>
        <w:t>Revenue increased 4.6% from the three months ended September 30, 2017 to the three months ended September 30, 2018 and increased 6.4% from the six months ended September 30, 2017 to the six months ended September 30, 2018 primarily driven by continued strength in client demand, which led to increased client staff headcount and direct client staff labor over the prior year period, as well as improved contract performance.</w:t>
      </w:r>
    </w:p>
    <w:p>
      <w:pPr>
        <w:spacing w:after="0" w:line="5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Operating income increased 8.2% to $143.8 million in the three months ended September 30, 2018 from $132.9 million in the three months ended September 30, 2017, while operating margin increased to 8.9% from 8.6% in the comparable period. Operating income increased 17.6% to $305.4 million in the six months ended September 30, 2018 from $259.6 million in the six months ended September 30, 2017, while operating margin increased to 9.4% from 8.5% in the comparable period. The increase in operating income was primarily driven by the same factors driving revenue as well as strong operating performance in the current quarter compared to the prior year quarter. The Company also incurred incremental legal costs during the three and six months ended September 30, 2018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85" w:lineRule="exact"/>
        <w:rPr>
          <w:sz w:val="20"/>
          <w:szCs w:val="20"/>
          <w:color w:val="auto"/>
        </w:rPr>
      </w:pPr>
    </w:p>
    <w:p>
      <w:pPr>
        <w:ind w:left="1300" w:right="1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resulting from the acquisition of our Company by The Carlyle Group (the “Carlyle Acquisition”), and (ii) transaction costs, fees, losses, and expenses, including fees associated with debt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54" w:right="259" w:bottom="1440" w:gutter="0" w:footer="0" w:header="0"/>
        </w:sectPr>
      </w:pPr>
    </w:p>
    <w:bookmarkStart w:id="30" w:name="page31"/>
    <w:bookmarkEnd w:id="30"/>
    <w:p>
      <w:pPr>
        <w:jc w:val="both"/>
        <w:ind w:left="644" w:right="180"/>
        <w:spacing w:after="0" w:line="387" w:lineRule="auto"/>
        <w:rPr>
          <w:sz w:val="20"/>
          <w:szCs w:val="20"/>
          <w:color w:val="auto"/>
        </w:rPr>
      </w:pPr>
      <w:r>
        <w:rPr>
          <w:rFonts w:ascii="Arial" w:cs="Arial" w:eastAsia="Arial" w:hAnsi="Arial"/>
          <w:sz w:val="16"/>
          <w:szCs w:val="16"/>
          <w:color w:val="auto"/>
        </w:rPr>
        <w:t>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1" w:lineRule="exact"/>
        <w:rPr>
          <w:sz w:val="20"/>
          <w:szCs w:val="20"/>
          <w:color w:val="auto"/>
        </w:rPr>
      </w:pPr>
    </w:p>
    <w:p>
      <w:pPr>
        <w:ind w:left="644" w:right="80" w:hanging="644"/>
        <w:spacing w:after="0" w:line="272" w:lineRule="auto"/>
        <w:tabs>
          <w:tab w:leader="none" w:pos="6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69" w:lineRule="exact"/>
        <w:rPr>
          <w:rFonts w:ascii="Arial" w:cs="Arial" w:eastAsia="Arial" w:hAnsi="Arial"/>
          <w:sz w:val="17"/>
          <w:szCs w:val="17"/>
          <w:color w:val="auto"/>
        </w:rPr>
      </w:pPr>
    </w:p>
    <w:p>
      <w:pPr>
        <w:ind w:left="644" w:hanging="644"/>
        <w:spacing w:after="0" w:line="289" w:lineRule="auto"/>
        <w:tabs>
          <w:tab w:leader="none" w:pos="64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adjustments related to the amortization of intangible assets resulting from the Carlyle Acquisition, (ii) transaction costs, fees, losses, and expenses, including fees associated with debt prepayments, (iii) amortization or write-off of debt issuance costs and write-off of original issue discount, (iv) release of income tax reserves, and (v) re-measurement of deferred tax assets and liabilities as a result of the Tax Cuts and Jobs Act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58" w:lineRule="exact"/>
        <w:rPr>
          <w:rFonts w:ascii="Arial" w:cs="Arial" w:eastAsia="Arial" w:hAnsi="Arial"/>
          <w:sz w:val="16"/>
          <w:szCs w:val="16"/>
          <w:color w:val="auto"/>
        </w:rPr>
      </w:pPr>
    </w:p>
    <w:p>
      <w:pPr>
        <w:ind w:left="644" w:hanging="644"/>
        <w:spacing w:after="0" w:line="264" w:lineRule="auto"/>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3" w:lineRule="exact"/>
        <w:rPr>
          <w:rFonts w:ascii="Arial" w:cs="Arial" w:eastAsia="Arial" w:hAnsi="Arial"/>
          <w:sz w:val="18"/>
          <w:szCs w:val="18"/>
          <w:color w:val="auto"/>
        </w:rPr>
      </w:pPr>
    </w:p>
    <w:p>
      <w:pPr>
        <w:ind w:left="644" w:hanging="644"/>
        <w:spacing w:after="0"/>
        <w:tabs>
          <w:tab w:leader="none" w:pos="644" w:val="left"/>
        </w:tabs>
        <w:numPr>
          <w:ilvl w:val="0"/>
          <w:numId w:val="19"/>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6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4"/>
          </w:cols>
          <w:pgMar w:left="896" w:top="881" w:right="259" w:bottom="1440" w:gutter="0" w:footer="0" w:header="0"/>
        </w:sectPr>
      </w:pPr>
    </w:p>
    <w:bookmarkStart w:id="31" w:name="page32"/>
    <w:bookmarkEnd w:id="31"/>
    <w:p>
      <w:pPr>
        <w:ind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82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282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46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5"/>
              </w:rPr>
              <w:t>(Unaudited)</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gridSpan w:val="3"/>
          </w:tcPr>
          <w:p>
            <w:pPr>
              <w:jc w:val="center"/>
              <w:ind w:left="812"/>
              <w:spacing w:after="0"/>
              <w:rPr>
                <w:sz w:val="20"/>
                <w:szCs w:val="20"/>
                <w:color w:val="auto"/>
              </w:rPr>
            </w:pPr>
            <w:r>
              <w:rPr>
                <w:rFonts w:ascii="Arial" w:cs="Arial" w:eastAsia="Arial" w:hAnsi="Arial"/>
                <w:sz w:val="14"/>
                <w:szCs w:val="14"/>
                <w:b w:val="1"/>
                <w:bCs w:val="1"/>
                <w:color w:val="auto"/>
                <w:w w:val="97"/>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1,613,997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1,542,805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3,260,845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3,065,815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478,349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483,556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955,784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935,220</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1,135,648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1,059,249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2,305,061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2,130,595</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143,751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132,889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305,363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259,554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147,411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132,889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309,023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259,554</w:t>
            </w:r>
          </w:p>
        </w:tc>
        <w:tc>
          <w:tcPr>
            <w:tcW w:w="0" w:type="dxa"/>
            <w:vAlign w:val="bottom"/>
          </w:tcPr>
          <w:p>
            <w:pPr>
              <w:spacing w:after="0"/>
              <w:rPr>
                <w:sz w:val="1"/>
                <w:szCs w:val="1"/>
                <w:color w:val="auto"/>
              </w:rPr>
            </w:pPr>
          </w:p>
        </w:tc>
      </w:tr>
      <w:tr>
        <w:trPr>
          <w:trHeight w:val="67"/>
        </w:trPr>
        <w:tc>
          <w:tcPr>
            <w:tcW w:w="6120" w:type="dxa"/>
            <w:vAlign w:val="bottom"/>
            <w:gridSpan w:val="3"/>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640" w:type="dxa"/>
            <w:vAlign w:val="bottom"/>
            <w:tcBorders>
              <w:top w:val="single" w:sz="8" w:color="CCEEFF"/>
            </w:tcBorders>
            <w:shd w:val="clear" w:color="auto" w:fill="CCEEFF"/>
          </w:tcPr>
          <w:p>
            <w:pPr>
              <w:ind w:left="40"/>
              <w:spacing w:after="0" w:line="182" w:lineRule="exact"/>
              <w:rPr>
                <w:sz w:val="20"/>
                <w:szCs w:val="20"/>
                <w:color w:val="auto"/>
              </w:rPr>
            </w:pPr>
            <w:r>
              <w:rPr>
                <w:rFonts w:ascii="Arial" w:cs="Arial" w:eastAsia="Arial" w:hAnsi="Arial"/>
                <w:sz w:val="18"/>
                <w:szCs w:val="18"/>
                <w:b w:val="1"/>
                <w:bCs w:val="1"/>
                <w:i w:val="1"/>
                <w:iCs w:val="1"/>
                <w:color w:val="auto"/>
                <w:w w:val="96"/>
              </w:rPr>
              <w:t>EBITDA, Adjusted EBITDA, Adjusted EBITDA Margin on</w:t>
            </w:r>
          </w:p>
        </w:tc>
        <w:tc>
          <w:tcPr>
            <w:tcW w:w="1480" w:type="dxa"/>
            <w:vAlign w:val="bottom"/>
            <w:tcBorders>
              <w:top w:val="single" w:sz="8" w:color="auto"/>
            </w:tcBorders>
            <w:gridSpan w:val="2"/>
            <w:shd w:val="clear" w:color="auto" w:fill="CCEEFF"/>
          </w:tcPr>
          <w:p>
            <w:pPr>
              <w:jc w:val="right"/>
              <w:ind w:right="12"/>
              <w:spacing w:after="0" w:line="182" w:lineRule="exact"/>
              <w:rPr>
                <w:sz w:val="20"/>
                <w:szCs w:val="20"/>
                <w:color w:val="auto"/>
              </w:rPr>
            </w:pPr>
            <w:r>
              <w:rPr>
                <w:rFonts w:ascii="Arial" w:cs="Arial" w:eastAsia="Arial" w:hAnsi="Arial"/>
                <w:sz w:val="18"/>
                <w:szCs w:val="18"/>
                <w:b w:val="1"/>
                <w:bCs w:val="1"/>
                <w:i w:val="1"/>
                <w:iCs w:val="1"/>
                <w:color w:val="auto"/>
                <w:w w:val="77"/>
              </w:rPr>
              <w:t>Revenue &amp; Adjusted</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3"/>
              </w:rPr>
              <w:t>EBITDA Margin on Revenue, Excluding Billable Expenses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92,713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73,647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196,917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144,259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27,174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73,111</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Interest and other, net (b)</w:t>
            </w:r>
          </w:p>
        </w:tc>
        <w:tc>
          <w:tcPr>
            <w:tcW w:w="26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23,864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22,296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48,109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42,184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32,579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EBITDA</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160,177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148,935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337,942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291,049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163,837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148,935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341,602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291,049</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Adjusted EBITDA Margin on Revenue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4640" w:type="dxa"/>
            <w:vAlign w:val="bottom"/>
          </w:tcPr>
          <w:p>
            <w:pPr>
              <w:ind w:left="500"/>
              <w:spacing w:after="0"/>
              <w:rPr>
                <w:sz w:val="20"/>
                <w:szCs w:val="20"/>
                <w:color w:val="auto"/>
              </w:rPr>
            </w:pPr>
            <w:r>
              <w:rPr>
                <w:rFonts w:ascii="Arial" w:cs="Arial" w:eastAsia="Arial" w:hAnsi="Arial"/>
                <w:sz w:val="18"/>
                <w:szCs w:val="18"/>
                <w:color w:val="auto"/>
              </w:rPr>
              <w:t>Adjusted EBITDA Margin on Revenue, Excluding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500"/>
              <w:spacing w:after="0"/>
              <w:rPr>
                <w:sz w:val="20"/>
                <w:szCs w:val="20"/>
                <w:color w:val="auto"/>
              </w:rPr>
            </w:pPr>
            <w:r>
              <w:rPr>
                <w:rFonts w:ascii="Arial" w:cs="Arial" w:eastAsia="Arial" w:hAnsi="Arial"/>
                <w:sz w:val="18"/>
                <w:szCs w:val="18"/>
                <w:color w:val="auto"/>
              </w:rPr>
              <w:t>Billable Expenses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92,713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73,647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196,917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144,259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Re-measurement of deferred tax assets/liabilities (c)</w:t>
            </w:r>
          </w:p>
        </w:tc>
        <w:tc>
          <w:tcPr>
            <w:tcW w:w="26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Amortization or write-off of debt issuance costs and write-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off of original issue discount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Adjustments for tax effect (d)</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97,377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74,045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202,072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145,052</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Weighted-average number of diluted shares outstanding</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143,708,909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1"/>
              </w:rPr>
              <w:t>148,887,497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144,215,073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1"/>
              </w:rPr>
              <w:t>149,376,875</w:t>
            </w:r>
          </w:p>
        </w:tc>
        <w:tc>
          <w:tcPr>
            <w:tcW w:w="0" w:type="dxa"/>
            <w:vAlign w:val="bottom"/>
          </w:tcPr>
          <w:p>
            <w:pPr>
              <w:spacing w:after="0"/>
              <w:rPr>
                <w:sz w:val="1"/>
                <w:szCs w:val="1"/>
                <w:color w:val="auto"/>
              </w:rPr>
            </w:pPr>
          </w:p>
        </w:tc>
      </w:tr>
      <w:tr>
        <w:trPr>
          <w:trHeight w:val="237"/>
        </w:trPr>
        <w:tc>
          <w:tcPr>
            <w:tcW w:w="4640" w:type="dxa"/>
            <w:vAlign w:val="bottom"/>
          </w:tcPr>
          <w:p>
            <w:pPr>
              <w:ind w:left="280"/>
              <w:spacing w:after="0"/>
              <w:rPr>
                <w:sz w:val="20"/>
                <w:szCs w:val="20"/>
                <w:color w:val="auto"/>
              </w:rPr>
            </w:pPr>
            <w:r>
              <w:rPr>
                <w:rFonts w:ascii="Arial" w:cs="Arial" w:eastAsia="Arial" w:hAnsi="Arial"/>
                <w:sz w:val="18"/>
                <w:szCs w:val="18"/>
                <w:color w:val="auto"/>
              </w:rPr>
              <w:t>Adjusted Net Income Per Diluted Share (e)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0.68</w:t>
            </w:r>
          </w:p>
        </w:tc>
        <w:tc>
          <w:tcPr>
            <w:tcW w:w="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301,604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174,067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274,567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178,062</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(36,989)</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Free Cash Flow</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282,397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148,614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234,895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141,073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July 23, 2018.</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ectPr>
          <w:pgSz w:w="11900" w:h="16838" w:orient="portrait"/>
          <w:cols w:equalWidth="0" w:num="1">
            <w:col w:w="11420"/>
          </w:cols>
          <w:pgMar w:left="240" w:top="1179" w:right="239"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79" w:right="239" w:bottom="1440" w:gutter="0" w:footer="0" w:header="0"/>
          <w:type w:val="continuous"/>
        </w:sectPr>
      </w:pPr>
    </w:p>
    <w:bookmarkStart w:id="32" w:name="page33"/>
    <w:bookmarkEnd w:id="32"/>
    <w:p>
      <w:pPr>
        <w:ind w:left="652" w:right="80" w:hanging="652"/>
        <w:spacing w:after="0" w:line="342" w:lineRule="auto"/>
        <w:tabs>
          <w:tab w:leader="none" w:pos="6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Reflects the adjustment made to the provisional income tax benefit associated with the re-measurement of the Company’s deferred tax assets and liabilities as a result of the Company's assessment of new guidance issued during the second quarter of fiscal 2019 regarding the 2017 Tax Act.</w:t>
      </w:r>
    </w:p>
    <w:p>
      <w:pPr>
        <w:spacing w:after="0" w:line="15" w:lineRule="exact"/>
        <w:rPr>
          <w:rFonts w:ascii="Arial" w:cs="Arial" w:eastAsia="Arial" w:hAnsi="Arial"/>
          <w:sz w:val="16"/>
          <w:szCs w:val="16"/>
          <w:color w:val="auto"/>
        </w:rPr>
      </w:pPr>
    </w:p>
    <w:p>
      <w:pPr>
        <w:ind w:left="652" w:hanging="652"/>
        <w:spacing w:after="0" w:line="264"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Fiscal 2018 reflects the tax effect of adjustments at an assumed effective tax rate of 40%. For fiscal 2019, with the enactment of the 2017 Tax Act, adjustments are reflected using an assumed effective tax rate of 26%, which approximates a blended federal and state tax rate for fiscal 2019, and consistently excludes the impact of other tax credits and incentive benefits realized.</w:t>
      </w:r>
    </w:p>
    <w:p>
      <w:pPr>
        <w:spacing w:after="0" w:line="73" w:lineRule="exact"/>
        <w:rPr>
          <w:rFonts w:ascii="Arial" w:cs="Arial" w:eastAsia="Arial" w:hAnsi="Arial"/>
          <w:sz w:val="18"/>
          <w:szCs w:val="18"/>
          <w:color w:val="auto"/>
        </w:rPr>
      </w:pPr>
    </w:p>
    <w:p>
      <w:pPr>
        <w:ind w:left="652" w:right="200" w:hanging="652"/>
        <w:spacing w:after="0" w:line="291" w:lineRule="auto"/>
        <w:tabs>
          <w:tab w:leader="none" w:pos="6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an adjustment of approximately $0.6 million and $1.2 million of net earnings for the three and six months ended September 30, 2018, respectively, and excludes an adjustment of approximately $0.7 million and $1.3 million of net earnings for the three and six months</w:t>
      </w:r>
    </w:p>
    <w:p>
      <w:pPr>
        <w:ind w:left="652"/>
        <w:spacing w:after="0"/>
        <w:rPr>
          <w:rFonts w:ascii="Arial" w:cs="Arial" w:eastAsia="Arial" w:hAnsi="Arial"/>
          <w:sz w:val="16"/>
          <w:szCs w:val="16"/>
          <w:color w:val="auto"/>
        </w:rPr>
      </w:pPr>
      <w:r>
        <w:rPr>
          <w:rFonts w:ascii="Arial" w:cs="Arial" w:eastAsia="Arial" w:hAnsi="Arial"/>
          <w:sz w:val="17"/>
          <w:szCs w:val="17"/>
          <w:color w:val="auto"/>
        </w:rPr>
        <w:t>ended September 30, 2017, respectively, associated with the application of the two-class method for computing diluted earnings per share.</w:t>
      </w:r>
    </w:p>
    <w:p>
      <w:pPr>
        <w:spacing w:after="0" w:line="249"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72"/>
          </w:cols>
          <w:pgMar w:left="248" w:top="854"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80" w:hanging="644"/>
        <w:spacing w:after="0" w:line="255"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address the ability of Congress to determine how to allocate the available budget authority and pass appropriations bills to fund both U.S. government departments and agencies that are, and those that are not, subject to the caps;</w:t>
      </w:r>
    </w:p>
    <w:p>
      <w:pPr>
        <w:spacing w:after="0" w:line="85"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20" w:hanging="644"/>
        <w:spacing w:after="0" w:line="289"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3"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50" w:right="259" w:bottom="1440" w:gutter="0" w:footer="0" w:header="0"/>
        </w:sectPr>
      </w:pPr>
    </w:p>
    <w:bookmarkStart w:id="34" w:name="page35"/>
    <w:bookmarkEnd w:id="34"/>
    <w:p>
      <w:pPr>
        <w:ind w:left="1300" w:right="3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3" w:lineRule="exact"/>
        <w:rPr>
          <w:rFonts w:ascii="Arial" w:cs="Arial" w:eastAsia="Arial" w:hAnsi="Arial"/>
          <w:sz w:val="18"/>
          <w:szCs w:val="18"/>
          <w:color w:val="auto"/>
        </w:rPr>
      </w:pPr>
    </w:p>
    <w:p>
      <w:pPr>
        <w:ind w:left="1300" w:right="180" w:hanging="644"/>
        <w:spacing w:after="0" w:line="31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0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3" w:lineRule="exact"/>
        <w:rPr>
          <w:rFonts w:ascii="Arial" w:cs="Arial" w:eastAsia="Arial" w:hAnsi="Arial"/>
          <w:sz w:val="18"/>
          <w:szCs w:val="18"/>
          <w:color w:val="auto"/>
        </w:rPr>
      </w:pPr>
    </w:p>
    <w:p>
      <w:pPr>
        <w:jc w:val="both"/>
        <w:ind w:left="1300" w:right="460" w:hanging="644"/>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(BCA) of 2011 (as amended by the American Taxpayer Relief Act of 2012, the Bipartisan Budget Act of 2013, the Bipartisan Budget Act of 2015, and the Bipartisan Budget Act of 2018), provides for automatic spending cuts (referred to as sequestration) totaling approximately $1.2 trillion between 2013 and 2021, including an estimated $500 billion in federal defense spending cuts over this time period. The Bipartisan Budget Act of 2018 raised BCA spending caps on defense spending by $80 billion for government fiscal 2018, and $85 billion for government fiscal 2019. For non-defense funding, the Bipartisan Budget Act of 2018 raised BCA spending caps by $63 billion for fiscal 2018 and $67 billion for government fiscal 2019. While the American Taxpayer Relief Act of 2012, the Bipartisan Budget Act of 2013, the Bipartisan Budget Act of 2015, and the Bipartisan Budget Act of 2018 all negated and raised budget limits put in place by the BCA for both defense and non-defense spending, those spending limits are due to return in fiscal 2020, and absent another budget deal, could result in significant cuts to the budget levels allowed by the Bipartisan Budget Act of 2018.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71" w:lineRule="auto"/>
        <w:tabs>
          <w:tab w:leader="none" w:pos="19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854" w:right="279" w:bottom="1440" w:gutter="0" w:footer="0" w:header="0"/>
        </w:sectPr>
      </w:pPr>
    </w:p>
    <w:bookmarkStart w:id="35" w:name="page36"/>
    <w:bookmarkEnd w:id="35"/>
    <w:p>
      <w:pPr>
        <w:ind w:left="1960" w:right="260"/>
        <w:spacing w:after="0" w:line="324" w:lineRule="auto"/>
        <w:rPr>
          <w:sz w:val="20"/>
          <w:szCs w:val="20"/>
          <w:color w:val="auto"/>
        </w:rPr>
      </w:pPr>
      <w:r>
        <w:rPr>
          <w:rFonts w:ascii="Arial" w:cs="Arial" w:eastAsia="Arial" w:hAnsi="Arial"/>
          <w:sz w:val="18"/>
          <w:szCs w:val="18"/>
          <w:color w:val="auto"/>
        </w:rPr>
        <w:t>assessment of our performance against a predetermined set of criteria, such as targets for factors like cost, quality, schedule, and performance.</w:t>
      </w:r>
    </w:p>
    <w:p>
      <w:pPr>
        <w:spacing w:after="0" w:line="35" w:lineRule="exact"/>
        <w:rPr>
          <w:sz w:val="20"/>
          <w:szCs w:val="20"/>
          <w:color w:val="auto"/>
        </w:rPr>
      </w:pPr>
    </w:p>
    <w:p>
      <w:pPr>
        <w:ind w:left="1960" w:right="220" w:hanging="655"/>
        <w:spacing w:after="0" w:line="255" w:lineRule="auto"/>
        <w:tabs>
          <w:tab w:leader="none" w:pos="19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5" w:lineRule="exact"/>
        <w:rPr>
          <w:rFonts w:ascii="Arial" w:cs="Arial" w:eastAsia="Arial" w:hAnsi="Arial"/>
          <w:sz w:val="18"/>
          <w:szCs w:val="18"/>
          <w:i w:val="1"/>
          <w:iCs w:val="1"/>
          <w:color w:val="auto"/>
        </w:rPr>
      </w:pPr>
    </w:p>
    <w:p>
      <w:pPr>
        <w:ind w:left="1960" w:right="220" w:hanging="655"/>
        <w:spacing w:after="0" w:line="302" w:lineRule="auto"/>
        <w:tabs>
          <w:tab w:leader="none" w:pos="196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Under a fixed-price contract, we agree to perform the specified work for a pre-determined price.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w:t>
      </w:r>
    </w:p>
    <w:p>
      <w:pPr>
        <w:spacing w:after="0" w:line="46"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212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6"/>
                <w:szCs w:val="16"/>
                <w:color w:val="auto"/>
              </w:rPr>
            </w:pPr>
          </w:p>
        </w:tc>
        <w:tc>
          <w:tcPr>
            <w:tcW w:w="2120" w:type="dxa"/>
            <w:vAlign w:val="bottom"/>
            <w:gridSpan w:val="3"/>
          </w:tcPr>
          <w:p>
            <w:pPr>
              <w:jc w:val="center"/>
              <w:ind w:right="888"/>
              <w:spacing w:after="0"/>
              <w:rPr>
                <w:sz w:val="20"/>
                <w:szCs w:val="20"/>
                <w:color w:val="auto"/>
              </w:rPr>
            </w:pPr>
            <w:r>
              <w:rPr>
                <w:rFonts w:ascii="Arial" w:cs="Arial" w:eastAsia="Arial" w:hAnsi="Arial"/>
                <w:sz w:val="14"/>
                <w:szCs w:val="14"/>
                <w:b w:val="1"/>
                <w:bCs w:val="1"/>
                <w:color w:val="auto"/>
                <w:w w:val="91"/>
              </w:rPr>
              <w:t>September 30,</w:t>
            </w:r>
          </w:p>
        </w:tc>
      </w:tr>
      <w:tr>
        <w:trPr>
          <w:trHeight w:val="250"/>
        </w:trPr>
        <w:tc>
          <w:tcPr>
            <w:tcW w:w="434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Arial" w:cs="Arial" w:eastAsia="Arial" w:hAnsi="Arial"/>
                <w:sz w:val="18"/>
                <w:szCs w:val="18"/>
                <w:color w:val="auto"/>
                <w:w w:val="88"/>
              </w:rPr>
              <w:t>53%</w:t>
            </w:r>
          </w:p>
        </w:tc>
        <w:tc>
          <w:tcPr>
            <w:tcW w:w="2100" w:type="dxa"/>
            <w:vAlign w:val="bottom"/>
            <w:tcBorders>
              <w:bottom w:val="single" w:sz="8" w:color="CCEEFF"/>
            </w:tcBorders>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94"/>
              </w:rPr>
              <w:t>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54"/>
              <w:spacing w:after="0"/>
              <w:rPr>
                <w:sz w:val="20"/>
                <w:szCs w:val="20"/>
                <w:color w:val="auto"/>
              </w:rPr>
            </w:pPr>
            <w:r>
              <w:rPr>
                <w:rFonts w:ascii="Arial" w:cs="Arial" w:eastAsia="Arial" w:hAnsi="Arial"/>
                <w:sz w:val="18"/>
                <w:szCs w:val="18"/>
                <w:color w:val="auto"/>
                <w:w w:val="88"/>
              </w:rPr>
              <w:t>53%</w:t>
            </w:r>
          </w:p>
        </w:tc>
        <w:tc>
          <w:tcPr>
            <w:tcW w:w="2120" w:type="dxa"/>
            <w:vAlign w:val="bottom"/>
            <w:tcBorders>
              <w:bottom w:val="single" w:sz="8" w:color="CCEEFF"/>
            </w:tcBorders>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51%</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97"/>
              <w:spacing w:after="0"/>
              <w:rPr>
                <w:sz w:val="20"/>
                <w:szCs w:val="20"/>
                <w:color w:val="auto"/>
              </w:rPr>
            </w:pPr>
            <w:r>
              <w:rPr>
                <w:rFonts w:ascii="Arial" w:cs="Arial" w:eastAsia="Arial" w:hAnsi="Arial"/>
                <w:sz w:val="18"/>
                <w:szCs w:val="18"/>
                <w:color w:val="auto"/>
                <w:w w:val="88"/>
              </w:rPr>
              <w:t>24%</w:t>
            </w:r>
          </w:p>
        </w:tc>
        <w:tc>
          <w:tcPr>
            <w:tcW w:w="2100" w:type="dxa"/>
            <w:vAlign w:val="bottom"/>
            <w:gridSpan w:val="3"/>
          </w:tcPr>
          <w:p>
            <w:pPr>
              <w:jc w:val="center"/>
              <w:ind w:left="514"/>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940" w:type="dxa"/>
            <w:vAlign w:val="bottom"/>
          </w:tcPr>
          <w:p>
            <w:pPr>
              <w:jc w:val="center"/>
              <w:ind w:left="454"/>
              <w:spacing w:after="0"/>
              <w:rPr>
                <w:sz w:val="20"/>
                <w:szCs w:val="20"/>
                <w:color w:val="auto"/>
              </w:rPr>
            </w:pPr>
            <w:r>
              <w:rPr>
                <w:rFonts w:ascii="Arial" w:cs="Arial" w:eastAsia="Arial" w:hAnsi="Arial"/>
                <w:sz w:val="18"/>
                <w:szCs w:val="18"/>
                <w:color w:val="auto"/>
                <w:w w:val="88"/>
              </w:rPr>
              <w:t>24%</w:t>
            </w:r>
          </w:p>
        </w:tc>
        <w:tc>
          <w:tcPr>
            <w:tcW w:w="2120" w:type="dxa"/>
            <w:vAlign w:val="bottom"/>
            <w:gridSpan w:val="3"/>
          </w:tcPr>
          <w:p>
            <w:pPr>
              <w:jc w:val="center"/>
              <w:ind w:left="557"/>
              <w:spacing w:after="0"/>
              <w:rPr>
                <w:sz w:val="20"/>
                <w:szCs w:val="20"/>
                <w:color w:val="auto"/>
              </w:rPr>
            </w:pPr>
            <w:r>
              <w:rPr>
                <w:rFonts w:ascii="Arial" w:cs="Arial" w:eastAsia="Arial" w:hAnsi="Arial"/>
                <w:sz w:val="18"/>
                <w:szCs w:val="18"/>
                <w:color w:val="auto"/>
                <w:w w:val="88"/>
              </w:rPr>
              <w:t>25%</w:t>
            </w:r>
          </w:p>
        </w:tc>
      </w:tr>
      <w:tr>
        <w:trPr>
          <w:trHeight w:val="27"/>
        </w:trPr>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0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8"/>
              </w:rPr>
              <w:t>23%</w:t>
            </w:r>
          </w:p>
        </w:tc>
        <w:tc>
          <w:tcPr>
            <w:tcW w:w="2100" w:type="dxa"/>
            <w:vAlign w:val="bottom"/>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54"/>
              <w:spacing w:after="0"/>
              <w:rPr>
                <w:sz w:val="20"/>
                <w:szCs w:val="20"/>
                <w:color w:val="auto"/>
              </w:rPr>
            </w:pPr>
            <w:r>
              <w:rPr>
                <w:rFonts w:ascii="Arial" w:cs="Arial" w:eastAsia="Arial" w:hAnsi="Arial"/>
                <w:sz w:val="18"/>
                <w:szCs w:val="18"/>
                <w:color w:val="auto"/>
                <w:w w:val="88"/>
              </w:rPr>
              <w:t>23%</w:t>
            </w:r>
          </w:p>
        </w:tc>
        <w:tc>
          <w:tcPr>
            <w:tcW w:w="2120" w:type="dxa"/>
            <w:vAlign w:val="bottom"/>
            <w:gridSpan w:val="3"/>
            <w:shd w:val="clear" w:color="auto" w:fill="CCEEFF"/>
          </w:tcPr>
          <w:p>
            <w:pPr>
              <w:jc w:val="center"/>
              <w:ind w:left="557"/>
              <w:spacing w:after="0"/>
              <w:rPr>
                <w:sz w:val="20"/>
                <w:szCs w:val="20"/>
                <w:color w:val="auto"/>
              </w:rPr>
            </w:pPr>
            <w:r>
              <w:rPr>
                <w:rFonts w:ascii="Arial" w:cs="Arial" w:eastAsia="Arial" w:hAnsi="Arial"/>
                <w:sz w:val="18"/>
                <w:szCs w:val="18"/>
                <w:color w:val="auto"/>
                <w:w w:val="88"/>
              </w:rPr>
              <w:t>24%</w:t>
            </w:r>
          </w:p>
        </w:tc>
      </w:tr>
      <w:tr>
        <w:trPr>
          <w:trHeight w:val="27"/>
        </w:trPr>
        <w:tc>
          <w:tcPr>
            <w:tcW w:w="4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660" w:right="40"/>
        <w:spacing w:after="0" w:line="273" w:lineRule="auto"/>
        <w:rPr>
          <w:sz w:val="20"/>
          <w:szCs w:val="20"/>
          <w:color w:val="auto"/>
        </w:rPr>
      </w:pPr>
      <w:r>
        <w:rPr>
          <w:rFonts w:ascii="Arial" w:cs="Arial" w:eastAsia="Arial" w:hAnsi="Arial"/>
          <w:sz w:val="14"/>
          <w:szCs w:val="14"/>
          <w:i w:val="1"/>
          <w:iCs w:val="1"/>
          <w:color w:val="auto"/>
        </w:rPr>
        <w:t>Note: Upon the adoption of Topic 606 in the current period, the contract type descriptions noted above have been aligned to the Revenue by Contract Type descriptions found in Note 3 to our accompanying condensed consolidated financial statements.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81"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2018 and 2017, we employed approximately 25,300 and 24,200 people, respectively, of which approximately 22,800 and 21,800,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Priced Options</w:t>
      </w:r>
      <w:r>
        <w:rPr>
          <w:rFonts w:ascii="Arial" w:cs="Arial" w:eastAsia="Arial" w:hAnsi="Arial"/>
          <w:sz w:val="17"/>
          <w:szCs w:val="17"/>
          <w:color w:val="auto"/>
        </w:rPr>
        <w:t>. 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457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3,590</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9,234</w:t>
            </w:r>
          </w:p>
        </w:tc>
      </w:tr>
      <w:tr>
        <w:trPr>
          <w:trHeight w:val="27"/>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21,372</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405"/>
        <w:spacing w:after="0" w:line="255" w:lineRule="auto"/>
        <w:rPr>
          <w:sz w:val="20"/>
          <w:szCs w:val="20"/>
          <w:color w:val="auto"/>
        </w:rPr>
      </w:pPr>
      <w:r>
        <w:rPr>
          <w:rFonts w:ascii="Arial" w:cs="Arial" w:eastAsia="Arial" w:hAnsi="Arial"/>
          <w:sz w:val="18"/>
          <w:szCs w:val="18"/>
          <w:color w:val="auto"/>
        </w:rPr>
        <w:t>Our total backlog consists of remaining performance obligations and unexercised option periods and other unexercised optional orders. As of September 30, 2018, the Company had $7.8 billion of remaining performance obligations and we expect to recognize more than half of the remaining performance obligations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2018, we can give no assurance that we will be able to convert our backlog into revenue in any particular period, if at all.</w:t>
      </w:r>
    </w:p>
    <w:p>
      <w:pPr>
        <w:spacing w:after="0" w:line="8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28.1% from September 30, 2017 to September 30, 2018. Additions to funded backlog during the twelve months ended September 30, 2018 totaled $7.0 billion in comparison to $6.2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7" w:name="page38"/>
    <w:bookmarkEnd w:id="37"/>
    <w:p>
      <w:pPr>
        <w:ind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addition,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7.9% of funded backlog as of the end of any of the four fiscal quarters preceding the fiscal quarter ended September 30, 2018.</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indirect labor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functions, marketing and bid and proposal costs, legal expenses, and other discretionary spending.</w:t>
      </w:r>
    </w:p>
    <w:p>
      <w:pPr>
        <w:spacing w:after="0" w:line="38" w:lineRule="exact"/>
        <w:rPr>
          <w:rFonts w:ascii="Arial" w:cs="Arial" w:eastAsia="Arial" w:hAnsi="Arial"/>
          <w:sz w:val="17"/>
          <w:szCs w:val="17"/>
          <w:color w:val="auto"/>
        </w:rPr>
      </w:pPr>
    </w:p>
    <w:p>
      <w:pPr>
        <w:ind w:left="1300" w:right="200" w:hanging="644"/>
        <w:spacing w:after="0" w:line="26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5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2018. Effective April 1, 2018, we adopted Topic 606 and ASU 2017-07 using the full retrospective method. All amounts and disclosures set forth in this Form 10-Q reflect these changes. Refer to Note 2 and Note 3 to our accompanying condensed consolidated financial statements for information related to our adoption of new accounting standards and for additional information related to revenue recognition. There were no other material changes to our critical accounting policies, estimates or judgments, other than our revenue recognition policy, that occurred in the quarterly period covered by this report.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right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440" w:type="dxa"/>
            <w:vAlign w:val="bottom"/>
            <w:tcBorders>
              <w:right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0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right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right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right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1,613,997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1,542,805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3,260,845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3,065,815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748,570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696,691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1,534,382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1,432,484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478,349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483,556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955,784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935,220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226,901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213,623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432,737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407,062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16,046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32,579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31,495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1,470,246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1,409,916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2,955,482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2,806,261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143,751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132,889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305,363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259,554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110,593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257,254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217,370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27,174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36,946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60,337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73,111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92,713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73,647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196,917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144,259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right="396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September 30, 2018 Compared to Three Months Ended September 30, 2017 </w:t>
      </w:r>
      <w:r>
        <w:rPr>
          <w:rFonts w:ascii="Arial" w:cs="Arial" w:eastAsia="Arial" w:hAnsi="Arial"/>
          <w:sz w:val="18"/>
          <w:szCs w:val="18"/>
          <w:i w:val="1"/>
          <w:iCs w:val="1"/>
          <w:color w:val="auto"/>
        </w:rPr>
        <w:t>Revenue</w:t>
      </w:r>
    </w:p>
    <w:p>
      <w:pPr>
        <w:spacing w:after="0" w:line="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Revenue increased to $1,614.0 million from $1,542.8 million, or a 4.6% increase, primarily driven by increased client demand which led to increased client staff headcount, and an increase in client staff labor as well as improved contract performance. Total headcount as of September 30, 2018 increased approximately 1,100 compared to September 30, 2017.</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Cost of revenue increased to $748.6 million from $696.7 million, or a 7.4% increase. The increase was primarily due to increases in salaries and salary-related benefits of $48.7 million driven by increased headcount and annual base salary increases. Cost of revenue as a percentage of revenue was 46.4% and 45.2% for the three months ended September 30, 2018 and 2017,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Billable expenses decreased to $478.3 million from $483.6 million, or a 1.1% decrease, primarily attributable to a decrease in the use of subcontractors in the current quarter driven by client demand, partially offset by an increase in contracts which require the Company to travel on behalf of clients over the prior year period. Billable expenses as a percentage of revenue were 29.6% and 31.3% for the three months ended September 30, 2018 and 2017,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50" w:right="23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General and administrative expenses increased to $226.9 million from $213.6 million, or a 6.2% increase, primarily due to increases in salaries and salary-related benefits of $4.9 million, driven by an increase in headcount growth as well as annual base salary increases, and an increase in other business expenses of $5.2 million. General and administrative expenses as a percentage of revenue were 14.1% and 13.8% for the three months ended September 30, 2018 and 2017,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Depreciation and amortization increased to $16.4 million from $16.0 million, or a 2.4% increase, primarily due to increases in depreciation expense resulting from the effects of higher capital expenditures in fiscal 2018.</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Interest expense increased to $22.2 million from $21.0 million, or a 6.2% increase, primarily as a result of increases in interest expense related to our term loans.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Income tax expense decreased to $27.2 million from $36.9 million, or a 26.4% decrease. The effective tax rate decreased to 22.7% from 33.4% primarily due to the 2017 Tax Act's reduction of the U.S. federal corporate tax rate.</w:t>
      </w:r>
    </w:p>
    <w:p>
      <w:pPr>
        <w:spacing w:after="0" w:line="387" w:lineRule="exact"/>
        <w:rPr>
          <w:sz w:val="20"/>
          <w:szCs w:val="20"/>
          <w:color w:val="auto"/>
        </w:rPr>
      </w:pPr>
    </w:p>
    <w:p>
      <w:pPr>
        <w:ind w:left="260" w:right="4360"/>
        <w:spacing w:after="0" w:line="375" w:lineRule="auto"/>
        <w:rPr>
          <w:sz w:val="20"/>
          <w:szCs w:val="20"/>
          <w:color w:val="auto"/>
        </w:rPr>
      </w:pPr>
      <w:r>
        <w:rPr>
          <w:rFonts w:ascii="Arial" w:cs="Arial" w:eastAsia="Arial" w:hAnsi="Arial"/>
          <w:sz w:val="18"/>
          <w:szCs w:val="18"/>
          <w:b w:val="1"/>
          <w:bCs w:val="1"/>
          <w:i w:val="1"/>
          <w:iCs w:val="1"/>
          <w:color w:val="auto"/>
        </w:rPr>
        <w:t xml:space="preserve">Six Months Ended September 30, 2018 Compared to Six Months Ended September 30, 2017 </w:t>
      </w:r>
      <w:r>
        <w:rPr>
          <w:rFonts w:ascii="Arial" w:cs="Arial" w:eastAsia="Arial" w:hAnsi="Arial"/>
          <w:sz w:val="18"/>
          <w:szCs w:val="18"/>
          <w:i w:val="1"/>
          <w:iCs w:val="1"/>
          <w:color w:val="auto"/>
        </w:rPr>
        <w:t>Revenue</w:t>
      </w:r>
    </w:p>
    <w:p>
      <w:pPr>
        <w:spacing w:after="0" w:line="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Revenue increased to $3,260.8 million from $3,065.8 million, or a 6.4% increase, primarily driven by increased client demand which led to increased client staff headcount, and an increase in client staff labor as well as improved contract performance. Revenue growth was also driven by an increase in billable expenses, including subcontractors and travel on behalf of our clients.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Cost of revenue increased to $1,534.4 million from $1,432.5 million, or a 7.1% increase. The increase was primarily due to increases in salaries and salary-related benefits of $89.5 million driven by increased headcount and annual base salary increases. Cost of revenue as a percentage of revenue was 47.1% and 46.7% for the six months ended September 30, 2018 and 2017,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Billable expenses increased to $955.8 million from $935.2 million, or a 2.2% increase, primarily attributable to an increase in the use of subcontractors in the current year driven by client demand, as well as an increase in contracts which require the Company to travel and incur direct expenses on behalf of clients over the prior year period. Billable expenses as a percentage of revenue were 29.3% and 30.5% for the six months ended September 30, 2018 and 2017,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General and administrative expenses increased to $432.7 million from $407.1 million, or a 6.3% increase, primarily due to increases in salaries and salary-related benefits of $12.4 million, driven by an increase in headcount growth as well as annual base salary increases, and an increase in professional fees of $3.7 million. General and administrative expenses as a percentage of revenue were 13.3% for both the six months ended September 30, 2018 and 2017,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Depreciation and amortization increased to $32.6 million from $31.5 million, or a 3.4% increase, primarily due to increases in depreciation expense resulting from the effects of higher capital expenditures in fiscal 2018.</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Interest expense increased to $45.3 million from $39.7 million, or a 14.1% increase, primarily as a result of increases in interest expense related to our term loans, and the Senior Notes.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Income tax expense decreased to $60.3 million from $73.1 million, or a 17.5% decrease. The effective tax rate decreased to 23.5% from 33.6% primarily due to the 2017 Tax Act's reduction of the U.S. federal corporate tax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54" w:right="239" w:bottom="1440" w:gutter="0" w:footer="0" w:header="0"/>
        </w:sectPr>
      </w:pPr>
    </w:p>
    <w:bookmarkStart w:id="40" w:name="page41"/>
    <w:bookmarkEnd w:id="40"/>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selected financial information as of September 30, 2018 and March 31, 2018 and for the first six months of fiscal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1340" w:type="dxa"/>
            <w:vAlign w:val="bottom"/>
          </w:tcPr>
          <w:p>
            <w:pPr>
              <w:jc w:val="center"/>
              <w:ind w:right="53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89"/>
              </w:rPr>
              <w:t>2018</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342,586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286,958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1,786,799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1,818,579</w:t>
            </w:r>
          </w:p>
        </w:tc>
      </w:tr>
      <w:tr>
        <w:trPr>
          <w:trHeight w:val="477"/>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Six Months Ended</w:t>
            </w:r>
          </w:p>
        </w:tc>
        <w:tc>
          <w:tcPr>
            <w:tcW w:w="1340" w:type="dxa"/>
            <w:vAlign w:val="bottom"/>
          </w:tcPr>
          <w:p>
            <w:pPr>
              <w:spacing w:after="0"/>
              <w:rPr>
                <w:sz w:val="24"/>
                <w:szCs w:val="2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left="1001"/>
              <w:spacing w:after="0"/>
              <w:rPr>
                <w:sz w:val="20"/>
                <w:szCs w:val="20"/>
                <w:color w:val="auto"/>
              </w:rPr>
            </w:pPr>
            <w:r>
              <w:rPr>
                <w:rFonts w:ascii="Arial" w:cs="Arial" w:eastAsia="Arial" w:hAnsi="Arial"/>
                <w:sz w:val="14"/>
                <w:szCs w:val="14"/>
                <w:b w:val="1"/>
                <w:bCs w:val="1"/>
                <w:color w:val="auto"/>
                <w:w w:val="91"/>
              </w:rPr>
              <w:t>September 30,</w:t>
            </w:r>
          </w:p>
        </w:tc>
        <w:tc>
          <w:tcPr>
            <w:tcW w:w="134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21"/>
                <w:szCs w:val="21"/>
                <w:color w:val="auto"/>
              </w:rPr>
            </w:pPr>
          </w:p>
        </w:tc>
        <w:tc>
          <w:tcPr>
            <w:tcW w:w="1340" w:type="dxa"/>
            <w:vAlign w:val="bottom"/>
          </w:tcPr>
          <w:p>
            <w:pPr>
              <w:jc w:val="center"/>
              <w:ind w:right="51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274,567</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178,062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(39,692)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(37,193)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(179,247)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(28,243)</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55,628</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112,626</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66"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40" w:right="23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U.S government customers generally pay our invoices within 30 days of the invoice date, while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 Total accounts receivable (billed and unbilled combined, net of allowance for doubtful accounts) days sales outstanding, or DSO, which we calculate by dividing total accounts receivable by revenue per day during the relevant fiscal quarter, was 70 as of September 30, 2018 and 66 as of March 31, 2018. DSO increased primarily due to delays in the billing and collection of our revenue growth, which includes administrative delays in client payment processing.</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$274.6 million in the six months ended September 30, 2018 compared to $178.1 million in the prior year period. The increase in operating cash flows was primarily due to increased efficiencies related to working capital and increased operating cash that aligns with net income growth over the same period.</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Net cash used in investing activities was $39.7 million in the six months ended September 30, 2018 compared to $37.2 million in the prior year period, or a 6.7% increase. The increase in net cash used in investing activities was due to an increase in capital expenditures over the prior year period primarily related to software purchased and developed for clients and for operating performance.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Net cash used in financing activities was $179.2 million in the six months ended September 30, 2018 compared to $28.2 million in the prior year period. The increase in net cash used in financing activities was primarily due to net proceeds of $343.3 million received in fiscal 2018 from the issuance of the Senior Notes. This was partially offset by $130.0 million in net borrowings on the Revolving Credit Facility in the prior period as well as a $70.1 million decrease in share repurchases compared to the prior period.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October 29, 2018, the Company announced a regular quarterly cash dividend in the amount of $0.19 per share. The quarterly dividend is payable on November 30, 2018 to stockholders of record on November 14, 2018.</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dividends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27,218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54,660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890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27,218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54,927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51,756</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8"/>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854" w:right="239" w:bottom="1440" w:gutter="0" w:footer="0" w:header="0"/>
        </w:sectPr>
      </w:pPr>
    </w:p>
    <w:bookmarkStart w:id="42" w:name="page43"/>
    <w:bookmarkEnd w:id="42"/>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represent quarterly dividends of $0.19 per share and $0.17 per share that were declared and paid during fiscal 2019 and fiscal 2018,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December 12, 2011, the Board of Directors authorized the repurchase of up to $30.0 million of shares. On January 27, 2015, the share repurchase authorization was increased to $180.0 million. On January 25, 2017, the Board of Directors approved an increase to share repurchase authorization from $180.0 million to $410.0 million. On November 2, 2017, the Board of Directors approved an increase to our share repurchase authorization from $410.0 million to up to $610.0 million. On May 24, 2018, the Board of Directors approved an increase to our share repurchase authorization from $610.0 million to up to $910.0 million. The Company may repurchase shares pursuant to the program by means of open market repurchases, directly negotiated repurchases or through agents acting pursuant to negotiated repurchase agreements. During the first and second quarters of fiscal 2019, the Company purchased 1.9 million shares of the Company's Class A Common Stock for an aggregate of $85.4 million. Following the aforementioned repurchases, as of September 30, 2018, the Company had $412.5 million remaining under the repurchase program.</w:t>
      </w:r>
    </w:p>
    <w:p>
      <w:pPr>
        <w:spacing w:after="0" w:line="152" w:lineRule="exact"/>
        <w:rPr>
          <w:sz w:val="20"/>
          <w:szCs w:val="20"/>
          <w:color w:val="auto"/>
        </w:rPr>
      </w:pPr>
    </w:p>
    <w:p>
      <w:pPr>
        <w:jc w:val="both"/>
        <w:ind w:right="20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and other factors deemed relevant by our Board of Directors.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Credit Agreement, dated as of August 16, 2013, the Second Amendment to the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provides for a new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72"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up to $400.0 million of which will be available as the Delayed Draw Facility. The Delayed Draw Facility is accessible for nine months from the Amendment Effective Date (the "Delayed Draw Availability Period"). The Company is able to draw on the facility up to two times during the Delayed Draw Availability Period with a minimum of $100.0 million per draw. The proceeds from the new lenders were used to prepay in full all of the existing Term A Loans that were not converted into the new Term Loan A. The proceeds of Delayed Draw Facility will be used for general corporate purposes and other purposes not prohibited by the Credit Agreement.</w:t>
      </w:r>
    </w:p>
    <w:p>
      <w:pPr>
        <w:spacing w:after="0" w:line="70" w:lineRule="exact"/>
        <w:rPr>
          <w:sz w:val="20"/>
          <w:szCs w:val="20"/>
          <w:color w:val="auto"/>
        </w:rPr>
      </w:pPr>
    </w:p>
    <w:p>
      <w:pPr>
        <w:ind w:right="360" w:firstLine="405"/>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$500.0 million.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854" w:right="279" w:bottom="1440" w:gutter="0" w:footer="0" w:header="0"/>
        </w:sectPr>
      </w:pPr>
    </w:p>
    <w:bookmarkStart w:id="43" w:name="page44"/>
    <w:bookmarkEnd w:id="43"/>
    <w:p>
      <w:pPr>
        <w:ind w:right="20" w:firstLine="405"/>
        <w:spacing w:after="0" w:line="288" w:lineRule="auto"/>
        <w:rPr>
          <w:sz w:val="20"/>
          <w:szCs w:val="20"/>
          <w:color w:val="auto"/>
        </w:rPr>
      </w:pPr>
      <w:r>
        <w:rPr>
          <w:rFonts w:ascii="Arial" w:cs="Arial" w:eastAsia="Arial" w:hAnsi="Arial"/>
          <w:sz w:val="16"/>
          <w:szCs w:val="16"/>
          <w:color w:val="auto"/>
        </w:rPr>
        <w:t>As of September 30, 2018, the Credit Agreement provided Booz Allen Hamilton with a $1,064.7 million Term Loan A, a $400.0 million Delayed Draw Facility, a $393.0 million Term Loan B, and $500.0 million in New Revolving Commitments with a sub-limit for letters of credit of $100.0 million. As of September 30, 2018,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142"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00" w:firstLine="8"/>
        <w:spacing w:after="0" w:line="252"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167"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the first quarter of fiscal 2019, Booz Allen Hamilton accessed a total of $70.0 million of its $500.0 million Revolving Credit Commitments. As of September 30, 2018 and March 31, 2018, there were no amounts outstanding under the Revolving Credit Facility.</w:t>
      </w:r>
    </w:p>
    <w:p>
      <w:pPr>
        <w:spacing w:after="0" w:line="73"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4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Booz Allen Hamilton also has agreed to pay customary letter of credit and agency fees. As of September 30, 2018 and March 31, 2018, Booz Allen Hamilton was contingently liable under open standby letters of credit and bank guarantees issued by its banks in favor of third parties that totaled $9.3 million and $6.3 million, respectively. These letters of credit and bank guarantees primarily support insurance and bid and performance obligations. At September 30, 2018 and March 31, 2018, approximately $1.0 million and $1.4 million, respectively, of these instruments reduced the available borrowings under the Revolving Credit Facility. The remainder is guaranteed under a separate $15.0 million facility established in fiscal 2015 of which $6.7 million and $10.1 million, respectively, was available to Booz Allen Hamilton at September 30, 2018 and March 31, 2018. As of September 30, 2018, Booz Allen Hamilton had $499.0 million of capacity available for additional borrowings under the Revolving Credit Facility.</w:t>
      </w:r>
    </w:p>
    <w:p>
      <w:pPr>
        <w:spacing w:after="0" w:line="7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40" w:firstLine="8"/>
        <w:spacing w:after="0" w:line="268" w:lineRule="auto"/>
        <w:tabs>
          <w:tab w:leader="none" w:pos="30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September 30, 2018 and March 31, 2018, we were compliant with these covenants.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55"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We intend to use the remaining proceeds for working capital and other general corporate purposes, which may include the repayment of a portion or all of the outstanding DPO (See Note 8 in our condensed consolidated financial statements for additional information on our indebtedness).</w:t>
      </w:r>
    </w:p>
    <w:p>
      <w:pPr>
        <w:spacing w:after="0" w:line="16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May 24, 2017, Booz Allen Hamilton executed a series of interest rate swaps. As of September 30, 2018, Booz Allen Hamilton had interest rate swaps with an aggregate notional amount of $450 million. These instruments hedge the variability of cash outflows for interest payments on the floating portion of the term loan debt. The Company's objectives in using cash flow hedges are to reduce volatility due to interest rate movements and to add stability to interest expense (See Note 9 in our condensed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Our stockholders’ equity amounted to $646.3 million as of September 30, 2018, an increase of $83.8 million compared to stockholders’ equity of $562.5 million as of March 31, 2018. The increase was primarily due to net income of $196.9 million in the six months ended September 30, 2018, stock-based compensation expense of $13.3 million, and stock option exercises of $8.5 million, partially offset by 89.2 million increase in treasury stock resulting from the repurchase of shares of our Class A Common Stock and $54.7 million in quarterly dividend payments during the six months ended September 30, 2018.</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2018,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six months ended September 30, 2018 and 2017 were $39.7 million and $37.0 million, respectively, and the majority of such capital expenditures related to software purchased and developed, facilities infrastructure, equipment, and information technology. The increase in capital expenditures over the prior year period primarily related to software purchased and developed for clients and for operating performance.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84" w:lineRule="exact"/>
        <w:rPr>
          <w:sz w:val="20"/>
          <w:szCs w:val="20"/>
          <w:color w:val="auto"/>
        </w:rPr>
      </w:pPr>
    </w:p>
    <w:p>
      <w:pPr>
        <w:jc w:val="both"/>
        <w:ind w:left="660" w:right="18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including automatic sequestration required by the Budget Control Act of 2011 (as subsequently amended) and the U.S. deficit, as well as associated uncertainty around the timing, extent, nature and effect of such efforts;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54" w:right="239" w:bottom="1440" w:gutter="0" w:footer="0" w:header="0"/>
        </w:sectPr>
      </w:pPr>
    </w:p>
    <w:bookmarkStart w:id="45" w:name="page46"/>
    <w:bookmarkEnd w:id="45"/>
    <w:p>
      <w:pPr>
        <w:ind w:left="328" w:right="320" w:hanging="328"/>
        <w:spacing w:after="0" w:line="259"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 (including those resulting from or related to cuts associated with sequestration);</w:t>
      </w:r>
    </w:p>
    <w:p>
      <w:pPr>
        <w:spacing w:after="0" w:line="78"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328" w:right="360" w:hanging="328"/>
        <w:spacing w:after="0" w:line="308"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38" w:lineRule="exact"/>
        <w:rPr>
          <w:rFonts w:ascii="Arial" w:cs="Arial" w:eastAsia="Arial" w:hAnsi="Arial"/>
          <w:sz w:val="17"/>
          <w:szCs w:val="17"/>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 government shutdowns due to, among other reasons, a failure by elected officials to fund the government;</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328" w:right="240" w:hanging="328"/>
        <w:spacing w:after="0" w:line="308" w:lineRule="auto"/>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38" w:lineRule="exact"/>
        <w:rPr>
          <w:rFonts w:ascii="Arial" w:cs="Arial" w:eastAsia="Arial" w:hAnsi="Arial"/>
          <w:sz w:val="17"/>
          <w:szCs w:val="17"/>
          <w:color w:val="auto"/>
        </w:rPr>
      </w:pPr>
    </w:p>
    <w:p>
      <w:pPr>
        <w:ind w:left="328" w:right="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328" w:right="84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128" w:lineRule="exact"/>
        <w:rPr>
          <w:rFonts w:ascii="Arial" w:cs="Arial" w:eastAsia="Arial" w:hAnsi="Arial"/>
          <w:sz w:val="17"/>
          <w:szCs w:val="17"/>
          <w:color w:val="auto"/>
        </w:rPr>
      </w:pPr>
    </w:p>
    <w:p>
      <w:pPr>
        <w:ind w:left="328" w:right="40" w:hanging="328"/>
        <w:spacing w:after="0" w:line="264"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unallowable or payments being withheld as a result of U.S. government audit, review, or investigation;</w:t>
      </w:r>
    </w:p>
    <w:p>
      <w:pPr>
        <w:spacing w:after="0" w:line="73" w:lineRule="exact"/>
        <w:rPr>
          <w:rFonts w:ascii="Arial" w:cs="Arial" w:eastAsia="Arial" w:hAnsi="Arial"/>
          <w:sz w:val="18"/>
          <w:szCs w:val="18"/>
          <w:color w:val="auto"/>
        </w:rPr>
      </w:pPr>
    </w:p>
    <w:p>
      <w:pPr>
        <w:ind w:left="328" w:right="38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17"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328" w:right="68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3"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spacing w:after="0" w:line="62"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27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8"/>
          </w:cols>
          <w:pgMar w:left="572" w:top="854" w:right="259" w:bottom="1440" w:gutter="0" w:footer="0" w:header="0"/>
        </w:sectPr>
      </w:pPr>
    </w:p>
    <w:bookmarkStart w:id="46" w:name="page47"/>
    <w:bookmarkEnd w:id="46"/>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inability to anticipate or estimate the tax implications of changes in tax law, or utilize existing or future tax benefits;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established a Rabbi trust to provide for the payment of benefits under our non-qualified deferred compensation plan that became effective in the first quarter of fiscal 2019. As of September 30, 2018, fund assets totaled $3.2 million which include mutual fund investments that are subject to fluctuations in market prices and interest rates. Cash distributions made to plan participants are recognized as operating cash flows in the condensed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condensed consolidated statements of operations. See Notes 12 and 16 to our condensed consolidated financial statements for further discussion.</w:t>
      </w:r>
    </w:p>
    <w:p>
      <w:pPr>
        <w:spacing w:after="0" w:line="5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With the exception of the Rabbi trust discussed above, 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2018 filed with the Securities and Exchange Commission on May 29, 2018.</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54"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2018 and March 31, 2018, there were no material amounts accrued in the condensed consolidated financial statements related to these proceedings.</w:t>
      </w:r>
    </w:p>
    <w:p>
      <w:pPr>
        <w:spacing w:after="0" w:line="153"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April 25, 2018, the court entered an order postponing the deadline within which the defendants must answer or move to dismiss the amended complaint. A lead plaintiff has not been appointed. On August 2, 2018, the defendants filed a motion to dismiss the amended complaint. On September 17, 2018, the plaintiff filed an opposition to the defendants’ motion to dismiss the amended complaint. The defendants filed their reply to plaintiff's opposition on October 17, 2018.</w:t>
      </w:r>
    </w:p>
    <w:p>
      <w:pPr>
        <w:spacing w:after="0" w:line="155"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As of September 30, 2018, the aggregate alleged damages that will be sought in the remaining suit is unknown. As of September 30, 2018, although the outcome of any of these cases is inherently uncertain and may be materially adverse, based on current information, we do not expect them to have a material adverse effect on our financial condition and results of operations.</w:t>
      </w:r>
    </w:p>
    <w:p>
      <w:pPr>
        <w:spacing w:after="0" w:line="154"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8" w:name="page49"/>
    <w:bookmarkEnd w:id="48"/>
    <w:p>
      <w:pPr>
        <w:ind w:right="320"/>
        <w:spacing w:after="0" w:line="279" w:lineRule="auto"/>
        <w:rPr>
          <w:sz w:val="20"/>
          <w:szCs w:val="20"/>
          <w:color w:val="auto"/>
        </w:rPr>
      </w:pPr>
      <w:r>
        <w:rPr>
          <w:rFonts w:ascii="Arial" w:cs="Arial" w:eastAsia="Arial" w:hAnsi="Arial"/>
          <w:sz w:val="17"/>
          <w:szCs w:val="17"/>
          <w:color w:val="auto"/>
        </w:rPr>
        <w:t>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3"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as amended,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2018 filed with the Securities and Exchange Commission on May 29, 2018.</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share repurchase activity during the three months ended September 30, 2018:</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6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Arial" w:cs="Arial" w:eastAsia="Arial" w:hAnsi="Arial"/>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669,857</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$44.79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669,857</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423,663,162</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August 2018</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231,018</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$48.16</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231,018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680"/>
              <w:spacing w:after="0"/>
              <w:rPr>
                <w:sz w:val="20"/>
                <w:szCs w:val="20"/>
                <w:color w:val="auto"/>
              </w:rPr>
            </w:pPr>
            <w:r>
              <w:rPr>
                <w:rFonts w:ascii="Arial" w:cs="Arial" w:eastAsia="Arial" w:hAnsi="Arial"/>
                <w:sz w:val="18"/>
                <w:szCs w:val="18"/>
                <w:color w:val="auto"/>
                <w:w w:val="97"/>
              </w:rPr>
              <w:t>412,538,447</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412,538,447</w:t>
            </w:r>
          </w:p>
        </w:tc>
      </w:tr>
      <w:tr>
        <w:trPr>
          <w:trHeight w:val="257"/>
        </w:trPr>
        <w:tc>
          <w:tcPr>
            <w:tcW w:w="3760" w:type="dxa"/>
            <w:vAlign w:val="bottom"/>
            <w:gridSpan w:val="2"/>
          </w:tcPr>
          <w:p>
            <w:pPr>
              <w:ind w:left="326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900,875</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900,875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00" w:hanging="652"/>
        <w:spacing w:after="0" w:line="25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On November 2, 2017, the Board of Directors approved an increase to our share repurchase authorization from $410.0 million to up to $610.0 million. On May 24, 2018, the Board of Directors approved an increase to our share repurchase authorization from $610.0 million to up to $910.0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See Note 14 to our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54"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6"/>
          <w:szCs w:val="16"/>
          <w:color w:val="auto"/>
        </w:rPr>
        <w:t>unaudited condensed consolidated financial statements in this Form 10-Q for further information about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80"/>
          </w:cols>
          <w:pgMar w:left="240" w:top="854" w:right="1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11"/>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340" w:type="dxa"/>
            <w:vAlign w:val="bottom"/>
            <w:gridSpan w:val="11"/>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320" w:type="dxa"/>
            <w:vAlign w:val="bottom"/>
          </w:tcPr>
          <w:p>
            <w:pPr>
              <w:spacing w:after="0"/>
              <w:rPr>
                <w:sz w:val="11"/>
                <w:szCs w:val="11"/>
                <w:color w:val="auto"/>
              </w:rPr>
            </w:pPr>
          </w:p>
        </w:tc>
        <w:tc>
          <w:tcPr>
            <w:tcW w:w="103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10.1</w:t>
            </w:r>
          </w:p>
        </w:tc>
        <w:tc>
          <w:tcPr>
            <w:tcW w:w="320" w:type="dxa"/>
            <w:vAlign w:val="bottom"/>
          </w:tcPr>
          <w:p>
            <w:pPr>
              <w:spacing w:after="0"/>
              <w:rPr>
                <w:sz w:val="24"/>
                <w:szCs w:val="24"/>
                <w:color w:val="auto"/>
              </w:rPr>
            </w:pPr>
          </w:p>
        </w:tc>
        <w:tc>
          <w:tcPr>
            <w:tcW w:w="10340" w:type="dxa"/>
            <w:vAlign w:val="bottom"/>
            <w:gridSpan w:val="11"/>
          </w:tcPr>
          <w:p>
            <w:pPr>
              <w:spacing w:after="0"/>
              <w:rPr>
                <w:rFonts w:ascii="Arial" w:cs="Arial" w:eastAsia="Arial" w:hAnsi="Arial"/>
                <w:sz w:val="18"/>
                <w:szCs w:val="18"/>
                <w:color w:val="0000FF"/>
                <w:w w:val="96"/>
              </w:rPr>
            </w:pPr>
            <w:hyperlink r:id="rId14">
              <w:r>
                <w:rPr>
                  <w:rFonts w:ascii="Arial" w:cs="Arial" w:eastAsia="Arial" w:hAnsi="Arial"/>
                  <w:sz w:val="18"/>
                  <w:szCs w:val="18"/>
                  <w:color w:val="0000FF"/>
                  <w:w w:val="96"/>
                </w:rPr>
                <w:t>Sixth Amendment to Credit Agreement, dated as of July 23, 2018, among Booz Allen Hamilton Inc., as Borrower, Booz Allen Hamilton</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tcBorders>
              <w:bottom w:val="single" w:sz="8" w:color="0000FF"/>
            </w:tcBorders>
            <w:gridSpan w:val="11"/>
          </w:tcPr>
          <w:p>
            <w:pPr>
              <w:spacing w:after="0" w:line="196" w:lineRule="exact"/>
              <w:rPr>
                <w:rFonts w:ascii="Arial" w:cs="Arial" w:eastAsia="Arial" w:hAnsi="Arial"/>
                <w:sz w:val="18"/>
                <w:szCs w:val="18"/>
                <w:color w:val="0000FF"/>
                <w:w w:val="93"/>
              </w:rPr>
            </w:pPr>
            <w:hyperlink r:id="rId14">
              <w:r>
                <w:rPr>
                  <w:rFonts w:ascii="Arial" w:cs="Arial" w:eastAsia="Arial" w:hAnsi="Arial"/>
                  <w:sz w:val="18"/>
                  <w:szCs w:val="18"/>
                  <w:color w:val="0000FF"/>
                  <w:w w:val="93"/>
                </w:rPr>
                <w:t>Investor Corporation, Booz Allen Hamilton Engineering Holding Co., LLC, Booz Allen Hamilton Engineering Services, LLC, SDI Technology</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11"/>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Corporation, eGov Holdings, Inc. and Aquilent, Inc. as Guarantors, Bank of America, N.A., as Administrative Agent and Collateral Agent and</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40" w:type="dxa"/>
            <w:vAlign w:val="bottom"/>
            <w:gridSpan w:val="11"/>
          </w:tcPr>
          <w:p>
            <w:pPr>
              <w:spacing w:after="0" w:line="196" w:lineRule="exact"/>
              <w:rPr>
                <w:rFonts w:ascii="Arial" w:cs="Arial" w:eastAsia="Arial" w:hAnsi="Arial"/>
                <w:sz w:val="18"/>
                <w:szCs w:val="18"/>
                <w:color w:val="0000FF"/>
                <w:w w:val="91"/>
              </w:rPr>
            </w:pPr>
            <w:hyperlink r:id="rId14">
              <w:r>
                <w:rPr>
                  <w:rFonts w:ascii="Arial" w:cs="Arial" w:eastAsia="Arial" w:hAnsi="Arial"/>
                  <w:sz w:val="18"/>
                  <w:szCs w:val="18"/>
                  <w:color w:val="0000FF"/>
                  <w:w w:val="91"/>
                </w:rPr>
                <w:t>the other Lenders and financial institutions from time to time party thereto (Incorporated by reference to Exhibit 10.1 to the Company's Current</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3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Report on Form 8-K filed on July 24, 2018 (File No. 001-34972))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31.1</w:t>
            </w:r>
          </w:p>
        </w:tc>
        <w:tc>
          <w:tcPr>
            <w:tcW w:w="320" w:type="dxa"/>
            <w:vAlign w:val="bottom"/>
          </w:tcPr>
          <w:p>
            <w:pPr>
              <w:spacing w:after="0"/>
              <w:rPr>
                <w:sz w:val="21"/>
                <w:szCs w:val="21"/>
                <w:color w:val="auto"/>
              </w:rPr>
            </w:pPr>
          </w:p>
        </w:tc>
        <w:tc>
          <w:tcPr>
            <w:tcW w:w="5120" w:type="dxa"/>
            <w:vAlign w:val="bottom"/>
            <w:tcBorders>
              <w:bottom w:val="single" w:sz="8" w:color="0000FF"/>
            </w:tcBorders>
            <w:gridSpan w:val="5"/>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Rule 13a-14(a)/15d-14(a) Certification of the Chief Executive Officer*</w:t>
              </w:r>
            </w:hyperlink>
          </w:p>
        </w:tc>
        <w:tc>
          <w:tcPr>
            <w:tcW w:w="5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31.2</w:t>
            </w:r>
          </w:p>
        </w:tc>
        <w:tc>
          <w:tcPr>
            <w:tcW w:w="320" w:type="dxa"/>
            <w:vAlign w:val="bottom"/>
          </w:tcPr>
          <w:p>
            <w:pPr>
              <w:spacing w:after="0"/>
              <w:rPr>
                <w:sz w:val="24"/>
                <w:szCs w:val="24"/>
                <w:color w:val="auto"/>
              </w:rPr>
            </w:pPr>
          </w:p>
        </w:tc>
        <w:tc>
          <w:tcPr>
            <w:tcW w:w="10340" w:type="dxa"/>
            <w:vAlign w:val="bottom"/>
            <w:gridSpan w:val="11"/>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United States Code (18 U.S.C. 1350)*</w:t>
              </w:r>
            </w:hyperlink>
          </w:p>
        </w:tc>
        <w:tc>
          <w:tcPr>
            <w:tcW w:w="75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jc w:val="right"/>
              <w:ind w:right="208"/>
              <w:spacing w:after="0"/>
              <w:rPr>
                <w:sz w:val="20"/>
                <w:szCs w:val="20"/>
                <w:color w:val="auto"/>
              </w:rPr>
            </w:pPr>
            <w:r>
              <w:rPr>
                <w:rFonts w:ascii="Arial" w:cs="Arial" w:eastAsia="Arial" w:hAnsi="Arial"/>
                <w:sz w:val="18"/>
                <w:szCs w:val="18"/>
                <w:color w:val="auto"/>
                <w:w w:val="96"/>
              </w:rPr>
              <w:t>32.2</w:t>
            </w:r>
          </w:p>
        </w:tc>
        <w:tc>
          <w:tcPr>
            <w:tcW w:w="320" w:type="dxa"/>
            <w:vAlign w:val="bottom"/>
          </w:tcPr>
          <w:p>
            <w:pPr>
              <w:spacing w:after="0"/>
              <w:rPr>
                <w:sz w:val="24"/>
                <w:szCs w:val="24"/>
                <w:color w:val="auto"/>
              </w:rPr>
            </w:pPr>
          </w:p>
        </w:tc>
        <w:tc>
          <w:tcPr>
            <w:tcW w:w="10340" w:type="dxa"/>
            <w:vAlign w:val="bottom"/>
            <w:gridSpan w:val="11"/>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5"/>
          </w:tcPr>
          <w:p>
            <w:pPr>
              <w:spacing w:after="0"/>
              <w:rPr>
                <w:sz w:val="17"/>
                <w:szCs w:val="17"/>
                <w:color w:val="auto"/>
              </w:rPr>
            </w:pPr>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right="80" w:hanging="925"/>
        <w:spacing w:after="0" w:line="255"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six months ended September 30, 2018 formatted in XBRL (eXtensible Business Reporting Language): (i) Condensed Consolidated Balance Sheets at September 30, 2018 and March 31, 2018; (ii) Condensed Consolidated Statements of Operations for the three and six months ended September 30, 2018 and 2017; (iii) Condensed Consolidated Statements of Comprehensive Income for the three and six months ended September 30, 2018 and 2017; (iv) Condensed Consolidated Statements of Cash Flows for the six months ended September 30, 2018 and 2017;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742" w:right="359" w:bottom="1440" w:gutter="0" w:footer="0" w:header="0"/>
        </w:sectPr>
      </w:pPr>
    </w:p>
    <w:bookmarkStart w:id="51" w:name="page52"/>
    <w:bookmarkEnd w:id="51"/>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40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240" w:top="742" w:right="8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2018,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2018,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5"/>
    </w:lvl>
  </w:abstractNum>
  <w:abstractNum w:abstractNumId="6">
    <w:nsid w:val="54E49EB4"/>
    <w:multiLevelType w:val="hybridMultilevel"/>
    <w:lvl w:ilvl="0">
      <w:lvlJc w:val="left"/>
      <w:lvlText w:val="%1."/>
      <w:numFmt w:val="decimal"/>
      <w:start w:val="6"/>
    </w:lvl>
  </w:abstractNum>
  <w:abstractNum w:abstractNumId="7">
    <w:nsid w:val="71F32454"/>
    <w:multiLevelType w:val="hybridMultilevel"/>
    <w:lvl w:ilvl="0">
      <w:lvlJc w:val="left"/>
      <w:lvlText w:val="(%1)"/>
      <w:numFmt w:val="lowerLetter"/>
      <w:start w:val="25"/>
    </w:lvl>
  </w:abstractNum>
  <w:abstractNum w:abstractNumId="8">
    <w:nsid w:val="2CA88611"/>
    <w:multiLevelType w:val="hybridMultilevel"/>
    <w:lvl w:ilvl="0">
      <w:lvlJc w:val="left"/>
      <w:lvlText w:val="(%1)"/>
      <w:numFmt w:val="lowerRoman"/>
      <w:start w:val="6"/>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2"/>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2"/>
    </w:lvl>
  </w:abstractNum>
  <w:abstractNum w:abstractNumId="14">
    <w:nsid w:val="7C3DBD3D"/>
    <w:multiLevelType w:val="hybridMultilevel"/>
    <w:lvl w:ilvl="0">
      <w:lvlJc w:val="left"/>
      <w:lvlText w:val="%1."/>
      <w:numFmt w:val="decimal"/>
      <w:start w:val="14"/>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3"/>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lowerLetter"/>
      <w:start w:val="25"/>
    </w:lvl>
  </w:abstractNum>
  <w:abstractNum w:abstractNumId="30">
    <w:nsid w:val="5E884ADC"/>
    <w:multiLevelType w:val="hybridMultilevel"/>
    <w:lvl w:ilvl="0">
      <w:lvlJc w:val="left"/>
      <w:lvlText w:val="(%1)"/>
      <w:numFmt w:val="lowerRoman"/>
      <w:start w:val="6"/>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0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5"/>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4" Type="http://schemas.openxmlformats.org/officeDocument/2006/relationships/hyperlink" Target="http://www.sec.gov/Archives/edgar/data/1443646/000119312518224147/d5497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2019-12-28T18:59:31Z</dcterms:created>
  <dcterms:modified xsi:type="dcterms:W3CDTF">2019-12-28T18:59:31Z</dcterms:modified>
</cp:coreProperties>
</file>